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D25C7">
                <w:t>TRANS/WP.29/GRRF/2016/47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71EF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528F4" w:rsidP="007B199D">
            <w:fldSimple w:instr=" FILLIN  &quot;Введите дату документа&quot; \* MERGEFORMAT ">
              <w:r w:rsidR="004D25C7">
                <w:t>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71EF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649D3" w:rsidRPr="00083707" w:rsidRDefault="00C649D3" w:rsidP="00C649D3">
      <w:pPr>
        <w:spacing w:before="120"/>
        <w:rPr>
          <w:sz w:val="28"/>
          <w:szCs w:val="28"/>
        </w:rPr>
      </w:pPr>
      <w:r w:rsidRPr="00083707">
        <w:rPr>
          <w:sz w:val="28"/>
          <w:szCs w:val="28"/>
        </w:rPr>
        <w:t>Комитет по внутреннему транспорту</w:t>
      </w:r>
    </w:p>
    <w:p w:rsidR="00C649D3" w:rsidRPr="00083707" w:rsidRDefault="00C649D3" w:rsidP="00C649D3">
      <w:pPr>
        <w:spacing w:before="120"/>
        <w:rPr>
          <w:b/>
          <w:bCs/>
          <w:sz w:val="24"/>
          <w:szCs w:val="24"/>
        </w:rPr>
      </w:pPr>
      <w:r w:rsidRPr="000837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3707">
        <w:rPr>
          <w:b/>
          <w:bCs/>
          <w:sz w:val="24"/>
          <w:szCs w:val="24"/>
        </w:rPr>
        <w:br/>
        <w:t>в области транспортных средств</w:t>
      </w:r>
    </w:p>
    <w:p w:rsidR="00C649D3" w:rsidRPr="00083707" w:rsidRDefault="00C649D3" w:rsidP="00C649D3">
      <w:pPr>
        <w:spacing w:before="120"/>
        <w:rPr>
          <w:b/>
          <w:bCs/>
        </w:rPr>
      </w:pPr>
      <w:r w:rsidRPr="00083707">
        <w:rPr>
          <w:b/>
          <w:bCs/>
        </w:rPr>
        <w:t xml:space="preserve">Рабочая </w:t>
      </w:r>
      <w:r>
        <w:rPr>
          <w:b/>
          <w:bCs/>
        </w:rPr>
        <w:t>группа по вопросам торможения</w:t>
      </w:r>
      <w:r w:rsidRPr="00214B81">
        <w:rPr>
          <w:b/>
          <w:bCs/>
        </w:rPr>
        <w:br/>
      </w:r>
      <w:r w:rsidRPr="00083707">
        <w:rPr>
          <w:b/>
          <w:bCs/>
        </w:rPr>
        <w:t>и ходовой части</w:t>
      </w:r>
    </w:p>
    <w:p w:rsidR="00C649D3" w:rsidRPr="00083707" w:rsidRDefault="00C649D3" w:rsidP="00C649D3">
      <w:pPr>
        <w:spacing w:before="120"/>
        <w:rPr>
          <w:b/>
        </w:rPr>
      </w:pPr>
      <w:r w:rsidRPr="00083707">
        <w:rPr>
          <w:b/>
          <w:bCs/>
        </w:rPr>
        <w:t>Восемьдесят вторая сессия</w:t>
      </w:r>
    </w:p>
    <w:p w:rsidR="00C649D3" w:rsidRPr="00083707" w:rsidRDefault="00C649D3" w:rsidP="00C649D3">
      <w:r w:rsidRPr="00083707">
        <w:t>Женева, 20−23 сентября 2016 года</w:t>
      </w:r>
    </w:p>
    <w:p w:rsidR="00C649D3" w:rsidRPr="00083707" w:rsidRDefault="00C649D3" w:rsidP="00C649D3">
      <w:r w:rsidRPr="00083707">
        <w:t xml:space="preserve">Пункт 7 </w:t>
      </w:r>
      <w:r>
        <w:rPr>
          <w:lang w:val="en-US"/>
        </w:rPr>
        <w:t>e</w:t>
      </w:r>
      <w:r w:rsidRPr="00083707">
        <w:t>) предварительной повестки дня</w:t>
      </w:r>
    </w:p>
    <w:p w:rsidR="00C649D3" w:rsidRPr="005807D6" w:rsidRDefault="00C649D3" w:rsidP="00C649D3">
      <w:pPr>
        <w:rPr>
          <w:b/>
          <w:bCs/>
        </w:rPr>
      </w:pPr>
      <w:r w:rsidRPr="00083707">
        <w:rPr>
          <w:b/>
          <w:bCs/>
        </w:rPr>
        <w:t xml:space="preserve">Шины – Правила № </w:t>
      </w:r>
      <w:r w:rsidRPr="001D1283">
        <w:rPr>
          <w:b/>
          <w:bCs/>
        </w:rPr>
        <w:t>1</w:t>
      </w:r>
      <w:r w:rsidRPr="005807D6">
        <w:rPr>
          <w:b/>
          <w:bCs/>
        </w:rPr>
        <w:t>06</w:t>
      </w:r>
    </w:p>
    <w:p w:rsidR="00C649D3" w:rsidRPr="00083707" w:rsidRDefault="00C649D3" w:rsidP="00C649D3">
      <w:pPr>
        <w:pStyle w:val="HChGR"/>
      </w:pPr>
      <w:r>
        <w:tab/>
      </w:r>
      <w:r>
        <w:tab/>
        <w:t xml:space="preserve">Предложение по </w:t>
      </w:r>
      <w:r w:rsidRPr="00083707">
        <w:t xml:space="preserve">поправкам к Правилам № </w:t>
      </w:r>
      <w:r w:rsidRPr="005807D6">
        <w:t>106</w:t>
      </w:r>
      <w:r>
        <w:t xml:space="preserve"> </w:t>
      </w:r>
      <w:r w:rsidRPr="00083707">
        <w:t>(</w:t>
      </w:r>
      <w:r w:rsidRPr="005807D6">
        <w:t xml:space="preserve">Единообразные предписания, касающиеся официального утверждения пневматических шин </w:t>
      </w:r>
      <w:r w:rsidRPr="00C649D3">
        <w:br/>
      </w:r>
      <w:r w:rsidRPr="005807D6">
        <w:t xml:space="preserve">для сельскохозяйственных транспортных средств </w:t>
      </w:r>
      <w:r w:rsidRPr="00C649D3">
        <w:br/>
      </w:r>
      <w:r w:rsidRPr="005807D6">
        <w:t>и их прицепов</w:t>
      </w:r>
      <w:r w:rsidRPr="00083707">
        <w:t>)</w:t>
      </w:r>
    </w:p>
    <w:p w:rsidR="00C649D3" w:rsidRPr="00083707" w:rsidRDefault="00C649D3" w:rsidP="00C649D3">
      <w:pPr>
        <w:pStyle w:val="H1GR"/>
      </w:pPr>
      <w:r w:rsidRPr="00083707">
        <w:tab/>
      </w:r>
      <w:r w:rsidRPr="00083707">
        <w:tab/>
        <w:t>Представлено эксперт</w:t>
      </w:r>
      <w:r>
        <w:t>ами</w:t>
      </w:r>
      <w:r w:rsidRPr="00083707">
        <w:t xml:space="preserve"> от Европейской технической организации по вопросам пневматических шин и ободьев колес (ЕТОПОК)</w:t>
      </w:r>
      <w:r w:rsidRPr="00C31ACE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C649D3" w:rsidRPr="00083707" w:rsidRDefault="00C649D3" w:rsidP="00C649D3">
      <w:pPr>
        <w:pStyle w:val="SingleTxtGR"/>
      </w:pPr>
      <w:r w:rsidRPr="00C31ACE">
        <w:tab/>
      </w:r>
      <w:r w:rsidRPr="005263FF">
        <w:t>Воспроизведенный ниже текст был подготовлен эксперт</w:t>
      </w:r>
      <w:r>
        <w:t>ами</w:t>
      </w:r>
      <w:r w:rsidRPr="005263FF">
        <w:t xml:space="preserve"> от Европейской технической организации по вопросам пневматических шин и ободьев колес (ЕТОПОК) в целях </w:t>
      </w:r>
      <w:r>
        <w:t>исключения технического содержания из приложения 5 и его перенесения в новую резолюцию, касающуюся размеров шин, которая была предложена в документе</w:t>
      </w:r>
      <w:r w:rsidRPr="006B288A">
        <w:t xml:space="preserve"> </w:t>
      </w:r>
      <w:r>
        <w:rPr>
          <w:lang w:val="en-US"/>
        </w:rPr>
        <w:t>ECE</w:t>
      </w:r>
      <w:r w:rsidRPr="006B288A">
        <w:t>/</w:t>
      </w:r>
      <w:r>
        <w:rPr>
          <w:lang w:val="en-US"/>
        </w:rPr>
        <w:t>TRANS</w:t>
      </w:r>
      <w:r w:rsidRPr="006B288A">
        <w:t>/</w:t>
      </w:r>
      <w:r>
        <w:rPr>
          <w:lang w:val="en-US"/>
        </w:rPr>
        <w:t>WP</w:t>
      </w:r>
      <w:r w:rsidRPr="006B288A">
        <w:t>.29/</w:t>
      </w:r>
      <w:r>
        <w:rPr>
          <w:lang w:val="en-US"/>
        </w:rPr>
        <w:t>GRRF</w:t>
      </w:r>
      <w:r w:rsidRPr="006B288A">
        <w:t>/2016/46</w:t>
      </w:r>
      <w:r w:rsidRPr="00083707">
        <w:t>.</w:t>
      </w:r>
    </w:p>
    <w:p w:rsidR="00C649D3" w:rsidRPr="00083707" w:rsidRDefault="00C649D3" w:rsidP="00C649D3">
      <w:pPr>
        <w:spacing w:line="240" w:lineRule="auto"/>
        <w:rPr>
          <w:b/>
        </w:rPr>
      </w:pPr>
      <w:r w:rsidRPr="00083707">
        <w:br w:type="page"/>
      </w:r>
    </w:p>
    <w:p w:rsidR="00C649D3" w:rsidRDefault="00C649D3" w:rsidP="00C649D3">
      <w:pPr>
        <w:pStyle w:val="HChGR"/>
      </w:pPr>
      <w:r w:rsidRPr="00054074">
        <w:lastRenderedPageBreak/>
        <w:tab/>
      </w:r>
      <w:r w:rsidRPr="00083707">
        <w:t>I.</w:t>
      </w:r>
      <w:r w:rsidRPr="00083707">
        <w:tab/>
        <w:t>Предложение</w:t>
      </w:r>
    </w:p>
    <w:p w:rsidR="00C649D3" w:rsidRPr="00F528F4" w:rsidRDefault="00C649D3" w:rsidP="00F528F4">
      <w:pPr>
        <w:pStyle w:val="SingleTxtGR"/>
        <w:rPr>
          <w:i/>
        </w:rPr>
      </w:pPr>
      <w:r w:rsidRPr="00F528F4">
        <w:rPr>
          <w:i/>
        </w:rPr>
        <w:t>Приложение 5</w:t>
      </w:r>
    </w:p>
    <w:p w:rsidR="00C649D3" w:rsidRPr="00675425" w:rsidRDefault="00C649D3" w:rsidP="00F528F4">
      <w:pPr>
        <w:pStyle w:val="SingleTxtGR"/>
      </w:pPr>
      <w:r w:rsidRPr="00F528F4">
        <w:rPr>
          <w:i/>
        </w:rPr>
        <w:t>Таблицы 1−9</w:t>
      </w:r>
      <w:r>
        <w:t xml:space="preserve"> исключить.</w:t>
      </w:r>
    </w:p>
    <w:p w:rsidR="00C649D3" w:rsidRPr="00675425" w:rsidRDefault="00C649D3" w:rsidP="00F528F4">
      <w:pPr>
        <w:pStyle w:val="SingleTxtGR"/>
      </w:pPr>
      <w:r w:rsidRPr="00F528F4">
        <w:rPr>
          <w:i/>
        </w:rPr>
        <w:t>Включить новый пункт 1</w:t>
      </w:r>
      <w:r w:rsidRPr="00675425">
        <w:t xml:space="preserve"> </w:t>
      </w:r>
      <w:r>
        <w:t>следующего содержания</w:t>
      </w:r>
      <w:r w:rsidRPr="00675425">
        <w:t>:</w:t>
      </w:r>
    </w:p>
    <w:p w:rsidR="00C649D3" w:rsidRPr="00BA6BD3" w:rsidRDefault="00C649D3" w:rsidP="00C649D3">
      <w:pPr>
        <w:pStyle w:val="SingleTxtGR"/>
        <w:rPr>
          <w:rFonts w:eastAsiaTheme="minorEastAsia"/>
        </w:rPr>
      </w:pPr>
      <w:r>
        <w:t>«</w:t>
      </w:r>
      <w:r w:rsidRPr="00675425">
        <w:rPr>
          <w:b/>
        </w:rPr>
        <w:t>1.</w:t>
      </w:r>
      <w:r w:rsidRPr="00675425">
        <w:rPr>
          <w:b/>
        </w:rPr>
        <w:tab/>
        <w:t xml:space="preserve">Теоретический обод, наружный диаметр и номинальная ширина </w:t>
      </w:r>
      <w:r>
        <w:rPr>
          <w:b/>
        </w:rPr>
        <w:tab/>
      </w:r>
      <w:r w:rsidRPr="00675425">
        <w:rPr>
          <w:b/>
        </w:rPr>
        <w:t>профиля шин с некоторыми обозначениями размеров</w:t>
      </w:r>
      <w:r>
        <w:rPr>
          <w:b/>
        </w:rPr>
        <w:t xml:space="preserve"> указаны в </w:t>
      </w:r>
      <w:r w:rsidRPr="00C649D3">
        <w:rPr>
          <w:b/>
        </w:rPr>
        <w:br/>
      </w:r>
      <w:r w:rsidRPr="00C649D3">
        <w:rPr>
          <w:b/>
        </w:rPr>
        <w:tab/>
      </w:r>
      <w:r w:rsidRPr="00BF3C4A">
        <w:rPr>
          <w:b/>
        </w:rPr>
        <w:t>[</w:t>
      </w:r>
      <w:r>
        <w:rPr>
          <w:b/>
          <w:lang w:val="en-US"/>
        </w:rPr>
        <w:t>ECE</w:t>
      </w:r>
      <w:r w:rsidRPr="00BF3C4A">
        <w:rPr>
          <w:b/>
        </w:rPr>
        <w:t xml:space="preserve">/… </w:t>
      </w:r>
      <w:r w:rsidRPr="00C649D3">
        <w:rPr>
          <w:b/>
        </w:rPr>
        <w:t>(</w:t>
      </w:r>
      <w:r>
        <w:rPr>
          <w:b/>
        </w:rPr>
        <w:t>резолюция, касающаяся размеров шин</w:t>
      </w:r>
      <w:r w:rsidRPr="00C649D3">
        <w:rPr>
          <w:b/>
        </w:rPr>
        <w:t>)]</w:t>
      </w:r>
      <w:r>
        <w:rPr>
          <w:rFonts w:eastAsiaTheme="minorEastAsia"/>
        </w:rPr>
        <w:t>»</w:t>
      </w:r>
    </w:p>
    <w:p w:rsidR="00C649D3" w:rsidRDefault="00C649D3" w:rsidP="00C649D3">
      <w:pPr>
        <w:pStyle w:val="HChGR"/>
      </w:pPr>
      <w:r w:rsidRPr="00E91AF2">
        <w:tab/>
      </w:r>
      <w:r w:rsidRPr="006559D0">
        <w:rPr>
          <w:lang w:val="en-US"/>
        </w:rPr>
        <w:t>II</w:t>
      </w:r>
      <w:r w:rsidRPr="00A65BD0">
        <w:t>.</w:t>
      </w:r>
      <w:r w:rsidRPr="00A65BD0">
        <w:tab/>
      </w:r>
      <w:r>
        <w:t>Обоснование</w:t>
      </w:r>
    </w:p>
    <w:p w:rsidR="00C649D3" w:rsidRPr="00AD6CEF" w:rsidRDefault="00C649D3" w:rsidP="00C649D3">
      <w:pPr>
        <w:pStyle w:val="SingleTxtGR"/>
      </w:pPr>
      <w:r w:rsidRPr="00AD6CEF">
        <w:tab/>
      </w:r>
      <w:r>
        <w:t>В Правилах № 106 указаны стандартные размеры шин, требующие частого обновления с учетом технического прогресса</w:t>
      </w:r>
      <w:r w:rsidRPr="00AD6CEF">
        <w:t>.</w:t>
      </w:r>
      <w:r>
        <w:t xml:space="preserve"> Для того чтобы ускорить процесс обновления Правил и ограничить количество поправок, предлагается включить стандартные размеры в новую резолюцию и сделать на нее ссылку в приложении 5.</w:t>
      </w:r>
    </w:p>
    <w:p w:rsidR="00C649D3" w:rsidRPr="002F150A" w:rsidRDefault="00C649D3" w:rsidP="00C649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F4" w:rsidRDefault="00971EF4" w:rsidP="00B471C5">
      <w:r>
        <w:separator/>
      </w:r>
    </w:p>
  </w:endnote>
  <w:endnote w:type="continuationSeparator" w:id="0">
    <w:p w:rsidR="00971EF4" w:rsidRDefault="00971EF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3795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649D3">
      <w:rPr>
        <w:lang w:val="en-US"/>
      </w:rPr>
      <w:t>11733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49D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D25C7">
            <w:rPr>
              <w:lang w:val="en-US"/>
            </w:rPr>
            <w:t>11733</w:t>
          </w:r>
          <w:r w:rsidRPr="001C3ABC">
            <w:rPr>
              <w:lang w:val="en-US"/>
            </w:rPr>
            <w:t xml:space="preserve"> (R)</w:t>
          </w:r>
          <w:r w:rsidR="00C649D3">
            <w:rPr>
              <w:lang w:val="en-US"/>
            </w:rPr>
            <w:t xml:space="preserve">  220716   250716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D25C7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RF/2016/4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D25C7" w:rsidRDefault="004D25C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D25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F4" w:rsidRPr="009141DC" w:rsidRDefault="00971EF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71EF4" w:rsidRPr="00D1261C" w:rsidRDefault="00971EF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649D3" w:rsidRPr="00C31ACE" w:rsidRDefault="00C649D3" w:rsidP="00C649D3">
      <w:pPr>
        <w:pStyle w:val="Notedebasdepage"/>
        <w:rPr>
          <w:lang w:val="ru-RU"/>
        </w:rPr>
      </w:pPr>
      <w:r>
        <w:tab/>
      </w:r>
      <w:r w:rsidRPr="00C31ACE">
        <w:rPr>
          <w:rStyle w:val="Appelnotedebasdep"/>
          <w:sz w:val="20"/>
          <w:vertAlign w:val="baseline"/>
          <w:lang w:val="ru-RU"/>
        </w:rPr>
        <w:t>*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D25C7" w:rsidRPr="004D25C7">
      <w:rPr>
        <w:lang w:val="en-US"/>
      </w:rPr>
      <w:t>TRANS/WP.29/GRRF/2016/47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7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25C7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7951"/>
    <w:rsid w:val="008717E8"/>
    <w:rsid w:val="008D01AE"/>
    <w:rsid w:val="008E0423"/>
    <w:rsid w:val="009141DC"/>
    <w:rsid w:val="009174A1"/>
    <w:rsid w:val="00971EF4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649D3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94612-9D52-479E-9C61-1F0B1B8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,5_G,PP"/>
    <w:basedOn w:val="Normal"/>
    <w:link w:val="NotedebasdepageC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,5_G Car,PP Car"/>
    <w:basedOn w:val="Policepardfaut"/>
    <w:link w:val="Notedebasdepage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C649D3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C649D3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82E7-1B00-4356-93D1-B0EB37EE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Bénédicte Boudol</cp:lastModifiedBy>
  <cp:revision>2</cp:revision>
  <cp:lastPrinted>2016-07-25T12:36:00Z</cp:lastPrinted>
  <dcterms:created xsi:type="dcterms:W3CDTF">2016-08-08T06:44:00Z</dcterms:created>
  <dcterms:modified xsi:type="dcterms:W3CDTF">2016-08-08T06:44:00Z</dcterms:modified>
</cp:coreProperties>
</file>