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CC" w:rsidRDefault="004C3ACC" w:rsidP="004C3ACC">
      <w:pPr>
        <w:spacing w:line="240" w:lineRule="auto"/>
        <w:rPr>
          <w:sz w:val="2"/>
        </w:rPr>
        <w:sectPr w:rsidR="004C3ACC" w:rsidSect="004C3A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4C3ACC" w:rsidRPr="00B62F9E" w:rsidRDefault="004C3ACC" w:rsidP="004C3ACC">
      <w:pPr>
        <w:pStyle w:val="H1"/>
        <w:spacing w:after="120"/>
        <w:rPr>
          <w:sz w:val="28"/>
          <w:lang w:val="fr-CH"/>
        </w:rPr>
      </w:pPr>
      <w:r w:rsidRPr="00B62F9E">
        <w:rPr>
          <w:sz w:val="28"/>
          <w:lang w:val="fr-CH"/>
        </w:rPr>
        <w:lastRenderedPageBreak/>
        <w:t>Commission économique pour l’Europe</w:t>
      </w:r>
    </w:p>
    <w:p w:rsidR="004C3ACC" w:rsidRPr="00B62F9E" w:rsidRDefault="004C3ACC" w:rsidP="004C3ACC">
      <w:pPr>
        <w:pStyle w:val="H1"/>
        <w:spacing w:after="120" w:line="300" w:lineRule="exact"/>
        <w:rPr>
          <w:b w:val="0"/>
          <w:sz w:val="28"/>
          <w:lang w:val="fr-CH"/>
        </w:rPr>
      </w:pPr>
      <w:r w:rsidRPr="00B62F9E">
        <w:rPr>
          <w:b w:val="0"/>
          <w:sz w:val="28"/>
          <w:lang w:val="fr-CH"/>
        </w:rPr>
        <w:t>Comité des transports intérieurs</w:t>
      </w:r>
    </w:p>
    <w:p w:rsidR="008169CA" w:rsidRPr="00B62F9E" w:rsidRDefault="008169CA" w:rsidP="008169C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62F9E">
        <w:rPr>
          <w:lang w:val="fr-CH"/>
        </w:rPr>
        <w:t xml:space="preserve">Forum mondial de l’harmonisation des Règlements </w:t>
      </w:r>
      <w:r w:rsidRPr="00B62F9E">
        <w:rPr>
          <w:lang w:val="fr-CH"/>
        </w:rPr>
        <w:br/>
        <w:t>concernant les véhicules</w:t>
      </w:r>
    </w:p>
    <w:p w:rsidR="008169CA" w:rsidRPr="00B62F9E" w:rsidRDefault="008169CA" w:rsidP="008169CA">
      <w:pPr>
        <w:spacing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62F9E">
        <w:rPr>
          <w:lang w:val="fr-CH"/>
        </w:rPr>
        <w:t>Groupe de travail de la pollution et de l’énergie</w:t>
      </w:r>
    </w:p>
    <w:p w:rsidR="008169CA" w:rsidRPr="00B62F9E" w:rsidRDefault="008169CA" w:rsidP="008169CA">
      <w:pPr>
        <w:spacing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62F9E">
        <w:rPr>
          <w:lang w:val="fr-CH"/>
        </w:rPr>
        <w:t>Soixante-douzième session</w:t>
      </w:r>
    </w:p>
    <w:p w:rsidR="008169CA" w:rsidRPr="00B62F9E" w:rsidRDefault="008169CA" w:rsidP="008169CA">
      <w:pPr>
        <w:rPr>
          <w:lang w:val="fr-CH"/>
        </w:rPr>
      </w:pPr>
      <w:r w:rsidRPr="00B62F9E">
        <w:rPr>
          <w:lang w:val="fr-CH"/>
        </w:rPr>
        <w:t>Genève, 12-15 janvier 2016</w:t>
      </w:r>
    </w:p>
    <w:p w:rsidR="008169CA" w:rsidRPr="00B62F9E" w:rsidRDefault="008169CA" w:rsidP="008169CA">
      <w:pPr>
        <w:rPr>
          <w:lang w:val="fr-CH"/>
        </w:rPr>
      </w:pPr>
      <w:r w:rsidRPr="00B62F9E">
        <w:rPr>
          <w:lang w:val="fr-CH"/>
        </w:rPr>
        <w:t>Point 5 de l’ordre du jour provisoire</w:t>
      </w:r>
    </w:p>
    <w:p w:rsidR="008169CA" w:rsidRPr="00B62F9E" w:rsidRDefault="008169CA" w:rsidP="008169C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62F9E">
        <w:rPr>
          <w:lang w:val="fr-CH"/>
        </w:rPr>
        <w:t>Règlements</w:t>
      </w:r>
      <w:r w:rsidR="003E6476" w:rsidRPr="00B62F9E">
        <w:rPr>
          <w:lang w:val="fr-CH"/>
        </w:rPr>
        <w:t xml:space="preserve"> </w:t>
      </w:r>
      <w:r w:rsidRPr="00B62F9E">
        <w:rPr>
          <w:lang w:val="fr-CH"/>
        </w:rPr>
        <w:t>n</w:t>
      </w:r>
      <w:r w:rsidRPr="00B62F9E">
        <w:rPr>
          <w:vertAlign w:val="superscript"/>
          <w:lang w:val="fr-CH"/>
        </w:rPr>
        <w:t>os</w:t>
      </w:r>
      <w:r w:rsidRPr="00B62F9E">
        <w:rPr>
          <w:lang w:val="fr-CH"/>
        </w:rPr>
        <w:t xml:space="preserve"> 85 (Mesure de la puissance nette), </w:t>
      </w:r>
      <w:r w:rsidRPr="00B62F9E">
        <w:rPr>
          <w:lang w:val="fr-CH"/>
        </w:rPr>
        <w:br/>
        <w:t>115</w:t>
      </w:r>
      <w:r w:rsidR="003E6476" w:rsidRPr="00B62F9E">
        <w:rPr>
          <w:lang w:val="fr-CH"/>
        </w:rPr>
        <w:t xml:space="preserve"> </w:t>
      </w:r>
      <w:r w:rsidRPr="00B62F9E">
        <w:rPr>
          <w:lang w:val="fr-CH"/>
        </w:rPr>
        <w:t>(Systèmes de</w:t>
      </w:r>
      <w:r w:rsidR="00F03B07">
        <w:rPr>
          <w:lang w:val="fr-CH"/>
        </w:rPr>
        <w:t xml:space="preserve"> </w:t>
      </w:r>
      <w:r w:rsidRPr="00B62F9E">
        <w:rPr>
          <w:lang w:val="fr-CH"/>
        </w:rPr>
        <w:t>conversion au</w:t>
      </w:r>
      <w:r w:rsidR="003E6476" w:rsidRPr="00B62F9E">
        <w:rPr>
          <w:lang w:val="fr-CH"/>
        </w:rPr>
        <w:t xml:space="preserve"> </w:t>
      </w:r>
      <w:r w:rsidRPr="00B62F9E">
        <w:rPr>
          <w:lang w:val="fr-CH"/>
        </w:rPr>
        <w:t>GPL et</w:t>
      </w:r>
      <w:r w:rsidR="003E6476" w:rsidRPr="00B62F9E">
        <w:rPr>
          <w:lang w:val="fr-CH"/>
        </w:rPr>
        <w:t xml:space="preserve"> </w:t>
      </w:r>
      <w:r w:rsidRPr="00B62F9E">
        <w:rPr>
          <w:lang w:val="fr-CH"/>
        </w:rPr>
        <w:t xml:space="preserve">GNC) </w:t>
      </w:r>
      <w:r w:rsidRPr="00B62F9E">
        <w:rPr>
          <w:lang w:val="fr-CH"/>
        </w:rPr>
        <w:br/>
        <w:t>et 133</w:t>
      </w:r>
      <w:r w:rsidR="003E6476" w:rsidRPr="00B62F9E">
        <w:rPr>
          <w:lang w:val="fr-CH"/>
        </w:rPr>
        <w:t xml:space="preserve"> </w:t>
      </w:r>
      <w:r w:rsidRPr="00B62F9E">
        <w:rPr>
          <w:lang w:val="fr-CH"/>
        </w:rPr>
        <w:t>(Recyclage des véhicules automobiles)</w:t>
      </w: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62F9E">
        <w:rPr>
          <w:lang w:val="fr-CH"/>
        </w:rPr>
        <w:tab/>
      </w:r>
      <w:r w:rsidRPr="00B62F9E">
        <w:rPr>
          <w:lang w:val="fr-CH"/>
        </w:rPr>
        <w:tab/>
        <w:t xml:space="preserve">Proposition de nouveau complément à la version d’origine </w:t>
      </w:r>
      <w:r w:rsidRPr="00B62F9E">
        <w:rPr>
          <w:lang w:val="fr-CH"/>
        </w:rPr>
        <w:br/>
        <w:t>du Règlement n</w:t>
      </w:r>
      <w:r w:rsidRPr="00B62F9E">
        <w:rPr>
          <w:vertAlign w:val="superscript"/>
          <w:lang w:val="fr-CH"/>
        </w:rPr>
        <w:t>o </w:t>
      </w:r>
      <w:r w:rsidRPr="00B62F9E">
        <w:rPr>
          <w:lang w:val="fr-CH"/>
        </w:rPr>
        <w:t xml:space="preserve">115 (Systèmes de conversion au GPL </w:t>
      </w:r>
      <w:r w:rsidRPr="00B62F9E">
        <w:rPr>
          <w:lang w:val="fr-CH"/>
        </w:rPr>
        <w:br/>
        <w:t>et GNC)</w:t>
      </w: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lang w:val="fr-CH"/>
        </w:rPr>
      </w:pPr>
      <w:r w:rsidRPr="00B62F9E">
        <w:rPr>
          <w:lang w:val="fr-CH"/>
        </w:rPr>
        <w:tab/>
      </w:r>
      <w:r w:rsidRPr="00B62F9E">
        <w:rPr>
          <w:lang w:val="fr-CH"/>
        </w:rPr>
        <w:tab/>
        <w:t xml:space="preserve">Communication du président du groupe informel des véhicules </w:t>
      </w:r>
      <w:r w:rsidRPr="00B62F9E">
        <w:rPr>
          <w:lang w:val="fr-CH"/>
        </w:rPr>
        <w:br/>
        <w:t>fonctionnant au gaz (GFV)</w:t>
      </w:r>
      <w:r w:rsidRPr="00B62F9E">
        <w:rPr>
          <w:rStyle w:val="FootnoteReference"/>
          <w:b w:val="0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DE05AF" w:rsidRDefault="008169CA" w:rsidP="008169CA">
      <w:pPr>
        <w:pStyle w:val="SingleTxt"/>
        <w:rPr>
          <w:spacing w:val="-2"/>
          <w:lang w:val="fr-CH"/>
        </w:rPr>
      </w:pPr>
      <w:r w:rsidRPr="00B62F9E">
        <w:rPr>
          <w:lang w:val="fr-CH"/>
        </w:rPr>
        <w:tab/>
      </w:r>
      <w:r w:rsidRPr="00DE05AF">
        <w:rPr>
          <w:spacing w:val="-2"/>
          <w:lang w:val="fr-CH"/>
        </w:rPr>
        <w:t>Le texte reproduit ci-dessous a été établi par le président du groupe informel des véhicules fonctionnant au gaz (GFV).</w:t>
      </w:r>
      <w:r w:rsidRPr="00DE05AF">
        <w:rPr>
          <w:spacing w:val="-2"/>
          <w:szCs w:val="24"/>
          <w:lang w:val="fr-CH"/>
        </w:rPr>
        <w:t xml:space="preserve"> </w:t>
      </w:r>
      <w:r w:rsidRPr="00DE05AF">
        <w:rPr>
          <w:spacing w:val="-2"/>
          <w:lang w:val="fr-CH"/>
        </w:rPr>
        <w:t>Il est fondé sur le document informel GRPE-71-03 (voir le rapport ECE/TRANS/WP.29/GRPE/71, par. 36</w:t>
      </w:r>
      <w:r w:rsidR="00455744" w:rsidRPr="00DE05AF">
        <w:rPr>
          <w:spacing w:val="-2"/>
          <w:lang w:val="fr-CH"/>
        </w:rPr>
        <w:t xml:space="preserve"> et </w:t>
      </w:r>
      <w:r w:rsidRPr="00DE05AF">
        <w:rPr>
          <w:spacing w:val="-2"/>
          <w:lang w:val="fr-CH"/>
        </w:rPr>
        <w:t xml:space="preserve">37); il </w:t>
      </w:r>
      <w:r w:rsidRPr="00DE05AF">
        <w:rPr>
          <w:rFonts w:eastAsia="Times New Roman"/>
          <w:spacing w:val="-2"/>
          <w:lang w:val="fr-CH"/>
        </w:rPr>
        <w:t xml:space="preserve">a pour objet de </w:t>
      </w:r>
      <w:r w:rsidRPr="00DE05AF">
        <w:rPr>
          <w:spacing w:val="-2"/>
          <w:lang w:val="fr-CH"/>
        </w:rPr>
        <w:t xml:space="preserve">simplifier le modèle de fiche de communication concernant l’homologation. </w:t>
      </w:r>
      <w:r w:rsidRPr="00DE05AF">
        <w:rPr>
          <w:spacing w:val="-2"/>
          <w:szCs w:val="24"/>
          <w:lang w:val="fr-CH"/>
        </w:rPr>
        <w:t xml:space="preserve">Les modifications au texte actuel du Règlement </w:t>
      </w:r>
      <w:r w:rsidR="00F03B07" w:rsidRPr="00DE05AF">
        <w:rPr>
          <w:spacing w:val="-2"/>
          <w:szCs w:val="24"/>
          <w:lang w:val="fr-CH"/>
        </w:rPr>
        <w:t>n</w:t>
      </w:r>
      <w:r w:rsidRPr="00DE05AF">
        <w:rPr>
          <w:spacing w:val="-2"/>
          <w:szCs w:val="24"/>
          <w:vertAlign w:val="superscript"/>
          <w:lang w:val="fr-CH"/>
        </w:rPr>
        <w:t>o</w:t>
      </w:r>
      <w:r w:rsidR="00F03B07" w:rsidRPr="00DE05AF">
        <w:rPr>
          <w:spacing w:val="-2"/>
          <w:szCs w:val="24"/>
          <w:lang w:val="fr-CH"/>
        </w:rPr>
        <w:t> </w:t>
      </w:r>
      <w:r w:rsidRPr="00DE05AF">
        <w:rPr>
          <w:spacing w:val="-2"/>
          <w:szCs w:val="24"/>
          <w:lang w:val="fr-CH"/>
        </w:rPr>
        <w:t>115 sont indiquées en caractères gras pour les additions et en caractères biffés pour les suppressions.</w:t>
      </w:r>
    </w:p>
    <w:p w:rsidR="008169CA" w:rsidRPr="00B62F9E" w:rsidRDefault="008169CA" w:rsidP="008169C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62F9E">
        <w:rPr>
          <w:lang w:val="fr-CH"/>
        </w:rPr>
        <w:br w:type="page"/>
      </w:r>
      <w:r w:rsidRPr="00B62F9E">
        <w:rPr>
          <w:lang w:val="fr-CH"/>
        </w:rPr>
        <w:lastRenderedPageBreak/>
        <w:tab/>
        <w:t>I.</w:t>
      </w:r>
      <w:r w:rsidRPr="00B62F9E">
        <w:rPr>
          <w:lang w:val="fr-CH"/>
        </w:rPr>
        <w:tab/>
        <w:t>Propos</w:t>
      </w:r>
      <w:r w:rsidR="00BB4D8F" w:rsidRPr="00B62F9E">
        <w:rPr>
          <w:lang w:val="fr-CH"/>
        </w:rPr>
        <w:t>ition</w:t>
      </w: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rPr>
          <w:lang w:val="fr-CH"/>
        </w:rPr>
      </w:pPr>
      <w:r w:rsidRPr="00B62F9E">
        <w:rPr>
          <w:i/>
          <w:lang w:val="fr-CH"/>
        </w:rPr>
        <w:t>Annexe 1A-Additif</w:t>
      </w:r>
      <w:r w:rsidRPr="00B62F9E">
        <w:rPr>
          <w:lang w:val="fr-CH"/>
        </w:rPr>
        <w:t>, lire :</w:t>
      </w: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BB4D8F" w:rsidP="00BB4D8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57489">
        <w:rPr>
          <w:b w:val="0"/>
          <w:sz w:val="20"/>
          <w:szCs w:val="20"/>
          <w:lang w:val="fr-CH"/>
        </w:rPr>
        <w:t>«</w:t>
      </w:r>
      <w:r w:rsidRPr="00B62F9E">
        <w:rPr>
          <w:lang w:val="fr-CH"/>
        </w:rPr>
        <w:t> </w:t>
      </w:r>
      <w:r w:rsidR="008169CA" w:rsidRPr="00B62F9E">
        <w:rPr>
          <w:lang w:val="fr-CH"/>
        </w:rPr>
        <w:t xml:space="preserve">Annexe 1A </w:t>
      </w:r>
      <w:r w:rsidR="00455744">
        <w:rPr>
          <w:lang w:val="fr-CH"/>
        </w:rPr>
        <w:t>–</w:t>
      </w:r>
      <w:r w:rsidR="008169CA" w:rsidRPr="00B62F9E">
        <w:rPr>
          <w:lang w:val="fr-CH"/>
        </w:rPr>
        <w:t xml:space="preserve"> Additif </w:t>
      </w: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BB4D8F" w:rsidP="00BB4D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62F9E">
        <w:rPr>
          <w:lang w:val="fr-CH"/>
        </w:rPr>
        <w:tab/>
      </w:r>
      <w:r w:rsidRPr="00B62F9E">
        <w:rPr>
          <w:lang w:val="fr-CH"/>
        </w:rPr>
        <w:tab/>
      </w:r>
      <w:r w:rsidR="008169CA" w:rsidRPr="00B62F9E">
        <w:rPr>
          <w:lang w:val="fr-CH"/>
        </w:rPr>
        <w:t>Additif à la fiche</w:t>
      </w:r>
      <w:bookmarkStart w:id="1" w:name="insstart"/>
      <w:bookmarkEnd w:id="1"/>
      <w:r w:rsidR="008169CA" w:rsidRPr="00B62F9E">
        <w:rPr>
          <w:lang w:val="fr-CH"/>
        </w:rPr>
        <w:t xml:space="preserve"> de communication concernant </w:t>
      </w:r>
      <w:r w:rsidRPr="00B62F9E">
        <w:rPr>
          <w:lang w:val="fr-CH"/>
        </w:rPr>
        <w:br/>
      </w:r>
      <w:r w:rsidR="008169CA" w:rsidRPr="00B62F9E">
        <w:rPr>
          <w:lang w:val="fr-CH"/>
        </w:rPr>
        <w:t xml:space="preserve">un type d’équipement de conversion au GPL </w:t>
      </w:r>
      <w:r w:rsidRPr="00B62F9E">
        <w:rPr>
          <w:lang w:val="fr-CH"/>
        </w:rPr>
        <w:br/>
      </w:r>
      <w:r w:rsidR="008169CA" w:rsidRPr="00B62F9E">
        <w:rPr>
          <w:lang w:val="fr-CH"/>
        </w:rPr>
        <w:t xml:space="preserve">conforme au Règlement </w:t>
      </w:r>
      <w:r w:rsidRPr="00B62F9E">
        <w:rPr>
          <w:lang w:val="fr-CH"/>
        </w:rPr>
        <w:t>n</w:t>
      </w:r>
      <w:r w:rsidR="008169CA" w:rsidRPr="00B62F9E">
        <w:rPr>
          <w:vertAlign w:val="superscript"/>
          <w:lang w:val="fr-CH"/>
        </w:rPr>
        <w:t>o</w:t>
      </w:r>
      <w:r w:rsidR="008169CA" w:rsidRPr="00B62F9E">
        <w:rPr>
          <w:lang w:val="fr-CH"/>
        </w:rPr>
        <w:t> 115</w:t>
      </w: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D60C4E">
      <w:pPr>
        <w:pStyle w:val="SingleTxt"/>
        <w:tabs>
          <w:tab w:val="clear" w:pos="1267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1742"/>
          <w:tab w:val="left" w:leader="dot" w:pos="4320"/>
          <w:tab w:val="left" w:leader="dot" w:pos="8784"/>
        </w:tabs>
        <w:rPr>
          <w:sz w:val="24"/>
          <w:szCs w:val="20"/>
          <w:lang w:val="fr-CH" w:eastAsia="fr-FR"/>
        </w:rPr>
      </w:pPr>
      <w:r w:rsidRPr="00B62F9E">
        <w:rPr>
          <w:lang w:val="fr-CH"/>
        </w:rPr>
        <w:t>(N</w:t>
      </w:r>
      <w:r w:rsidRPr="00B62F9E">
        <w:rPr>
          <w:vertAlign w:val="superscript"/>
          <w:lang w:val="fr-CH"/>
        </w:rPr>
        <w:t>o </w:t>
      </w:r>
      <w:r w:rsidRPr="00B62F9E">
        <w:rPr>
          <w:lang w:val="fr-CH"/>
        </w:rPr>
        <w:t xml:space="preserve">d’homologation </w:t>
      </w:r>
      <w:r w:rsidR="00D60C4E">
        <w:rPr>
          <w:lang w:val="fr-CH"/>
        </w:rPr>
        <w:tab/>
      </w:r>
      <w:r w:rsidRPr="00B62F9E">
        <w:rPr>
          <w:lang w:val="fr-CH"/>
        </w:rPr>
        <w:t>N</w:t>
      </w:r>
      <w:r w:rsidRPr="00B62F9E">
        <w:rPr>
          <w:vertAlign w:val="superscript"/>
          <w:lang w:val="fr-CH"/>
        </w:rPr>
        <w:t>o </w:t>
      </w:r>
      <w:r w:rsidRPr="00B62F9E">
        <w:rPr>
          <w:lang w:val="fr-CH"/>
        </w:rPr>
        <w:t>d’extension</w:t>
      </w:r>
      <w:r w:rsidR="00D60C4E">
        <w:rPr>
          <w:lang w:val="fr-CH" w:eastAsia="fr-FR"/>
        </w:rPr>
        <w:tab/>
      </w:r>
      <w:r w:rsidR="00455744">
        <w:rPr>
          <w:lang w:val="fr-CH" w:eastAsia="fr-FR"/>
        </w:rPr>
        <w:t>)</w:t>
      </w:r>
    </w:p>
    <w:p w:rsidR="008169CA" w:rsidRPr="00B62F9E" w:rsidRDefault="008169CA" w:rsidP="00BB4D8F">
      <w:pPr>
        <w:pStyle w:val="SingleTxt"/>
        <w:rPr>
          <w:lang w:val="fr-CH"/>
        </w:rPr>
      </w:pPr>
      <w:r w:rsidRPr="00B62F9E">
        <w:rPr>
          <w:lang w:val="fr-CH"/>
        </w:rPr>
        <w:t>1.</w:t>
      </w:r>
      <w:r w:rsidRPr="00B62F9E">
        <w:rPr>
          <w:lang w:val="fr-CH"/>
        </w:rPr>
        <w:tab/>
        <w:t>Véhicules sur lesquels le système de conversion a été essayé</w:t>
      </w:r>
      <w:r w:rsidR="00BB4D8F" w:rsidRPr="00B62F9E">
        <w:rPr>
          <w:lang w:val="fr-CH"/>
        </w:rPr>
        <w:t> </w:t>
      </w:r>
      <w:r w:rsidRPr="00B62F9E">
        <w:rPr>
          <w:lang w:val="fr-CH"/>
        </w:rPr>
        <w:t>:</w:t>
      </w: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8361" w:type="dxa"/>
        <w:tblInd w:w="1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1446"/>
        <w:gridCol w:w="1446"/>
        <w:gridCol w:w="1447"/>
      </w:tblGrid>
      <w:tr w:rsidR="008169CA" w:rsidRPr="00B62F9E" w:rsidTr="002067C5">
        <w:trPr>
          <w:tblHeader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BB4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rPr>
                <w:i/>
                <w:sz w:val="14"/>
                <w:szCs w:val="14"/>
                <w:lang w:val="fr-CH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Numéro de véhicule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174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174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174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n</w:t>
            </w:r>
          </w:p>
        </w:tc>
      </w:tr>
      <w:tr w:rsidR="008169CA" w:rsidRPr="00B62F9E" w:rsidTr="002067C5">
        <w:trPr>
          <w:trHeight w:hRule="exact" w:val="113"/>
        </w:trPr>
        <w:tc>
          <w:tcPr>
            <w:tcW w:w="40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Marque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Type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Catégorie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565B46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b/>
                <w:sz w:val="24"/>
                <w:szCs w:val="18"/>
                <w:lang w:val="fr-CH" w:eastAsia="fr-FR"/>
              </w:rPr>
            </w:pPr>
            <w:r w:rsidRPr="00565B46">
              <w:rPr>
                <w:b/>
                <w:szCs w:val="18"/>
                <w:lang w:val="fr-CH" w:eastAsia="fr-FR"/>
              </w:rPr>
              <w:t>Type du moteur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trike/>
                <w:szCs w:val="18"/>
                <w:lang w:val="fr-CH" w:eastAsia="fr-FR"/>
              </w:rPr>
              <w:t>Limites</w:t>
            </w:r>
            <w:r w:rsidRPr="00B62F9E">
              <w:rPr>
                <w:szCs w:val="18"/>
                <w:lang w:val="fr-CH" w:eastAsia="fr-FR"/>
              </w:rPr>
              <w:t xml:space="preserve"> </w:t>
            </w:r>
            <w:r w:rsidRPr="00B62F9E">
              <w:rPr>
                <w:b/>
                <w:szCs w:val="18"/>
                <w:lang w:val="fr-CH" w:eastAsia="fr-FR"/>
              </w:rPr>
              <w:t>Niveau</w:t>
            </w:r>
            <w:r w:rsidRPr="00B62F9E">
              <w:rPr>
                <w:szCs w:val="18"/>
                <w:lang w:val="fr-CH" w:eastAsia="fr-FR"/>
              </w:rPr>
              <w:t xml:space="preserve"> d’émissions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Puissance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2067C5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 w:eastAsia="fr-FR"/>
              </w:rPr>
            </w:pPr>
            <w:r w:rsidRPr="00B62F9E">
              <w:rPr>
                <w:szCs w:val="18"/>
                <w:lang w:val="fr-CH" w:eastAsia="fr-FR"/>
              </w:rPr>
              <w:t>Type du système antipollution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</w:tbl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BB4D8F" w:rsidRPr="00B62F9E" w:rsidRDefault="00BB4D8F" w:rsidP="00BB4D8F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8169CA" w:rsidRPr="00B62F9E" w:rsidRDefault="008169CA" w:rsidP="00BB4D8F">
      <w:pPr>
        <w:pStyle w:val="SingleTxt"/>
        <w:rPr>
          <w:szCs w:val="20"/>
          <w:lang w:val="fr-CH" w:eastAsia="fr-FR"/>
        </w:rPr>
      </w:pPr>
      <w:r w:rsidRPr="00B62F9E">
        <w:rPr>
          <w:b/>
          <w:lang w:val="fr-CH" w:eastAsia="fr-FR"/>
        </w:rPr>
        <w:t>1.1</w:t>
      </w:r>
      <w:r w:rsidRPr="00B62F9E">
        <w:rPr>
          <w:strike/>
          <w:lang w:val="fr-CH" w:eastAsia="fr-FR"/>
        </w:rPr>
        <w:t>2</w:t>
      </w:r>
      <w:r w:rsidR="00101DB0" w:rsidRPr="00B62F9E">
        <w:rPr>
          <w:lang w:val="fr-CH" w:eastAsia="fr-FR"/>
        </w:rPr>
        <w:t>.</w:t>
      </w:r>
      <w:r w:rsidRPr="00B62F9E">
        <w:rPr>
          <w:lang w:val="fr-CH" w:eastAsia="fr-FR"/>
        </w:rPr>
        <w:t>Résultats des essais</w:t>
      </w:r>
      <w:r w:rsidR="00BB4D8F" w:rsidRPr="00B62F9E">
        <w:rPr>
          <w:lang w:val="fr-CH" w:eastAsia="fr-FR"/>
        </w:rPr>
        <w:t> </w:t>
      </w:r>
      <w:r w:rsidRPr="00B62F9E">
        <w:rPr>
          <w:lang w:val="fr-CH" w:eastAsia="fr-FR"/>
        </w:rPr>
        <w:t>:</w:t>
      </w:r>
    </w:p>
    <w:p w:rsidR="008169CA" w:rsidRPr="00B62F9E" w:rsidRDefault="00101DB0" w:rsidP="003F53F7">
      <w:pPr>
        <w:pStyle w:val="SingleTxt"/>
        <w:tabs>
          <w:tab w:val="clear" w:pos="4622"/>
          <w:tab w:val="clear" w:pos="5098"/>
          <w:tab w:val="clear" w:pos="5573"/>
          <w:tab w:val="clear" w:pos="6048"/>
          <w:tab w:val="right" w:leader="dot" w:pos="8784"/>
        </w:tabs>
        <w:rPr>
          <w:lang w:val="fr-CH" w:eastAsia="fr-FR"/>
        </w:rPr>
      </w:pPr>
      <w:r w:rsidRPr="00B62F9E">
        <w:rPr>
          <w:lang w:val="fr-CH" w:eastAsia="fr-FR"/>
        </w:rPr>
        <w:tab/>
      </w:r>
      <w:r w:rsidR="008169CA" w:rsidRPr="00B62F9E">
        <w:rPr>
          <w:strike/>
          <w:lang w:val="fr-CH" w:eastAsia="fr-FR"/>
        </w:rPr>
        <w:t>Rapport CO</w:t>
      </w:r>
      <w:r w:rsidR="008169CA" w:rsidRPr="00B62F9E">
        <w:rPr>
          <w:strike/>
          <w:vertAlign w:val="subscript"/>
          <w:lang w:val="fr-CH" w:eastAsia="fr-FR"/>
        </w:rPr>
        <w:t xml:space="preserve">2LPG </w:t>
      </w:r>
      <w:r w:rsidRPr="00B62F9E">
        <w:rPr>
          <w:strike/>
          <w:lang w:val="fr-CH" w:eastAsia="fr-FR"/>
        </w:rPr>
        <w:t>/</w:t>
      </w:r>
      <w:r w:rsidR="008169CA" w:rsidRPr="00B62F9E">
        <w:rPr>
          <w:strike/>
          <w:lang w:val="fr-CH" w:eastAsia="fr-FR"/>
        </w:rPr>
        <w:t>CO</w:t>
      </w:r>
      <w:r w:rsidR="008169CA" w:rsidRPr="00B62F9E">
        <w:rPr>
          <w:strike/>
          <w:vertAlign w:val="subscript"/>
          <w:lang w:val="fr-CH" w:eastAsia="fr-FR"/>
        </w:rPr>
        <w:t>2petrol</w:t>
      </w:r>
      <w:r w:rsidR="008169CA" w:rsidRPr="00B62F9E">
        <w:rPr>
          <w:strike/>
          <w:sz w:val="18"/>
          <w:szCs w:val="18"/>
          <w:vertAlign w:val="superscript"/>
          <w:lang w:val="fr-CH" w:eastAsia="fr-FR"/>
        </w:rPr>
        <w:t>2</w:t>
      </w:r>
      <w:r w:rsidRPr="00B62F9E">
        <w:rPr>
          <w:lang w:val="fr-CH" w:eastAsia="fr-FR"/>
        </w:rPr>
        <w:t>:</w:t>
      </w:r>
      <w:r w:rsidR="003F53F7" w:rsidRPr="00B62F9E">
        <w:rPr>
          <w:lang w:val="fr-CH" w:eastAsia="fr-FR"/>
        </w:rPr>
        <w:tab/>
      </w:r>
      <w:r w:rsidR="0048618D" w:rsidRPr="00B62F9E">
        <w:rPr>
          <w:lang w:val="fr-CH" w:eastAsia="fr-FR"/>
        </w:rPr>
        <w:tab/>
      </w:r>
    </w:p>
    <w:p w:rsidR="008169CA" w:rsidRPr="00B62F9E" w:rsidRDefault="00101DB0" w:rsidP="00101DB0">
      <w:pPr>
        <w:pStyle w:val="SingleTxt"/>
        <w:tabs>
          <w:tab w:val="clear" w:pos="4622"/>
          <w:tab w:val="clear" w:pos="5098"/>
          <w:tab w:val="clear" w:pos="5573"/>
          <w:tab w:val="clear" w:pos="6048"/>
          <w:tab w:val="right" w:leader="dot" w:pos="8784"/>
        </w:tabs>
        <w:rPr>
          <w:lang w:val="fr-CH" w:eastAsia="fr-FR"/>
        </w:rPr>
      </w:pPr>
      <w:r w:rsidRPr="00B62F9E">
        <w:rPr>
          <w:lang w:val="fr-CH" w:eastAsia="fr-FR"/>
        </w:rPr>
        <w:tab/>
      </w:r>
      <w:r w:rsidR="008169CA" w:rsidRPr="00B62F9E">
        <w:rPr>
          <w:strike/>
          <w:lang w:val="fr-CH" w:eastAsia="fr-FR"/>
        </w:rPr>
        <w:t>Rapport Power</w:t>
      </w:r>
      <w:r w:rsidR="008169CA" w:rsidRPr="00B62F9E">
        <w:rPr>
          <w:strike/>
          <w:vertAlign w:val="subscript"/>
          <w:lang w:val="fr-CH" w:eastAsia="fr-FR"/>
        </w:rPr>
        <w:t>LPG</w:t>
      </w:r>
      <w:r w:rsidR="008169CA" w:rsidRPr="00B62F9E">
        <w:rPr>
          <w:strike/>
          <w:lang w:val="fr-CH" w:eastAsia="fr-FR"/>
        </w:rPr>
        <w:t>/Power</w:t>
      </w:r>
      <w:r w:rsidR="008169CA" w:rsidRPr="00B62F9E">
        <w:rPr>
          <w:strike/>
          <w:vertAlign w:val="subscript"/>
          <w:lang w:val="fr-CH" w:eastAsia="fr-FR"/>
        </w:rPr>
        <w:t>petrol (or diesel)</w:t>
      </w:r>
      <w:r w:rsidRPr="00B62F9E">
        <w:rPr>
          <w:strike/>
          <w:lang w:val="fr-CH" w:eastAsia="fr-FR"/>
        </w:rPr>
        <w:t xml:space="preserve">: </w:t>
      </w:r>
      <w:r w:rsidRPr="00B62F9E">
        <w:rPr>
          <w:strike/>
          <w:lang w:val="fr-CH" w:eastAsia="fr-FR"/>
        </w:rPr>
        <w:tab/>
      </w:r>
    </w:p>
    <w:tbl>
      <w:tblPr>
        <w:tblW w:w="8748" w:type="dxa"/>
        <w:tblInd w:w="127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6"/>
        <w:gridCol w:w="509"/>
        <w:gridCol w:w="720"/>
        <w:gridCol w:w="720"/>
        <w:gridCol w:w="720"/>
        <w:gridCol w:w="900"/>
        <w:gridCol w:w="990"/>
        <w:gridCol w:w="720"/>
        <w:gridCol w:w="720"/>
        <w:gridCol w:w="720"/>
        <w:gridCol w:w="738"/>
      </w:tblGrid>
      <w:tr w:rsidR="008169CA" w:rsidRPr="00B62F9E" w:rsidTr="001745A1">
        <w:trPr>
          <w:tblHeader/>
        </w:trPr>
        <w:tc>
          <w:tcPr>
            <w:tcW w:w="1291" w:type="dxa"/>
            <w:gridSpan w:val="2"/>
            <w:tcBorders>
              <w:bottom w:val="single" w:sz="4" w:space="0" w:color="auto"/>
              <w:right w:val="nil"/>
            </w:tcBorders>
            <w:vAlign w:val="bottom"/>
            <w:hideMark/>
          </w:tcPr>
          <w:p w:rsidR="008169CA" w:rsidRPr="00B62F9E" w:rsidRDefault="008169CA" w:rsidP="00783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Carburant</w:t>
            </w:r>
          </w:p>
        </w:tc>
        <w:tc>
          <w:tcPr>
            <w:tcW w:w="3569" w:type="dxa"/>
            <w:gridSpan w:val="5"/>
            <w:tcBorders>
              <w:left w:val="nil"/>
            </w:tcBorders>
            <w:vAlign w:val="bottom"/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Essence (</w:t>
            </w:r>
            <w:r w:rsidRPr="00565B46">
              <w:rPr>
                <w:i/>
                <w:strike/>
                <w:sz w:val="16"/>
                <w:szCs w:val="16"/>
                <w:lang w:val="fr-CH" w:eastAsia="fr-FR"/>
              </w:rPr>
              <w:t>ou gazole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>)</w:t>
            </w:r>
            <w:r w:rsidRPr="00B62F9E">
              <w:rPr>
                <w:sz w:val="18"/>
                <w:szCs w:val="18"/>
                <w:vertAlign w:val="superscript"/>
                <w:lang w:val="fr-CH" w:eastAsia="fr-FR"/>
              </w:rPr>
              <w:t>1</w:t>
            </w:r>
          </w:p>
        </w:tc>
        <w:tc>
          <w:tcPr>
            <w:tcW w:w="3888" w:type="dxa"/>
            <w:gridSpan w:val="5"/>
            <w:vAlign w:val="bottom"/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GPL</w:t>
            </w:r>
          </w:p>
        </w:tc>
      </w:tr>
      <w:tr w:rsidR="00247556" w:rsidRPr="00B62F9E" w:rsidTr="001745A1">
        <w:tc>
          <w:tcPr>
            <w:tcW w:w="845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lang w:val="fr-CH" w:eastAsia="fr-FR"/>
              </w:rPr>
              <w:t>Numéro de véhicule</w:t>
            </w:r>
          </w:p>
        </w:tc>
        <w:tc>
          <w:tcPr>
            <w:tcW w:w="955" w:type="dxa"/>
            <w:gridSpan w:val="2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Puissance (kW)</w:t>
            </w:r>
          </w:p>
        </w:tc>
        <w:tc>
          <w:tcPr>
            <w:tcW w:w="72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CO</w:t>
            </w:r>
            <w:r w:rsidRPr="00247556">
              <w:rPr>
                <w:strike/>
                <w:sz w:val="18"/>
                <w:szCs w:val="18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 xml:space="preserve"> (g/km)</w:t>
            </w:r>
          </w:p>
        </w:tc>
        <w:tc>
          <w:tcPr>
            <w:tcW w:w="72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HC</w:t>
            </w:r>
            <w:r w:rsidRPr="00247556">
              <w:rPr>
                <w:strike/>
                <w:sz w:val="18"/>
                <w:szCs w:val="18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8"/>
                <w:szCs w:val="18"/>
                <w:lang w:val="fr-CH" w:eastAsia="fr-FR"/>
              </w:rPr>
              <w:t xml:space="preserve"> 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>(g/km)</w:t>
            </w:r>
          </w:p>
        </w:tc>
        <w:tc>
          <w:tcPr>
            <w:tcW w:w="72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NO</w:t>
            </w:r>
            <w:r w:rsidRPr="00B62F9E">
              <w:rPr>
                <w:i/>
                <w:sz w:val="16"/>
                <w:szCs w:val="16"/>
                <w:vertAlign w:val="subscript"/>
                <w:lang w:val="fr-CH"/>
              </w:rPr>
              <w:t>x</w:t>
            </w:r>
            <w:r w:rsidRPr="00247556">
              <w:rPr>
                <w:strike/>
                <w:sz w:val="18"/>
                <w:szCs w:val="18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 xml:space="preserve"> (g/km)</w:t>
            </w:r>
          </w:p>
        </w:tc>
        <w:tc>
          <w:tcPr>
            <w:tcW w:w="90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CO</w:t>
            </w:r>
            <w:r w:rsidRPr="00B62F9E">
              <w:rPr>
                <w:i/>
                <w:sz w:val="16"/>
                <w:szCs w:val="16"/>
                <w:vertAlign w:val="subscript"/>
                <w:lang w:val="fr-CH"/>
              </w:rPr>
              <w:t>2</w:t>
            </w:r>
            <w:r w:rsidRPr="00247556">
              <w:rPr>
                <w:strike/>
                <w:sz w:val="18"/>
                <w:szCs w:val="18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 xml:space="preserve"> (g/km)</w:t>
            </w:r>
          </w:p>
        </w:tc>
        <w:tc>
          <w:tcPr>
            <w:tcW w:w="990" w:type="dxa"/>
            <w:hideMark/>
          </w:tcPr>
          <w:p w:rsidR="002067C5" w:rsidRPr="00B62F9E" w:rsidRDefault="002067C5" w:rsidP="00455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 xml:space="preserve">Puissance </w:t>
            </w:r>
            <w:r>
              <w:rPr>
                <w:i/>
                <w:sz w:val="16"/>
                <w:szCs w:val="16"/>
                <w:lang w:val="fr-CH" w:eastAsia="fr-FR"/>
              </w:rPr>
              <w:br/>
              <w:t>(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>kW)</w:t>
            </w:r>
          </w:p>
        </w:tc>
        <w:tc>
          <w:tcPr>
            <w:tcW w:w="72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CO</w:t>
            </w:r>
            <w:r w:rsidRPr="00247556">
              <w:rPr>
                <w:strike/>
                <w:sz w:val="18"/>
                <w:szCs w:val="18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 xml:space="preserve"> (g/km)</w:t>
            </w:r>
          </w:p>
        </w:tc>
        <w:tc>
          <w:tcPr>
            <w:tcW w:w="72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HC</w:t>
            </w:r>
            <w:r w:rsidRPr="00247556">
              <w:rPr>
                <w:strike/>
                <w:sz w:val="18"/>
                <w:szCs w:val="18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6"/>
                <w:szCs w:val="16"/>
                <w:lang w:val="fr-CH" w:eastAsia="fr-FR"/>
              </w:rPr>
              <w:t xml:space="preserve"> (g/km)</w:t>
            </w:r>
          </w:p>
        </w:tc>
        <w:tc>
          <w:tcPr>
            <w:tcW w:w="720" w:type="dxa"/>
            <w:hideMark/>
          </w:tcPr>
          <w:p w:rsidR="002067C5" w:rsidRPr="00B62F9E" w:rsidRDefault="00206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NO</w:t>
            </w:r>
            <w:r w:rsidRPr="00B62F9E">
              <w:rPr>
                <w:i/>
                <w:sz w:val="16"/>
                <w:szCs w:val="16"/>
                <w:vertAlign w:val="subscript"/>
                <w:lang w:val="fr-CH"/>
              </w:rPr>
              <w:t>x</w:t>
            </w:r>
            <w:r w:rsidRPr="00B62F9E">
              <w:rPr>
                <w:sz w:val="16"/>
                <w:szCs w:val="16"/>
                <w:vertAlign w:val="superscript"/>
                <w:lang w:val="fr-CH" w:eastAsia="fr-FR"/>
              </w:rPr>
              <w:br/>
            </w:r>
            <w:r w:rsidRPr="00B62F9E">
              <w:rPr>
                <w:i/>
                <w:sz w:val="16"/>
                <w:szCs w:val="16"/>
                <w:lang w:val="fr-CH" w:eastAsia="fr-FR"/>
              </w:rPr>
              <w:t>(g/km)</w:t>
            </w:r>
          </w:p>
        </w:tc>
        <w:tc>
          <w:tcPr>
            <w:tcW w:w="738" w:type="dxa"/>
            <w:hideMark/>
          </w:tcPr>
          <w:p w:rsidR="002067C5" w:rsidRPr="00B62F9E" w:rsidRDefault="002067C5" w:rsidP="00247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6"/>
                <w:szCs w:val="16"/>
                <w:lang w:val="fr-CH" w:eastAsia="fr-FR"/>
              </w:rPr>
            </w:pPr>
            <w:r w:rsidRPr="00B62F9E">
              <w:rPr>
                <w:i/>
                <w:sz w:val="16"/>
                <w:szCs w:val="16"/>
                <w:lang w:val="fr-CH" w:eastAsia="fr-FR"/>
              </w:rPr>
              <w:t>CO</w:t>
            </w:r>
            <w:r w:rsidRPr="00B62F9E">
              <w:rPr>
                <w:i/>
                <w:sz w:val="16"/>
                <w:szCs w:val="16"/>
                <w:vertAlign w:val="subscript"/>
                <w:lang w:val="fr-CH"/>
              </w:rPr>
              <w:t>2</w:t>
            </w:r>
            <w:r w:rsidR="00247556"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 w:rsidR="00247556">
              <w:rPr>
                <w:i/>
                <w:sz w:val="16"/>
                <w:szCs w:val="16"/>
                <w:vertAlign w:val="superscript"/>
              </w:rPr>
              <w:t>1</w:t>
            </w:r>
            <w:r w:rsidR="00247556">
              <w:rPr>
                <w:i/>
                <w:sz w:val="16"/>
                <w:szCs w:val="16"/>
                <w:vertAlign w:val="superscript"/>
              </w:rPr>
              <w:br/>
            </w:r>
            <w:r w:rsidRPr="00B62F9E">
              <w:rPr>
                <w:i/>
                <w:sz w:val="16"/>
                <w:szCs w:val="16"/>
                <w:lang w:val="fr-CH" w:eastAsia="fr-FR"/>
              </w:rPr>
              <w:t>(g/km)</w:t>
            </w:r>
          </w:p>
        </w:tc>
      </w:tr>
      <w:tr w:rsidR="00247556" w:rsidRPr="00B62F9E" w:rsidTr="001745A1">
        <w:tc>
          <w:tcPr>
            <w:tcW w:w="845" w:type="dxa"/>
            <w:hideMark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  <w:r w:rsidRPr="00B62F9E">
              <w:rPr>
                <w:lang w:val="fr-CH" w:eastAsia="fr-FR"/>
              </w:rPr>
              <w:t>1</w:t>
            </w:r>
          </w:p>
        </w:tc>
        <w:tc>
          <w:tcPr>
            <w:tcW w:w="955" w:type="dxa"/>
            <w:gridSpan w:val="2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9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38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</w:tr>
      <w:tr w:rsidR="00247556" w:rsidRPr="00B62F9E" w:rsidTr="001745A1">
        <w:tc>
          <w:tcPr>
            <w:tcW w:w="845" w:type="dxa"/>
            <w:hideMark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  <w:r w:rsidRPr="00B62F9E">
              <w:rPr>
                <w:lang w:val="fr-CH" w:eastAsia="fr-FR"/>
              </w:rPr>
              <w:t>2</w:t>
            </w:r>
          </w:p>
        </w:tc>
        <w:tc>
          <w:tcPr>
            <w:tcW w:w="955" w:type="dxa"/>
            <w:gridSpan w:val="2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9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38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</w:tr>
      <w:tr w:rsidR="00247556" w:rsidRPr="00B62F9E" w:rsidTr="001745A1">
        <w:tc>
          <w:tcPr>
            <w:tcW w:w="845" w:type="dxa"/>
            <w:hideMark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  <w:r w:rsidRPr="00B62F9E">
              <w:rPr>
                <w:lang w:val="fr-CH" w:eastAsia="fr-FR"/>
              </w:rPr>
              <w:t>n</w:t>
            </w:r>
          </w:p>
        </w:tc>
        <w:tc>
          <w:tcPr>
            <w:tcW w:w="955" w:type="dxa"/>
            <w:gridSpan w:val="2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9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38" w:type="dxa"/>
          </w:tcPr>
          <w:p w:rsidR="002067C5" w:rsidRPr="00B62F9E" w:rsidRDefault="002067C5" w:rsidP="003F5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lang w:val="fr-CH" w:eastAsia="fr-FR"/>
              </w:rPr>
            </w:pPr>
          </w:p>
        </w:tc>
      </w:tr>
    </w:tbl>
    <w:p w:rsidR="008169CA" w:rsidRPr="00B62F9E" w:rsidRDefault="008169CA" w:rsidP="008169CA">
      <w:pPr>
        <w:pStyle w:val="SingleTxtG"/>
        <w:spacing w:before="120" w:after="0"/>
        <w:ind w:firstLine="170"/>
        <w:jc w:val="left"/>
        <w:rPr>
          <w:rFonts w:ascii="Times New Roman" w:hAnsi="Times New Roman"/>
          <w:sz w:val="18"/>
          <w:szCs w:val="18"/>
        </w:rPr>
      </w:pPr>
      <w:r w:rsidRPr="00B62F9E">
        <w:rPr>
          <w:rFonts w:ascii="Times New Roman" w:hAnsi="Times New Roman"/>
          <w:sz w:val="18"/>
          <w:szCs w:val="18"/>
          <w:vertAlign w:val="superscript"/>
        </w:rPr>
        <w:t>1</w:t>
      </w:r>
      <w:r w:rsidRPr="00B62F9E">
        <w:rPr>
          <w:rFonts w:ascii="Times New Roman" w:hAnsi="Times New Roman"/>
          <w:sz w:val="18"/>
          <w:szCs w:val="18"/>
        </w:rPr>
        <w:t xml:space="preserve"> </w:t>
      </w:r>
      <w:r w:rsidRPr="00B62F9E">
        <w:rPr>
          <w:rFonts w:ascii="Times New Roman" w:hAnsi="Times New Roman"/>
          <w:strike/>
          <w:sz w:val="18"/>
          <w:szCs w:val="18"/>
        </w:rPr>
        <w:t>Biffer la mention inutile</w:t>
      </w:r>
      <w:r w:rsidRPr="00B62F9E">
        <w:rPr>
          <w:rFonts w:ascii="Times New Roman" w:hAnsi="Times New Roman"/>
          <w:sz w:val="18"/>
          <w:szCs w:val="18"/>
        </w:rPr>
        <w:t>.</w:t>
      </w:r>
    </w:p>
    <w:p w:rsidR="008169CA" w:rsidRPr="00565B46" w:rsidRDefault="003473B9" w:rsidP="008169CA">
      <w:pPr>
        <w:pStyle w:val="SingleTxtG"/>
        <w:spacing w:after="0"/>
        <w:ind w:firstLine="170"/>
        <w:jc w:val="left"/>
        <w:rPr>
          <w:rFonts w:ascii="Times New Roman" w:hAnsi="Times New Roman"/>
          <w:strike/>
          <w:sz w:val="18"/>
          <w:szCs w:val="18"/>
        </w:rPr>
      </w:pPr>
      <w:r w:rsidRPr="00C45957">
        <w:rPr>
          <w:strike/>
          <w:sz w:val="18"/>
          <w:vertAlign w:val="superscript"/>
          <w:lang w:val="en-US"/>
        </w:rPr>
        <w:t>2</w:t>
      </w:r>
      <w:r>
        <w:rPr>
          <w:sz w:val="18"/>
          <w:vertAlign w:val="superscript"/>
          <w:lang w:val="en-US"/>
        </w:rPr>
        <w:t xml:space="preserve"> 1</w:t>
      </w:r>
      <w:r w:rsidR="008169CA" w:rsidRPr="00B62F9E">
        <w:rPr>
          <w:rFonts w:ascii="Times New Roman" w:hAnsi="Times New Roman"/>
          <w:sz w:val="18"/>
          <w:szCs w:val="18"/>
        </w:rPr>
        <w:t xml:space="preserve"> Réservé aux véhicules des catégories M</w:t>
      </w:r>
      <w:r w:rsidR="008169CA" w:rsidRPr="00B62F9E">
        <w:rPr>
          <w:rFonts w:ascii="Times New Roman" w:hAnsi="Times New Roman"/>
          <w:sz w:val="18"/>
          <w:szCs w:val="18"/>
          <w:vertAlign w:val="subscript"/>
        </w:rPr>
        <w:t>1</w:t>
      </w:r>
      <w:r w:rsidR="008169CA" w:rsidRPr="00B62F9E">
        <w:rPr>
          <w:rFonts w:ascii="Times New Roman" w:hAnsi="Times New Roman"/>
          <w:sz w:val="18"/>
          <w:szCs w:val="18"/>
        </w:rPr>
        <w:t xml:space="preserve"> et N</w:t>
      </w:r>
      <w:r w:rsidR="008169CA" w:rsidRPr="00B62F9E">
        <w:rPr>
          <w:rFonts w:ascii="Times New Roman" w:hAnsi="Times New Roman"/>
          <w:sz w:val="18"/>
          <w:szCs w:val="18"/>
          <w:vertAlign w:val="subscript"/>
        </w:rPr>
        <w:t>1</w:t>
      </w:r>
      <w:r w:rsidR="008169CA" w:rsidRPr="00B62F9E">
        <w:rPr>
          <w:rFonts w:ascii="Times New Roman" w:hAnsi="Times New Roman"/>
          <w:sz w:val="18"/>
          <w:szCs w:val="18"/>
        </w:rPr>
        <w:t>.</w:t>
      </w:r>
    </w:p>
    <w:p w:rsidR="008169CA" w:rsidRPr="00B62F9E" w:rsidRDefault="008169CA" w:rsidP="008169CA">
      <w:pPr>
        <w:pStyle w:val="SingleTxtG"/>
        <w:spacing w:after="0"/>
        <w:ind w:firstLine="170"/>
        <w:jc w:val="left"/>
        <w:rPr>
          <w:rFonts w:ascii="Times New Roman" w:hAnsi="Times New Roman"/>
          <w:sz w:val="18"/>
          <w:szCs w:val="18"/>
        </w:rPr>
      </w:pPr>
      <w:r w:rsidRPr="00BE0285">
        <w:rPr>
          <w:rFonts w:ascii="Times New Roman" w:hAnsi="Times New Roman"/>
          <w:strike/>
          <w:sz w:val="18"/>
          <w:szCs w:val="18"/>
          <w:vertAlign w:val="superscript"/>
        </w:rPr>
        <w:t>3</w:t>
      </w:r>
      <w:r w:rsidRPr="00BE0285">
        <w:rPr>
          <w:rFonts w:ascii="Times New Roman" w:hAnsi="Times New Roman"/>
          <w:strike/>
          <w:sz w:val="18"/>
          <w:szCs w:val="18"/>
        </w:rPr>
        <w:t xml:space="preserve"> </w:t>
      </w:r>
      <w:r w:rsidRPr="00B62F9E">
        <w:rPr>
          <w:rFonts w:ascii="Times New Roman" w:hAnsi="Times New Roman"/>
          <w:strike/>
          <w:sz w:val="18"/>
          <w:szCs w:val="18"/>
        </w:rPr>
        <w:t>Réservé au(x) véhicule(s) de base.</w:t>
      </w:r>
      <w:r w:rsidR="00565B46">
        <w:rPr>
          <w:rFonts w:ascii="Times New Roman" w:hAnsi="Times New Roman"/>
          <w:strike/>
          <w:sz w:val="18"/>
          <w:szCs w:val="18"/>
        </w:rPr>
        <w:t xml:space="preserve"> </w:t>
      </w:r>
    </w:p>
    <w:p w:rsidR="008169CA" w:rsidRPr="00B62F9E" w:rsidRDefault="008169CA" w:rsidP="00101DB0">
      <w:pPr>
        <w:pStyle w:val="SingleTxtG"/>
        <w:spacing w:after="0" w:line="120" w:lineRule="exact"/>
        <w:ind w:firstLine="170"/>
        <w:jc w:val="left"/>
        <w:rPr>
          <w:sz w:val="10"/>
          <w:szCs w:val="18"/>
        </w:rPr>
      </w:pPr>
    </w:p>
    <w:p w:rsidR="00101DB0" w:rsidRPr="00B62F9E" w:rsidRDefault="00101DB0" w:rsidP="00101DB0">
      <w:pPr>
        <w:pStyle w:val="SingleTxtG"/>
        <w:spacing w:after="0" w:line="120" w:lineRule="exact"/>
        <w:ind w:firstLine="170"/>
        <w:jc w:val="left"/>
        <w:rPr>
          <w:sz w:val="10"/>
          <w:szCs w:val="18"/>
        </w:rPr>
      </w:pPr>
    </w:p>
    <w:p w:rsidR="008169CA" w:rsidRPr="00783201" w:rsidRDefault="008169CA" w:rsidP="00B62F9E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654"/>
        </w:tabs>
        <w:rPr>
          <w:b/>
          <w:lang w:val="fr-CH" w:eastAsia="fr-FR"/>
        </w:rPr>
      </w:pPr>
      <w:r w:rsidRPr="00783201">
        <w:rPr>
          <w:b/>
          <w:lang w:val="fr-CH" w:eastAsia="fr-FR"/>
        </w:rPr>
        <w:t>2.</w:t>
      </w:r>
      <w:r w:rsidR="00101DB0" w:rsidRPr="00783201">
        <w:rPr>
          <w:b/>
          <w:lang w:val="fr-CH" w:eastAsia="fr-FR"/>
        </w:rPr>
        <w:tab/>
      </w:r>
      <w:r w:rsidRPr="00783201">
        <w:rPr>
          <w:b/>
          <w:lang w:val="fr-CH" w:eastAsia="fr-FR"/>
        </w:rPr>
        <w:t xml:space="preserve">Rapports </w:t>
      </w:r>
    </w:p>
    <w:p w:rsidR="008169CA" w:rsidRPr="00783201" w:rsidRDefault="008169CA" w:rsidP="00D60C4E">
      <w:pPr>
        <w:pStyle w:val="SingleTxt"/>
        <w:tabs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8784"/>
        </w:tabs>
        <w:rPr>
          <w:b/>
          <w:lang w:val="fr-CH" w:eastAsia="fr-FR"/>
        </w:rPr>
      </w:pPr>
      <w:r w:rsidRPr="00783201">
        <w:rPr>
          <w:b/>
          <w:lang w:val="fr-CH" w:eastAsia="fr-FR"/>
        </w:rPr>
        <w:t>2.1</w:t>
      </w:r>
      <w:r w:rsidR="008E2AA3" w:rsidRPr="00783201">
        <w:rPr>
          <w:b/>
          <w:lang w:val="fr-CH" w:eastAsia="fr-FR"/>
        </w:rPr>
        <w:tab/>
      </w:r>
      <w:r w:rsidR="00747074" w:rsidRPr="00C45957">
        <w:rPr>
          <w:b/>
        </w:rPr>
        <w:t>Ra</w:t>
      </w:r>
      <w:r w:rsidR="00747074">
        <w:rPr>
          <w:b/>
        </w:rPr>
        <w:t xml:space="preserve">pport </w:t>
      </w:r>
      <w:r w:rsidR="00747074" w:rsidRPr="00C45957">
        <w:rPr>
          <w:b/>
        </w:rPr>
        <w:t>CO</w:t>
      </w:r>
      <w:r w:rsidR="00747074" w:rsidRPr="00FB4516">
        <w:rPr>
          <w:b/>
          <w:vertAlign w:val="subscript"/>
        </w:rPr>
        <w:t>2</w:t>
      </w:r>
      <w:r w:rsidR="00747074" w:rsidRPr="00C45957">
        <w:rPr>
          <w:b/>
        </w:rPr>
        <w:t>: CO</w:t>
      </w:r>
      <w:r w:rsidR="00747074" w:rsidRPr="00FB4516">
        <w:rPr>
          <w:b/>
          <w:vertAlign w:val="subscript"/>
        </w:rPr>
        <w:t>2</w:t>
      </w:r>
      <w:r w:rsidR="00747074" w:rsidRPr="00FB4516">
        <w:rPr>
          <w:b/>
        </w:rPr>
        <w:t xml:space="preserve"> </w:t>
      </w:r>
      <w:r w:rsidR="00747074">
        <w:rPr>
          <w:b/>
        </w:rPr>
        <w:t>LPG</w:t>
      </w:r>
      <w:r w:rsidR="00747074" w:rsidRPr="00C45957">
        <w:rPr>
          <w:b/>
        </w:rPr>
        <w:t>/CO</w:t>
      </w:r>
      <w:r w:rsidR="00747074" w:rsidRPr="00FB4516">
        <w:rPr>
          <w:b/>
          <w:vertAlign w:val="subscript"/>
        </w:rPr>
        <w:t>2</w:t>
      </w:r>
      <w:r w:rsidR="00747074" w:rsidRPr="00C45957">
        <w:rPr>
          <w:b/>
        </w:rPr>
        <w:t xml:space="preserve"> petrol</w:t>
      </w:r>
      <w:r w:rsidR="00101DB0" w:rsidRPr="00783201">
        <w:rPr>
          <w:b/>
          <w:lang w:val="fr-CH" w:eastAsia="fr-FR"/>
        </w:rPr>
        <w:t>:</w:t>
      </w:r>
      <w:r w:rsidR="005370EB">
        <w:rPr>
          <w:b/>
          <w:lang w:val="fr-CH" w:eastAsia="fr-FR"/>
        </w:rPr>
        <w:t xml:space="preserve"> </w:t>
      </w:r>
      <w:r w:rsidR="00D60C4E" w:rsidRPr="00783201">
        <w:rPr>
          <w:b/>
          <w:lang w:val="fr-CH" w:eastAsia="fr-FR"/>
        </w:rPr>
        <w:tab/>
      </w:r>
    </w:p>
    <w:p w:rsidR="008169CA" w:rsidRPr="00783201" w:rsidRDefault="008169CA" w:rsidP="00D60C4E">
      <w:pPr>
        <w:pStyle w:val="SingleTxt"/>
        <w:tabs>
          <w:tab w:val="clear" w:pos="5098"/>
          <w:tab w:val="clear" w:pos="5573"/>
          <w:tab w:val="clear" w:pos="6048"/>
          <w:tab w:val="left" w:leader="dot" w:pos="8784"/>
        </w:tabs>
        <w:rPr>
          <w:b/>
          <w:lang w:val="fr-CH" w:eastAsia="fr-FR"/>
        </w:rPr>
      </w:pPr>
      <w:r w:rsidRPr="00783201">
        <w:rPr>
          <w:b/>
          <w:lang w:val="fr-CH" w:eastAsia="fr-FR"/>
        </w:rPr>
        <w:t>2.2</w:t>
      </w:r>
      <w:r w:rsidR="008E2AA3" w:rsidRPr="00783201">
        <w:rPr>
          <w:b/>
          <w:lang w:val="fr-CH" w:eastAsia="fr-FR"/>
        </w:rPr>
        <w:tab/>
      </w:r>
      <w:r w:rsidR="00747074">
        <w:rPr>
          <w:b/>
        </w:rPr>
        <w:t>Rapport Power: LPG</w:t>
      </w:r>
      <w:r w:rsidR="00747074" w:rsidRPr="00C45957">
        <w:rPr>
          <w:b/>
        </w:rPr>
        <w:t>/Power petrol:</w:t>
      </w:r>
      <w:r w:rsidR="005370EB">
        <w:rPr>
          <w:b/>
        </w:rPr>
        <w:t xml:space="preserve"> </w:t>
      </w:r>
      <w:r w:rsidR="00D60C4E" w:rsidRPr="00783201">
        <w:rPr>
          <w:b/>
          <w:lang w:val="fr-CH" w:eastAsia="fr-FR"/>
        </w:rPr>
        <w:tab/>
      </w:r>
    </w:p>
    <w:p w:rsidR="008169CA" w:rsidRPr="00B62F9E" w:rsidRDefault="008169CA" w:rsidP="00783201">
      <w:pPr>
        <w:pStyle w:val="SingleTxt"/>
        <w:keepNext/>
        <w:rPr>
          <w:lang w:val="fr-CH" w:eastAsia="fr-FR"/>
        </w:rPr>
      </w:pPr>
      <w:r w:rsidRPr="00B62F9E">
        <w:rPr>
          <w:lang w:val="fr-CH" w:eastAsia="fr-FR"/>
        </w:rPr>
        <w:lastRenderedPageBreak/>
        <w:t>3.</w:t>
      </w:r>
      <w:r w:rsidRPr="00B62F9E">
        <w:rPr>
          <w:lang w:val="fr-CH" w:eastAsia="fr-FR"/>
        </w:rPr>
        <w:tab/>
      </w:r>
      <w:r w:rsidRPr="00B62F9E">
        <w:rPr>
          <w:b/>
          <w:lang w:val="fr-CH" w:eastAsia="fr-FR"/>
        </w:rPr>
        <w:t>Liste des</w:t>
      </w:r>
      <w:r w:rsidRPr="00B62F9E">
        <w:rPr>
          <w:lang w:val="fr-CH" w:eastAsia="fr-FR"/>
        </w:rPr>
        <w:t xml:space="preserve"> types de véhicules sur lesquels le système </w:t>
      </w:r>
      <w:r w:rsidRPr="00B62F9E">
        <w:rPr>
          <w:lang w:val="fr-CH"/>
        </w:rPr>
        <w:t xml:space="preserve">de conversion </w:t>
      </w:r>
      <w:r w:rsidRPr="00B62F9E">
        <w:rPr>
          <w:lang w:val="fr-CH" w:eastAsia="fr-FR"/>
        </w:rPr>
        <w:t>peut être monté</w:t>
      </w:r>
      <w:r w:rsidR="00FF12CD">
        <w:rPr>
          <w:lang w:val="fr-CH" w:eastAsia="fr-FR"/>
        </w:rPr>
        <w:t> </w:t>
      </w:r>
      <w:r w:rsidRPr="00B62F9E">
        <w:rPr>
          <w:lang w:val="fr-CH" w:eastAsia="fr-FR"/>
        </w:rPr>
        <w:t>:</w:t>
      </w:r>
    </w:p>
    <w:tbl>
      <w:tblPr>
        <w:tblW w:w="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59"/>
        <w:gridCol w:w="1276"/>
        <w:gridCol w:w="1701"/>
      </w:tblGrid>
      <w:tr w:rsidR="008169CA" w:rsidRPr="00B62F9E" w:rsidTr="008169CA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rPr>
                <w:b/>
                <w:i/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7B4950" w:rsidRDefault="008169CA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rPr>
                <w:b/>
                <w:i/>
                <w:sz w:val="16"/>
                <w:szCs w:val="16"/>
                <w:lang w:val="fr-CH"/>
              </w:rPr>
            </w:pPr>
            <w:r w:rsidRPr="007B4950">
              <w:rPr>
                <w:b/>
                <w:i/>
                <w:sz w:val="16"/>
                <w:szCs w:val="16"/>
                <w:lang w:val="fr-CH"/>
              </w:rPr>
              <w:t xml:space="preserve">Type </w:t>
            </w:r>
            <w:r w:rsidRPr="007B4950">
              <w:rPr>
                <w:b/>
                <w:i/>
                <w:sz w:val="16"/>
                <w:lang w:val="fr-CH" w:eastAsia="fr-FR"/>
              </w:rPr>
              <w:t>du véhicule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7B4950" w:rsidRDefault="008169CA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right="-70"/>
              <w:jc w:val="both"/>
              <w:rPr>
                <w:b/>
                <w:i/>
                <w:sz w:val="16"/>
                <w:szCs w:val="16"/>
                <w:lang w:val="fr-CH"/>
              </w:rPr>
            </w:pPr>
            <w:r w:rsidRPr="007B4950">
              <w:rPr>
                <w:b/>
                <w:i/>
                <w:sz w:val="16"/>
                <w:szCs w:val="16"/>
                <w:lang w:val="fr-CH"/>
              </w:rPr>
              <w:t xml:space="preserve">Type </w:t>
            </w:r>
            <w:r w:rsidRPr="007B4950">
              <w:rPr>
                <w:b/>
                <w:i/>
                <w:sz w:val="16"/>
                <w:lang w:val="fr-CH" w:eastAsia="fr-FR"/>
              </w:rPr>
              <w:t xml:space="preserve">du </w:t>
            </w:r>
            <w:r w:rsidRPr="007B4950">
              <w:rPr>
                <w:b/>
                <w:i/>
                <w:sz w:val="16"/>
                <w:szCs w:val="16"/>
                <w:lang w:val="fr-CH" w:eastAsia="fr-FR"/>
              </w:rPr>
              <w:t>moteur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7B4950" w:rsidRDefault="008169CA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right="-70"/>
              <w:jc w:val="both"/>
              <w:rPr>
                <w:b/>
                <w:i/>
                <w:sz w:val="16"/>
                <w:szCs w:val="16"/>
                <w:lang w:val="fr-CH"/>
              </w:rPr>
            </w:pPr>
            <w:r w:rsidRPr="007B4950">
              <w:rPr>
                <w:b/>
                <w:i/>
                <w:sz w:val="16"/>
                <w:szCs w:val="16"/>
                <w:lang w:val="fr-CH" w:eastAsia="fr-FR"/>
              </w:rPr>
              <w:t xml:space="preserve">Puissance </w:t>
            </w:r>
            <w:r w:rsidRPr="007B4950">
              <w:rPr>
                <w:b/>
                <w:i/>
                <w:sz w:val="16"/>
                <w:szCs w:val="16"/>
                <w:lang w:val="fr-CH"/>
              </w:rPr>
              <w:t>(kW)</w:t>
            </w:r>
          </w:p>
        </w:tc>
      </w:tr>
      <w:tr w:rsidR="008169CA" w:rsidRPr="00B62F9E" w:rsidTr="008169CA">
        <w:trPr>
          <w:trHeight w:val="370"/>
          <w:jc w:val="center"/>
        </w:trPr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  <w:tr w:rsidR="008169CA" w:rsidRPr="00B62F9E" w:rsidTr="008169CA">
        <w:trPr>
          <w:trHeight w:val="33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  <w:tr w:rsidR="008169CA" w:rsidRPr="00B62F9E" w:rsidTr="008169CA">
        <w:trPr>
          <w:trHeight w:val="361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  <w:tr w:rsidR="008169CA" w:rsidRPr="00B62F9E" w:rsidTr="008169CA">
        <w:trPr>
          <w:trHeight w:val="35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</w:tbl>
    <w:p w:rsidR="008169CA" w:rsidRPr="00783201" w:rsidRDefault="008E2AA3" w:rsidP="008169CA">
      <w:pPr>
        <w:pStyle w:val="H1G"/>
        <w:tabs>
          <w:tab w:val="left" w:pos="720"/>
        </w:tabs>
        <w:spacing w:before="0"/>
        <w:ind w:firstLine="0"/>
        <w:jc w:val="right"/>
        <w:rPr>
          <w:rFonts w:ascii="Times New Roman" w:hAnsi="Times New Roman"/>
          <w:b w:val="0"/>
        </w:rPr>
      </w:pPr>
      <w:r w:rsidRPr="00783201">
        <w:rPr>
          <w:rFonts w:ascii="Times New Roman" w:hAnsi="Times New Roman"/>
          <w:b w:val="0"/>
          <w:sz w:val="20"/>
        </w:rPr>
        <w:t>».</w:t>
      </w:r>
    </w:p>
    <w:p w:rsidR="008169CA" w:rsidRPr="00B62F9E" w:rsidRDefault="008169CA" w:rsidP="008E2AA3">
      <w:pPr>
        <w:pStyle w:val="SingleTxt"/>
        <w:rPr>
          <w:lang w:val="fr-CH"/>
        </w:rPr>
      </w:pPr>
      <w:r w:rsidRPr="00B62F9E">
        <w:rPr>
          <w:i/>
          <w:lang w:val="fr-CH"/>
        </w:rPr>
        <w:t>Annexe 1B-Additif</w:t>
      </w:r>
      <w:r w:rsidRPr="00B62F9E">
        <w:rPr>
          <w:lang w:val="fr-CH"/>
        </w:rPr>
        <w:t>, lire</w:t>
      </w:r>
      <w:r w:rsidR="008E2AA3" w:rsidRPr="00B62F9E">
        <w:rPr>
          <w:lang w:val="fr-CH"/>
        </w:rPr>
        <w:t> </w:t>
      </w:r>
      <w:r w:rsidRPr="00B62F9E">
        <w:rPr>
          <w:lang w:val="fr-CH"/>
        </w:rPr>
        <w:t>:</w:t>
      </w:r>
    </w:p>
    <w:p w:rsidR="008E2AA3" w:rsidRPr="00B62F9E" w:rsidRDefault="008E2AA3" w:rsidP="008E2AA3">
      <w:pPr>
        <w:pStyle w:val="SingleTxt"/>
        <w:spacing w:after="0" w:line="120" w:lineRule="exact"/>
        <w:rPr>
          <w:sz w:val="10"/>
          <w:lang w:val="fr-CH"/>
        </w:rPr>
      </w:pPr>
    </w:p>
    <w:p w:rsidR="008E2AA3" w:rsidRPr="00B62F9E" w:rsidRDefault="008E2AA3" w:rsidP="008E2AA3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783201" w:rsidP="008E2AA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 w:eastAsia="fr-FR"/>
        </w:rPr>
      </w:pPr>
      <w:bookmarkStart w:id="2" w:name="_Toc353286020"/>
      <w:bookmarkStart w:id="3" w:name="_Toc352249109"/>
      <w:r w:rsidRPr="00657489">
        <w:rPr>
          <w:b w:val="0"/>
          <w:sz w:val="20"/>
          <w:szCs w:val="20"/>
          <w:lang w:val="fr-CH" w:eastAsia="fr-FR"/>
        </w:rPr>
        <w:t>«</w:t>
      </w:r>
      <w:r>
        <w:rPr>
          <w:lang w:val="fr-CH" w:eastAsia="fr-FR"/>
        </w:rPr>
        <w:t> </w:t>
      </w:r>
      <w:r w:rsidR="008169CA" w:rsidRPr="00B62F9E">
        <w:rPr>
          <w:lang w:val="fr-CH" w:eastAsia="fr-FR"/>
        </w:rPr>
        <w:t xml:space="preserve">Annexe 1B </w:t>
      </w:r>
      <w:r>
        <w:rPr>
          <w:lang w:val="fr-CH" w:eastAsia="fr-FR"/>
        </w:rPr>
        <w:t>–</w:t>
      </w:r>
      <w:r w:rsidR="008169CA" w:rsidRPr="00B62F9E">
        <w:rPr>
          <w:lang w:val="fr-CH" w:eastAsia="fr-FR"/>
        </w:rPr>
        <w:t xml:space="preserve"> Additif</w:t>
      </w:r>
    </w:p>
    <w:p w:rsidR="008E2AA3" w:rsidRPr="00B62F9E" w:rsidRDefault="008E2AA3" w:rsidP="008E2AA3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8E2AA3" w:rsidRPr="00B62F9E" w:rsidRDefault="008E2AA3" w:rsidP="008E2AA3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8169CA" w:rsidRPr="00B62F9E" w:rsidRDefault="008169CA" w:rsidP="008E2A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 w:eastAsia="fr-FR"/>
        </w:rPr>
      </w:pPr>
      <w:r w:rsidRPr="00B62F9E">
        <w:rPr>
          <w:lang w:val="fr-CH" w:eastAsia="fr-FR"/>
        </w:rPr>
        <w:tab/>
      </w:r>
      <w:r w:rsidRPr="00B62F9E">
        <w:rPr>
          <w:lang w:val="fr-CH" w:eastAsia="fr-FR"/>
        </w:rPr>
        <w:tab/>
        <w:t>Additif à la fiche de communication concernant</w:t>
      </w:r>
      <w:r w:rsidR="008E2AA3" w:rsidRPr="00B62F9E">
        <w:rPr>
          <w:lang w:val="fr-CH" w:eastAsia="fr-FR"/>
        </w:rPr>
        <w:t xml:space="preserve"> </w:t>
      </w:r>
      <w:r w:rsidRPr="00B62F9E">
        <w:rPr>
          <w:lang w:val="fr-CH" w:eastAsia="fr-FR"/>
        </w:rPr>
        <w:br/>
        <w:t xml:space="preserve">un type d’équipement </w:t>
      </w:r>
      <w:r w:rsidRPr="00B62F9E">
        <w:rPr>
          <w:lang w:val="fr-CH"/>
        </w:rPr>
        <w:t xml:space="preserve">de conversion </w:t>
      </w:r>
      <w:r w:rsidRPr="00B62F9E">
        <w:rPr>
          <w:lang w:val="fr-CH" w:eastAsia="fr-FR"/>
        </w:rPr>
        <w:t>au GNC</w:t>
      </w:r>
      <w:r w:rsidR="008E2AA3" w:rsidRPr="00B62F9E">
        <w:rPr>
          <w:lang w:val="fr-CH" w:eastAsia="fr-FR"/>
        </w:rPr>
        <w:t xml:space="preserve"> </w:t>
      </w:r>
      <w:r w:rsidRPr="00B62F9E">
        <w:rPr>
          <w:lang w:val="fr-CH" w:eastAsia="fr-FR"/>
        </w:rPr>
        <w:br/>
        <w:t xml:space="preserve">conforme au Règlement </w:t>
      </w:r>
      <w:r w:rsidR="008E2AA3" w:rsidRPr="00B62F9E">
        <w:rPr>
          <w:lang w:val="fr-CH" w:eastAsia="fr-FR"/>
        </w:rPr>
        <w:t>n</w:t>
      </w:r>
      <w:r w:rsidRPr="00B62F9E">
        <w:rPr>
          <w:vertAlign w:val="superscript"/>
          <w:lang w:val="fr-CH" w:eastAsia="fr-FR"/>
        </w:rPr>
        <w:t>o </w:t>
      </w:r>
      <w:r w:rsidRPr="00B62F9E">
        <w:rPr>
          <w:lang w:val="fr-CH" w:eastAsia="fr-FR"/>
        </w:rPr>
        <w:t>115</w:t>
      </w: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8169CA" w:rsidRPr="00B62F9E" w:rsidRDefault="008169CA" w:rsidP="009C23A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leader="dot" w:pos="5040"/>
          <w:tab w:val="left" w:leader="dot" w:pos="8784"/>
        </w:tabs>
        <w:rPr>
          <w:lang w:val="fr-CH"/>
        </w:rPr>
      </w:pPr>
      <w:r w:rsidRPr="00B62F9E">
        <w:rPr>
          <w:lang w:val="fr-CH"/>
        </w:rPr>
        <w:t>(N</w:t>
      </w:r>
      <w:r w:rsidRPr="00B62F9E">
        <w:rPr>
          <w:vertAlign w:val="superscript"/>
          <w:lang w:val="fr-CH"/>
        </w:rPr>
        <w:t>o </w:t>
      </w:r>
      <w:r w:rsidRPr="00B62F9E">
        <w:rPr>
          <w:lang w:val="fr-CH"/>
        </w:rPr>
        <w:t>d’homologation</w:t>
      </w:r>
      <w:r w:rsidR="00B62F9E">
        <w:rPr>
          <w:lang w:val="fr-CH"/>
        </w:rPr>
        <w:t xml:space="preserve"> </w:t>
      </w:r>
      <w:r w:rsidR="009C23AF">
        <w:rPr>
          <w:lang w:val="fr-CH"/>
        </w:rPr>
        <w:tab/>
      </w:r>
      <w:r w:rsidRPr="00B62F9E">
        <w:rPr>
          <w:lang w:val="fr-CH"/>
        </w:rPr>
        <w:t>N</w:t>
      </w:r>
      <w:r w:rsidRPr="00B62F9E">
        <w:rPr>
          <w:vertAlign w:val="superscript"/>
          <w:lang w:val="fr-CH"/>
        </w:rPr>
        <w:t>o </w:t>
      </w:r>
      <w:r w:rsidR="009C23AF">
        <w:rPr>
          <w:lang w:val="fr-CH"/>
        </w:rPr>
        <w:t>d’extension</w:t>
      </w:r>
      <w:r w:rsidR="009C23AF">
        <w:rPr>
          <w:lang w:val="fr-CH"/>
        </w:rPr>
        <w:tab/>
      </w:r>
      <w:r w:rsidRPr="00B62F9E">
        <w:rPr>
          <w:lang w:val="fr-CH"/>
        </w:rPr>
        <w:t>)</w:t>
      </w:r>
    </w:p>
    <w:p w:rsidR="008169CA" w:rsidRPr="00B62F9E" w:rsidRDefault="008169CA" w:rsidP="00753BEB">
      <w:pPr>
        <w:pStyle w:val="SingleTxt"/>
        <w:tabs>
          <w:tab w:val="left" w:pos="8730"/>
          <w:tab w:val="left" w:pos="8820"/>
        </w:tabs>
        <w:rPr>
          <w:lang w:val="fr-CH" w:eastAsia="fr-FR"/>
        </w:rPr>
      </w:pPr>
      <w:r w:rsidRPr="00B62F9E">
        <w:rPr>
          <w:lang w:val="fr-CH" w:eastAsia="fr-FR"/>
        </w:rPr>
        <w:t>1.</w:t>
      </w:r>
      <w:r w:rsidRPr="00B62F9E">
        <w:rPr>
          <w:lang w:val="fr-CH" w:eastAsia="fr-FR"/>
        </w:rPr>
        <w:tab/>
        <w:t xml:space="preserve">Véhicules sur lesquels le système </w:t>
      </w:r>
      <w:r w:rsidRPr="00B62F9E">
        <w:rPr>
          <w:lang w:val="fr-CH"/>
        </w:rPr>
        <w:t xml:space="preserve">de conversion </w:t>
      </w:r>
      <w:r w:rsidRPr="00B62F9E">
        <w:rPr>
          <w:lang w:val="fr-CH" w:eastAsia="fr-FR"/>
        </w:rPr>
        <w:t>a été essayé</w:t>
      </w:r>
      <w:r w:rsidR="0048618D" w:rsidRPr="00B62F9E">
        <w:rPr>
          <w:lang w:val="fr-CH" w:eastAsia="fr-FR"/>
        </w:rPr>
        <w:t> </w:t>
      </w:r>
      <w:r w:rsidRPr="00B62F9E">
        <w:rPr>
          <w:lang w:val="fr-CH" w:eastAsia="fr-FR"/>
        </w:rPr>
        <w:t>:</w:t>
      </w: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tbl>
      <w:tblPr>
        <w:tblW w:w="7560" w:type="dxa"/>
        <w:tblInd w:w="1287" w:type="dxa"/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206"/>
        <w:gridCol w:w="1251"/>
        <w:gridCol w:w="1269"/>
      </w:tblGrid>
      <w:tr w:rsidR="008169CA" w:rsidRPr="00B62F9E" w:rsidTr="003473B9">
        <w:trPr>
          <w:tblHeader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rPr>
                <w:i/>
                <w:sz w:val="14"/>
                <w:szCs w:val="14"/>
                <w:lang w:val="fr-CH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Nombre de véhicules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347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347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 w:rsidP="00347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ind w:right="115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n</w:t>
            </w:r>
          </w:p>
        </w:tc>
      </w:tr>
      <w:tr w:rsidR="008169CA" w:rsidRPr="00B62F9E" w:rsidTr="003473B9">
        <w:trPr>
          <w:trHeight w:hRule="exact" w:val="113"/>
        </w:trPr>
        <w:tc>
          <w:tcPr>
            <w:tcW w:w="38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40" w:lineRule="atLeast"/>
              <w:ind w:right="113"/>
              <w:rPr>
                <w:sz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Marque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Type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Catégorie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b/>
                <w:sz w:val="24"/>
                <w:szCs w:val="18"/>
                <w:lang w:val="fr-CH" w:eastAsia="fr-FR"/>
              </w:rPr>
            </w:pPr>
            <w:r w:rsidRPr="00B62F9E">
              <w:rPr>
                <w:b/>
                <w:szCs w:val="18"/>
                <w:lang w:val="fr-CH" w:eastAsia="fr-FR"/>
              </w:rPr>
              <w:t>Type du moteur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trike/>
                <w:szCs w:val="18"/>
                <w:lang w:val="fr-CH" w:eastAsia="fr-FR"/>
              </w:rPr>
              <w:t>Limites</w:t>
            </w:r>
            <w:r w:rsidRPr="00B62F9E">
              <w:rPr>
                <w:szCs w:val="18"/>
                <w:lang w:val="fr-CH" w:eastAsia="fr-FR"/>
              </w:rPr>
              <w:t xml:space="preserve"> </w:t>
            </w:r>
            <w:r w:rsidRPr="00B62F9E">
              <w:rPr>
                <w:b/>
                <w:szCs w:val="18"/>
                <w:lang w:val="fr-CH" w:eastAsia="fr-FR"/>
              </w:rPr>
              <w:t>Niveau</w:t>
            </w:r>
            <w:r w:rsidRPr="00B62F9E">
              <w:rPr>
                <w:szCs w:val="18"/>
                <w:lang w:val="fr-CH" w:eastAsia="fr-FR"/>
              </w:rPr>
              <w:t xml:space="preserve"> d’émissions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/>
              </w:rPr>
            </w:pPr>
            <w:r w:rsidRPr="00B62F9E">
              <w:rPr>
                <w:szCs w:val="18"/>
                <w:lang w:val="fr-CH" w:eastAsia="fr-FR"/>
              </w:rPr>
              <w:t>Puissance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  <w:tr w:rsidR="008169CA" w:rsidRPr="00B62F9E" w:rsidTr="003473B9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18"/>
                <w:lang w:val="fr-CH" w:eastAsia="fr-FR"/>
              </w:rPr>
            </w:pPr>
            <w:r w:rsidRPr="00B62F9E">
              <w:rPr>
                <w:szCs w:val="18"/>
                <w:lang w:val="fr-CH" w:eastAsia="fr-FR"/>
              </w:rPr>
              <w:t>Type du système antipollution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486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rPr>
                <w:sz w:val="24"/>
                <w:szCs w:val="24"/>
                <w:lang w:val="fr-CH" w:eastAsia="fr-FR"/>
              </w:rPr>
            </w:pPr>
          </w:p>
        </w:tc>
      </w:tr>
    </w:tbl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8169CA" w:rsidRPr="00B62F9E" w:rsidRDefault="008169CA" w:rsidP="0048618D">
      <w:pPr>
        <w:pStyle w:val="SingleTxt"/>
        <w:rPr>
          <w:szCs w:val="20"/>
          <w:lang w:val="fr-CH" w:eastAsia="fr-FR"/>
        </w:rPr>
      </w:pPr>
      <w:r w:rsidRPr="00F03B07">
        <w:rPr>
          <w:b/>
          <w:lang w:val="fr-CH" w:eastAsia="fr-FR"/>
        </w:rPr>
        <w:t>1.1</w:t>
      </w:r>
      <w:r w:rsidRPr="00B62F9E">
        <w:rPr>
          <w:strike/>
          <w:lang w:val="fr-CH" w:eastAsia="fr-FR"/>
        </w:rPr>
        <w:t>2</w:t>
      </w:r>
      <w:r w:rsidRPr="00B62F9E">
        <w:rPr>
          <w:lang w:val="fr-CH" w:eastAsia="fr-FR"/>
        </w:rPr>
        <w:t>.</w:t>
      </w:r>
      <w:r w:rsidRPr="00B62F9E">
        <w:rPr>
          <w:lang w:val="fr-CH" w:eastAsia="fr-FR"/>
        </w:rPr>
        <w:tab/>
        <w:t>Résultats des essais</w:t>
      </w:r>
      <w:r w:rsidR="00753BEB">
        <w:rPr>
          <w:lang w:val="fr-CH" w:eastAsia="fr-FR"/>
        </w:rPr>
        <w:t> </w:t>
      </w:r>
      <w:r w:rsidRPr="00B62F9E">
        <w:rPr>
          <w:lang w:val="fr-CH" w:eastAsia="fr-FR"/>
        </w:rPr>
        <w:t>:</w:t>
      </w:r>
    </w:p>
    <w:p w:rsidR="008169CA" w:rsidRPr="00F03B07" w:rsidRDefault="0048618D" w:rsidP="00FF12CD">
      <w:pPr>
        <w:pStyle w:val="SingleTxt"/>
        <w:tabs>
          <w:tab w:val="clear" w:pos="4622"/>
          <w:tab w:val="clear" w:pos="5098"/>
          <w:tab w:val="clear" w:pos="5573"/>
          <w:tab w:val="clear" w:pos="6048"/>
          <w:tab w:val="left" w:leader="dot" w:pos="8784"/>
        </w:tabs>
        <w:rPr>
          <w:strike/>
          <w:lang w:val="fr-CH" w:eastAsia="fr-FR"/>
        </w:rPr>
      </w:pPr>
      <w:r w:rsidRPr="00B62F9E">
        <w:rPr>
          <w:lang w:val="fr-CH" w:eastAsia="fr-FR"/>
        </w:rPr>
        <w:tab/>
      </w:r>
      <w:r w:rsidR="008169CA" w:rsidRPr="00F03B07">
        <w:rPr>
          <w:strike/>
          <w:lang w:val="fr-CH" w:eastAsia="fr-FR"/>
        </w:rPr>
        <w:t xml:space="preserve">Rapport </w:t>
      </w:r>
      <w:r w:rsidR="008169CA" w:rsidRPr="00F03B07">
        <w:rPr>
          <w:strike/>
          <w:lang w:val="fr-CH"/>
        </w:rPr>
        <w:t>CO</w:t>
      </w:r>
      <w:r w:rsidR="008169CA" w:rsidRPr="00F03B07">
        <w:rPr>
          <w:strike/>
          <w:sz w:val="13"/>
          <w:szCs w:val="13"/>
          <w:lang w:val="fr-CH"/>
        </w:rPr>
        <w:t xml:space="preserve">2CNG </w:t>
      </w:r>
      <w:r w:rsidR="008169CA" w:rsidRPr="00F03B07">
        <w:rPr>
          <w:strike/>
          <w:lang w:val="fr-CH"/>
        </w:rPr>
        <w:t>/ CO</w:t>
      </w:r>
      <w:r w:rsidR="008169CA" w:rsidRPr="00F03B07">
        <w:rPr>
          <w:strike/>
          <w:sz w:val="13"/>
          <w:szCs w:val="13"/>
          <w:lang w:val="fr-CH"/>
        </w:rPr>
        <w:t xml:space="preserve">2 </w:t>
      </w:r>
      <w:r w:rsidR="008169CA" w:rsidRPr="00F03B07">
        <w:rPr>
          <w:strike/>
          <w:vertAlign w:val="subscript"/>
          <w:lang w:val="fr-CH" w:eastAsia="fr-FR"/>
        </w:rPr>
        <w:t>petrol</w:t>
      </w:r>
      <w:r w:rsidR="008169CA" w:rsidRPr="00F03B07">
        <w:rPr>
          <w:strike/>
          <w:sz w:val="18"/>
          <w:szCs w:val="18"/>
          <w:vertAlign w:val="superscript"/>
          <w:lang w:val="fr-CH" w:eastAsia="fr-FR"/>
        </w:rPr>
        <w:t>2</w:t>
      </w:r>
      <w:r w:rsidR="00753BEB" w:rsidRPr="00F03B07">
        <w:rPr>
          <w:strike/>
          <w:sz w:val="18"/>
          <w:szCs w:val="18"/>
          <w:lang w:val="fr-CH" w:eastAsia="fr-FR"/>
        </w:rPr>
        <w:t> :</w:t>
      </w:r>
      <w:r w:rsidR="00FF12CD" w:rsidRPr="00F03B07">
        <w:rPr>
          <w:strike/>
          <w:lang w:val="fr-CH" w:eastAsia="fr-FR"/>
        </w:rPr>
        <w:tab/>
      </w:r>
    </w:p>
    <w:p w:rsidR="008169CA" w:rsidRPr="00F03B07" w:rsidRDefault="0048618D" w:rsidP="00FF12CD">
      <w:pPr>
        <w:pStyle w:val="SingleTxt"/>
        <w:tabs>
          <w:tab w:val="clear" w:pos="5098"/>
          <w:tab w:val="clear" w:pos="5573"/>
          <w:tab w:val="clear" w:pos="6048"/>
          <w:tab w:val="left" w:leader="dot" w:pos="8784"/>
        </w:tabs>
        <w:rPr>
          <w:strike/>
          <w:lang w:val="fr-CH" w:eastAsia="fr-FR"/>
        </w:rPr>
      </w:pPr>
      <w:r w:rsidRPr="005370EB">
        <w:rPr>
          <w:lang w:val="fr-CH" w:eastAsia="fr-FR"/>
        </w:rPr>
        <w:tab/>
      </w:r>
      <w:r w:rsidR="008169CA" w:rsidRPr="00F03B07">
        <w:rPr>
          <w:strike/>
          <w:lang w:val="fr-CH" w:eastAsia="fr-FR"/>
        </w:rPr>
        <w:t xml:space="preserve">Rapport </w:t>
      </w:r>
      <w:r w:rsidR="008169CA" w:rsidRPr="00F03B07">
        <w:rPr>
          <w:strike/>
          <w:lang w:val="fr-CH"/>
        </w:rPr>
        <w:t>Power</w:t>
      </w:r>
      <w:r w:rsidR="008169CA" w:rsidRPr="00F03B07">
        <w:rPr>
          <w:strike/>
          <w:sz w:val="13"/>
          <w:szCs w:val="13"/>
          <w:lang w:val="fr-CH"/>
        </w:rPr>
        <w:t xml:space="preserve">CNG </w:t>
      </w:r>
      <w:r w:rsidR="008169CA" w:rsidRPr="00F03B07">
        <w:rPr>
          <w:strike/>
          <w:lang w:val="fr-CH"/>
        </w:rPr>
        <w:t>/ Power</w:t>
      </w:r>
      <w:r w:rsidR="008169CA" w:rsidRPr="00F03B07">
        <w:rPr>
          <w:strike/>
          <w:sz w:val="13"/>
          <w:szCs w:val="13"/>
          <w:lang w:val="fr-CH"/>
        </w:rPr>
        <w:t xml:space="preserve">petrol </w:t>
      </w:r>
      <w:r w:rsidR="008169CA" w:rsidRPr="00F03B07">
        <w:rPr>
          <w:strike/>
          <w:vertAlign w:val="subscript"/>
          <w:lang w:val="fr-CH" w:eastAsia="fr-FR"/>
        </w:rPr>
        <w:t>(or diesel)</w:t>
      </w:r>
      <w:r w:rsidR="00753BEB" w:rsidRPr="00F03B07">
        <w:rPr>
          <w:strike/>
          <w:lang w:val="fr-CH" w:eastAsia="fr-FR"/>
        </w:rPr>
        <w:t> </w:t>
      </w:r>
      <w:r w:rsidR="00FF12CD" w:rsidRPr="00F03B07">
        <w:rPr>
          <w:strike/>
          <w:lang w:val="fr-CH" w:eastAsia="fr-FR"/>
        </w:rPr>
        <w:t>:</w:t>
      </w:r>
      <w:r w:rsidR="00FF12CD" w:rsidRPr="00F03B07">
        <w:rPr>
          <w:strike/>
          <w:lang w:val="fr-CH" w:eastAsia="fr-FR"/>
        </w:rPr>
        <w:tab/>
      </w:r>
    </w:p>
    <w:p w:rsidR="008169CA" w:rsidRPr="00B62F9E" w:rsidRDefault="008169CA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 w:eastAsia="fr-FR"/>
        </w:rPr>
      </w:pPr>
    </w:p>
    <w:tbl>
      <w:tblPr>
        <w:tblW w:w="8739" w:type="dxa"/>
        <w:tblInd w:w="1305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82"/>
        <w:gridCol w:w="630"/>
        <w:gridCol w:w="720"/>
        <w:gridCol w:w="630"/>
        <w:gridCol w:w="810"/>
        <w:gridCol w:w="810"/>
        <w:gridCol w:w="810"/>
        <w:gridCol w:w="900"/>
        <w:gridCol w:w="900"/>
        <w:gridCol w:w="792"/>
      </w:tblGrid>
      <w:tr w:rsidR="008169CA" w:rsidRPr="00B62F9E" w:rsidTr="00617BAB">
        <w:trPr>
          <w:tblHeader/>
        </w:trPr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Essence </w:t>
            </w:r>
            <w:r w:rsidRPr="00617BAB">
              <w:rPr>
                <w:i/>
                <w:strike/>
                <w:sz w:val="14"/>
                <w:szCs w:val="14"/>
                <w:lang w:val="fr-CH" w:eastAsia="fr-FR"/>
              </w:rPr>
              <w:t>(ou gazole)</w:t>
            </w:r>
            <w:r w:rsidRPr="00617BAB">
              <w:rPr>
                <w:strike/>
                <w:sz w:val="14"/>
                <w:szCs w:val="14"/>
                <w:vertAlign w:val="superscript"/>
                <w:lang w:val="fr-CH" w:eastAsia="fr-FR"/>
              </w:rPr>
              <w:t>1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GPL</w:t>
            </w:r>
          </w:p>
        </w:tc>
      </w:tr>
      <w:tr w:rsidR="003F53F7" w:rsidRPr="00B62F9E" w:rsidTr="00617B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Type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de véhicule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Puissance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(kW)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CO</w:t>
            </w:r>
            <w:r w:rsidRPr="007B55A4">
              <w:rPr>
                <w:i/>
                <w:strike/>
                <w:sz w:val="14"/>
                <w:szCs w:val="14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HC</w:t>
            </w:r>
            <w:r w:rsidRPr="007B55A4">
              <w:rPr>
                <w:i/>
                <w:strike/>
                <w:sz w:val="14"/>
                <w:szCs w:val="14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NO</w:t>
            </w:r>
            <w:r w:rsidRPr="00B62F9E">
              <w:rPr>
                <w:i/>
                <w:sz w:val="14"/>
                <w:szCs w:val="14"/>
                <w:vertAlign w:val="subscript"/>
                <w:lang w:val="fr-CH"/>
              </w:rPr>
              <w:t>x</w:t>
            </w:r>
            <w:r w:rsidRPr="007B55A4">
              <w:rPr>
                <w:i/>
                <w:strike/>
                <w:sz w:val="14"/>
                <w:szCs w:val="14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CO</w:t>
            </w:r>
            <w:r w:rsidRPr="00B62F9E">
              <w:rPr>
                <w:i/>
                <w:sz w:val="14"/>
                <w:szCs w:val="14"/>
                <w:vertAlign w:val="subscript"/>
                <w:lang w:val="fr-CH"/>
              </w:rPr>
              <w:t>2</w:t>
            </w:r>
            <w:r w:rsidRPr="007B55A4">
              <w:rPr>
                <w:i/>
                <w:strike/>
                <w:sz w:val="14"/>
                <w:szCs w:val="14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Puissance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(kW)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CO</w:t>
            </w:r>
            <w:r w:rsidRPr="007B55A4">
              <w:rPr>
                <w:i/>
                <w:strike/>
                <w:sz w:val="14"/>
                <w:szCs w:val="14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HC</w:t>
            </w:r>
            <w:r w:rsidRPr="007B55A4">
              <w:rPr>
                <w:i/>
                <w:strike/>
                <w:sz w:val="14"/>
                <w:szCs w:val="14"/>
                <w:vertAlign w:val="superscript"/>
                <w:lang w:val="fr-CH" w:eastAsia="fr-FR"/>
              </w:rPr>
              <w:t>3</w:t>
            </w:r>
            <w:r w:rsidRPr="00B62F9E">
              <w:rPr>
                <w:i/>
                <w:sz w:val="14"/>
                <w:szCs w:val="14"/>
                <w:lang w:val="fr-CH" w:eastAsia="fr-FR"/>
              </w:rPr>
              <w:t xml:space="preserve"> </w:t>
            </w:r>
            <w:r w:rsidR="00753BEB">
              <w:rPr>
                <w:i/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 w:rsidP="007B55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NO</w:t>
            </w:r>
            <w:r w:rsidRPr="00B62F9E">
              <w:rPr>
                <w:i/>
                <w:sz w:val="14"/>
                <w:szCs w:val="14"/>
                <w:vertAlign w:val="subscript"/>
                <w:lang w:val="fr-CH"/>
              </w:rPr>
              <w:t>x</w:t>
            </w:r>
            <w:r w:rsidRPr="00B62F9E">
              <w:rPr>
                <w:sz w:val="14"/>
                <w:szCs w:val="14"/>
                <w:vertAlign w:val="superscript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 w:line="200" w:lineRule="exact"/>
              <w:ind w:right="113"/>
              <w:jc w:val="center"/>
              <w:rPr>
                <w:i/>
                <w:sz w:val="14"/>
                <w:szCs w:val="14"/>
                <w:lang w:val="fr-CH" w:eastAsia="fr-FR"/>
              </w:rPr>
            </w:pPr>
            <w:r w:rsidRPr="00B62F9E">
              <w:rPr>
                <w:i/>
                <w:sz w:val="14"/>
                <w:szCs w:val="14"/>
                <w:lang w:val="fr-CH" w:eastAsia="fr-FR"/>
              </w:rPr>
              <w:t>CO</w:t>
            </w:r>
            <w:r w:rsidRPr="00B62F9E">
              <w:rPr>
                <w:i/>
                <w:sz w:val="14"/>
                <w:szCs w:val="14"/>
                <w:vertAlign w:val="subscript"/>
                <w:lang w:val="fr-CH"/>
              </w:rPr>
              <w:t>2</w:t>
            </w:r>
            <w:r w:rsidR="007B55A4"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 w:rsidR="007B55A4">
              <w:rPr>
                <w:i/>
                <w:sz w:val="16"/>
                <w:szCs w:val="16"/>
                <w:vertAlign w:val="superscript"/>
              </w:rPr>
              <w:t>1</w:t>
            </w:r>
            <w:r w:rsidR="00753BEB">
              <w:rPr>
                <w:sz w:val="14"/>
                <w:szCs w:val="14"/>
                <w:lang w:val="fr-CH" w:eastAsia="fr-FR"/>
              </w:rPr>
              <w:br/>
            </w:r>
            <w:r w:rsidRPr="00B62F9E">
              <w:rPr>
                <w:i/>
                <w:sz w:val="14"/>
                <w:szCs w:val="14"/>
                <w:lang w:val="fr-CH" w:eastAsia="fr-FR"/>
              </w:rPr>
              <w:t>(g/km)</w:t>
            </w:r>
          </w:p>
        </w:tc>
      </w:tr>
      <w:tr w:rsidR="003F53F7" w:rsidRPr="00B62F9E" w:rsidTr="00617BAB"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F03B07" w:rsidRDefault="00F03B07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Cs w:val="20"/>
                <w:lang w:val="fr-CH" w:eastAsia="fr-FR"/>
              </w:rPr>
            </w:pPr>
            <w:r w:rsidRPr="00F03B07">
              <w:rPr>
                <w:szCs w:val="20"/>
                <w:lang w:val="fr-CH" w:eastAsia="fr-FR"/>
              </w:rPr>
              <w:t>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pStyle w:val="SingleTxt"/>
              <w:spacing w:before="40" w:after="80" w:line="180" w:lineRule="exact"/>
              <w:ind w:left="0"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</w:tr>
      <w:tr w:rsidR="003F53F7" w:rsidRPr="00B62F9E" w:rsidTr="00617B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F03B07" w:rsidRDefault="00F03B07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Cs w:val="20"/>
                <w:lang w:val="fr-CH" w:eastAsia="fr-FR"/>
              </w:rPr>
            </w:pPr>
            <w:r w:rsidRPr="00F03B07">
              <w:rPr>
                <w:szCs w:val="20"/>
                <w:lang w:val="fr-CH" w:eastAsia="fr-FR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</w:tr>
      <w:tr w:rsidR="003F53F7" w:rsidRPr="00B62F9E" w:rsidTr="00617B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84E" w:rsidRPr="00E3020B" w:rsidRDefault="007A684E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Cs w:val="20"/>
                <w:lang w:val="fr-CH" w:eastAsia="fr-FR"/>
              </w:rPr>
            </w:pPr>
            <w:r w:rsidRPr="00E3020B">
              <w:rPr>
                <w:szCs w:val="20"/>
                <w:lang w:val="fr-CH" w:eastAsia="fr-FR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169CA" w:rsidRPr="00B62F9E" w:rsidRDefault="008169CA" w:rsidP="00F0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 w:line="180" w:lineRule="exact"/>
              <w:ind w:right="115"/>
              <w:rPr>
                <w:sz w:val="24"/>
                <w:lang w:val="fr-CH" w:eastAsia="fr-FR"/>
              </w:rPr>
            </w:pPr>
          </w:p>
        </w:tc>
      </w:tr>
    </w:tbl>
    <w:p w:rsidR="008169CA" w:rsidRPr="00B62F9E" w:rsidRDefault="008169CA" w:rsidP="008169CA">
      <w:pPr>
        <w:pStyle w:val="SingleTxtG"/>
        <w:spacing w:before="120" w:after="0"/>
        <w:ind w:firstLine="170"/>
        <w:jc w:val="left"/>
        <w:rPr>
          <w:rFonts w:ascii="Times New Roman" w:hAnsi="Times New Roman"/>
          <w:sz w:val="18"/>
          <w:szCs w:val="18"/>
        </w:rPr>
      </w:pPr>
      <w:r w:rsidRPr="00B62F9E">
        <w:rPr>
          <w:rFonts w:ascii="Times New Roman" w:hAnsi="Times New Roman"/>
          <w:sz w:val="18"/>
          <w:szCs w:val="18"/>
          <w:vertAlign w:val="superscript"/>
        </w:rPr>
        <w:lastRenderedPageBreak/>
        <w:t>1</w:t>
      </w:r>
      <w:r w:rsidRPr="00B62F9E">
        <w:rPr>
          <w:rFonts w:ascii="Times New Roman" w:hAnsi="Times New Roman"/>
          <w:sz w:val="18"/>
          <w:szCs w:val="18"/>
        </w:rPr>
        <w:t xml:space="preserve"> </w:t>
      </w:r>
      <w:r w:rsidRPr="00B62F9E">
        <w:rPr>
          <w:rFonts w:ascii="Times New Roman" w:hAnsi="Times New Roman"/>
          <w:strike/>
          <w:sz w:val="18"/>
          <w:szCs w:val="18"/>
        </w:rPr>
        <w:t>Biffer la mention inutile</w:t>
      </w:r>
      <w:r w:rsidRPr="00B62F9E">
        <w:rPr>
          <w:rFonts w:ascii="Times New Roman" w:hAnsi="Times New Roman"/>
          <w:sz w:val="18"/>
          <w:szCs w:val="18"/>
        </w:rPr>
        <w:t>.</w:t>
      </w:r>
    </w:p>
    <w:p w:rsidR="008169CA" w:rsidRPr="00B62F9E" w:rsidRDefault="008169CA" w:rsidP="008169CA">
      <w:pPr>
        <w:pStyle w:val="SingleTxtG"/>
        <w:spacing w:after="0"/>
        <w:ind w:firstLine="170"/>
        <w:jc w:val="left"/>
        <w:rPr>
          <w:rFonts w:ascii="Times New Roman" w:hAnsi="Times New Roman"/>
          <w:sz w:val="18"/>
          <w:szCs w:val="18"/>
        </w:rPr>
      </w:pPr>
      <w:r w:rsidRPr="005370EB">
        <w:rPr>
          <w:rFonts w:ascii="Times New Roman" w:hAnsi="Times New Roman"/>
          <w:strike/>
          <w:sz w:val="18"/>
          <w:szCs w:val="18"/>
          <w:vertAlign w:val="superscript"/>
        </w:rPr>
        <w:t>2</w:t>
      </w:r>
      <w:r w:rsidR="005370EB" w:rsidRPr="005370E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5370EB" w:rsidRPr="00B62F9E">
        <w:rPr>
          <w:rFonts w:ascii="Times New Roman" w:hAnsi="Times New Roman"/>
          <w:sz w:val="18"/>
          <w:szCs w:val="18"/>
          <w:vertAlign w:val="superscript"/>
        </w:rPr>
        <w:t>1</w:t>
      </w:r>
      <w:r w:rsidRPr="00B62F9E">
        <w:rPr>
          <w:rFonts w:ascii="Times New Roman" w:hAnsi="Times New Roman"/>
          <w:sz w:val="18"/>
          <w:szCs w:val="18"/>
        </w:rPr>
        <w:t xml:space="preserve"> Réservé aux véhicules des catégories M</w:t>
      </w:r>
      <w:r w:rsidRPr="00B62F9E">
        <w:rPr>
          <w:rFonts w:ascii="Times New Roman" w:hAnsi="Times New Roman"/>
          <w:sz w:val="18"/>
          <w:szCs w:val="18"/>
          <w:vertAlign w:val="subscript"/>
        </w:rPr>
        <w:t>1</w:t>
      </w:r>
      <w:r w:rsidRPr="00B62F9E">
        <w:rPr>
          <w:rFonts w:ascii="Times New Roman" w:hAnsi="Times New Roman"/>
          <w:sz w:val="18"/>
          <w:szCs w:val="18"/>
        </w:rPr>
        <w:t xml:space="preserve"> et N</w:t>
      </w:r>
      <w:r w:rsidRPr="00B62F9E">
        <w:rPr>
          <w:rFonts w:ascii="Times New Roman" w:hAnsi="Times New Roman"/>
          <w:sz w:val="18"/>
          <w:szCs w:val="18"/>
          <w:vertAlign w:val="subscript"/>
        </w:rPr>
        <w:t>1</w:t>
      </w:r>
      <w:r w:rsidRPr="00B62F9E">
        <w:rPr>
          <w:rFonts w:ascii="Times New Roman" w:hAnsi="Times New Roman"/>
          <w:sz w:val="18"/>
          <w:szCs w:val="18"/>
        </w:rPr>
        <w:t>.</w:t>
      </w:r>
    </w:p>
    <w:p w:rsidR="008169CA" w:rsidRPr="00B62F9E" w:rsidRDefault="008169CA" w:rsidP="008169CA">
      <w:pPr>
        <w:pStyle w:val="SingleTxtG"/>
        <w:spacing w:after="0"/>
        <w:ind w:firstLine="170"/>
        <w:jc w:val="left"/>
        <w:rPr>
          <w:rFonts w:ascii="Times New Roman" w:hAnsi="Times New Roman"/>
          <w:strike/>
          <w:lang w:eastAsia="fr-FR"/>
        </w:rPr>
      </w:pPr>
      <w:r w:rsidRPr="005370EB">
        <w:rPr>
          <w:rFonts w:ascii="Times New Roman" w:hAnsi="Times New Roman"/>
          <w:strike/>
          <w:sz w:val="18"/>
          <w:szCs w:val="18"/>
          <w:vertAlign w:val="superscript"/>
        </w:rPr>
        <w:t>3</w:t>
      </w:r>
      <w:r w:rsidRPr="005370EB">
        <w:rPr>
          <w:rFonts w:ascii="Times New Roman" w:hAnsi="Times New Roman"/>
          <w:strike/>
          <w:sz w:val="18"/>
          <w:szCs w:val="18"/>
        </w:rPr>
        <w:t xml:space="preserve"> </w:t>
      </w:r>
      <w:r w:rsidRPr="00B62F9E">
        <w:rPr>
          <w:rFonts w:ascii="Times New Roman" w:hAnsi="Times New Roman"/>
          <w:strike/>
          <w:sz w:val="18"/>
          <w:szCs w:val="18"/>
        </w:rPr>
        <w:t>Réservé au(x) véhicule(s) de base.</w:t>
      </w:r>
    </w:p>
    <w:bookmarkEnd w:id="2"/>
    <w:bookmarkEnd w:id="3"/>
    <w:p w:rsidR="008169CA" w:rsidRPr="00B62F9E" w:rsidRDefault="008169CA" w:rsidP="003F53F7">
      <w:pPr>
        <w:pStyle w:val="SingleTxt"/>
        <w:spacing w:after="0" w:line="120" w:lineRule="exact"/>
        <w:rPr>
          <w:sz w:val="10"/>
          <w:lang w:val="fr-CH"/>
        </w:rPr>
      </w:pPr>
    </w:p>
    <w:p w:rsidR="003F53F7" w:rsidRPr="00B62F9E" w:rsidRDefault="003F53F7" w:rsidP="003F53F7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F03B07" w:rsidRDefault="008169CA" w:rsidP="004E6E34">
      <w:pPr>
        <w:pStyle w:val="SingleTxt"/>
        <w:rPr>
          <w:b/>
          <w:sz w:val="24"/>
          <w:lang w:val="fr-CH" w:eastAsia="fr-FR"/>
        </w:rPr>
      </w:pPr>
      <w:r w:rsidRPr="00F03B07">
        <w:rPr>
          <w:b/>
          <w:lang w:val="fr-CH" w:eastAsia="fr-FR"/>
        </w:rPr>
        <w:t>2.</w:t>
      </w:r>
      <w:r w:rsidR="004E6E34" w:rsidRPr="00F03B07">
        <w:rPr>
          <w:b/>
          <w:lang w:val="fr-CH" w:eastAsia="fr-FR"/>
        </w:rPr>
        <w:tab/>
      </w:r>
      <w:r w:rsidRPr="00F03B07">
        <w:rPr>
          <w:b/>
          <w:lang w:val="fr-CH" w:eastAsia="fr-FR"/>
        </w:rPr>
        <w:t>Rapports</w:t>
      </w:r>
      <w:r w:rsidR="003F53F7" w:rsidRPr="00F03B07">
        <w:rPr>
          <w:b/>
          <w:lang w:val="fr-CH" w:eastAsia="fr-FR"/>
        </w:rPr>
        <w:t> </w:t>
      </w:r>
      <w:r w:rsidRPr="00F03B07">
        <w:rPr>
          <w:b/>
          <w:lang w:val="fr-CH" w:eastAsia="fr-FR"/>
        </w:rPr>
        <w:t xml:space="preserve">: </w:t>
      </w:r>
    </w:p>
    <w:p w:rsidR="008169CA" w:rsidRPr="00F03B07" w:rsidRDefault="008169CA" w:rsidP="00FF12CD">
      <w:pPr>
        <w:pStyle w:val="SingleTxt"/>
        <w:tabs>
          <w:tab w:val="clear" w:pos="4622"/>
          <w:tab w:val="clear" w:pos="5098"/>
          <w:tab w:val="clear" w:pos="5573"/>
          <w:tab w:val="clear" w:pos="6048"/>
          <w:tab w:val="right" w:leader="dot" w:pos="1267"/>
          <w:tab w:val="right" w:leader="dot" w:pos="8784"/>
        </w:tabs>
        <w:rPr>
          <w:b/>
          <w:lang w:val="fr-CH" w:eastAsia="fr-FR"/>
        </w:rPr>
      </w:pPr>
      <w:r w:rsidRPr="00F03B07">
        <w:rPr>
          <w:b/>
          <w:lang w:val="fr-CH" w:eastAsia="fr-FR"/>
        </w:rPr>
        <w:t>2.1</w:t>
      </w:r>
      <w:r w:rsidR="004E6E34" w:rsidRPr="00F03B07">
        <w:rPr>
          <w:b/>
          <w:lang w:val="fr-CH" w:eastAsia="fr-FR"/>
        </w:rPr>
        <w:tab/>
      </w:r>
      <w:r w:rsidRPr="00F03B07">
        <w:rPr>
          <w:b/>
          <w:lang w:val="fr-CH" w:eastAsia="fr-FR"/>
        </w:rPr>
        <w:t xml:space="preserve">Rapport </w:t>
      </w:r>
      <w:r w:rsidR="005370EB" w:rsidRPr="00C45957">
        <w:rPr>
          <w:b/>
        </w:rPr>
        <w:t>CO</w:t>
      </w:r>
      <w:r w:rsidR="005370EB" w:rsidRPr="00D015F7">
        <w:rPr>
          <w:b/>
          <w:vertAlign w:val="subscript"/>
        </w:rPr>
        <w:t>2</w:t>
      </w:r>
      <w:r w:rsidR="005370EB" w:rsidRPr="00C45957">
        <w:rPr>
          <w:b/>
        </w:rPr>
        <w:t>: CO</w:t>
      </w:r>
      <w:r w:rsidR="005370EB" w:rsidRPr="00D015F7">
        <w:rPr>
          <w:b/>
          <w:vertAlign w:val="subscript"/>
        </w:rPr>
        <w:t>2</w:t>
      </w:r>
      <w:r w:rsidR="005370EB" w:rsidRPr="006D72B7">
        <w:rPr>
          <w:b/>
        </w:rPr>
        <w:t xml:space="preserve"> </w:t>
      </w:r>
      <w:r w:rsidR="005370EB">
        <w:rPr>
          <w:b/>
        </w:rPr>
        <w:t>CNG</w:t>
      </w:r>
      <w:r w:rsidR="005370EB" w:rsidRPr="00C45957">
        <w:rPr>
          <w:b/>
        </w:rPr>
        <w:t>/CO</w:t>
      </w:r>
      <w:r w:rsidR="005370EB" w:rsidRPr="00D015F7">
        <w:rPr>
          <w:b/>
          <w:vertAlign w:val="subscript"/>
        </w:rPr>
        <w:t>2</w:t>
      </w:r>
      <w:r w:rsidR="005370EB" w:rsidRPr="00C45957">
        <w:rPr>
          <w:b/>
        </w:rPr>
        <w:t xml:space="preserve"> petrol</w:t>
      </w:r>
      <w:r w:rsidRPr="00F03B07">
        <w:rPr>
          <w:b/>
          <w:lang w:val="fr-CH" w:eastAsia="fr-FR"/>
        </w:rPr>
        <w:t>:</w:t>
      </w:r>
      <w:r w:rsidR="005370EB">
        <w:rPr>
          <w:b/>
          <w:lang w:val="fr-CH" w:eastAsia="fr-FR"/>
        </w:rPr>
        <w:t xml:space="preserve"> </w:t>
      </w:r>
      <w:r w:rsidRPr="00F03B07">
        <w:rPr>
          <w:b/>
          <w:lang w:val="fr-CH" w:eastAsia="fr-FR"/>
        </w:rPr>
        <w:tab/>
      </w:r>
      <w:r w:rsidR="00FF12CD" w:rsidRPr="00F03B07">
        <w:rPr>
          <w:b/>
          <w:lang w:val="fr-CH" w:eastAsia="fr-FR"/>
        </w:rPr>
        <w:tab/>
      </w:r>
    </w:p>
    <w:p w:rsidR="008169CA" w:rsidRPr="00F03B07" w:rsidRDefault="008169CA" w:rsidP="00FF12CD">
      <w:pPr>
        <w:pStyle w:val="SingleTxt"/>
        <w:tabs>
          <w:tab w:val="clear" w:pos="5098"/>
          <w:tab w:val="clear" w:pos="5573"/>
          <w:tab w:val="clear" w:pos="6048"/>
          <w:tab w:val="left" w:leader="dot" w:pos="8784"/>
        </w:tabs>
        <w:rPr>
          <w:b/>
          <w:lang w:val="fr-CH" w:eastAsia="fr-FR"/>
        </w:rPr>
      </w:pPr>
      <w:r w:rsidRPr="00F03B07">
        <w:rPr>
          <w:b/>
          <w:lang w:val="fr-CH" w:eastAsia="fr-FR"/>
        </w:rPr>
        <w:t>2.2</w:t>
      </w:r>
      <w:r w:rsidR="004E6E34" w:rsidRPr="00F03B07">
        <w:rPr>
          <w:b/>
          <w:lang w:val="fr-CH" w:eastAsia="fr-FR"/>
        </w:rPr>
        <w:tab/>
      </w:r>
      <w:r w:rsidRPr="00F03B07">
        <w:rPr>
          <w:b/>
          <w:lang w:val="fr-CH" w:eastAsia="fr-FR"/>
        </w:rPr>
        <w:t xml:space="preserve">Rapport </w:t>
      </w:r>
      <w:r w:rsidR="005370EB" w:rsidRPr="00C45957">
        <w:rPr>
          <w:b/>
        </w:rPr>
        <w:t xml:space="preserve">Power: </w:t>
      </w:r>
      <w:r w:rsidR="005370EB">
        <w:rPr>
          <w:b/>
        </w:rPr>
        <w:t>CNG</w:t>
      </w:r>
      <w:r w:rsidR="005370EB" w:rsidRPr="00C45957">
        <w:rPr>
          <w:b/>
        </w:rPr>
        <w:t>/Power petrol</w:t>
      </w:r>
      <w:r w:rsidR="00FF12CD" w:rsidRPr="00F03B07">
        <w:rPr>
          <w:b/>
          <w:lang w:val="fr-CH" w:eastAsia="fr-FR"/>
        </w:rPr>
        <w:t xml:space="preserve">: </w:t>
      </w:r>
      <w:r w:rsidR="00FF12CD" w:rsidRPr="00F03B07">
        <w:rPr>
          <w:b/>
          <w:lang w:val="fr-CH" w:eastAsia="fr-FR"/>
        </w:rPr>
        <w:tab/>
      </w:r>
    </w:p>
    <w:p w:rsidR="008169CA" w:rsidRPr="00B62F9E" w:rsidRDefault="008169CA" w:rsidP="008169CA">
      <w:pPr>
        <w:pStyle w:val="SingleTxt"/>
        <w:rPr>
          <w:lang w:val="fr-CH" w:eastAsia="fr-FR"/>
        </w:rPr>
      </w:pPr>
      <w:r w:rsidRPr="00B62F9E">
        <w:rPr>
          <w:lang w:val="fr-CH" w:eastAsia="fr-FR"/>
        </w:rPr>
        <w:t>3.</w:t>
      </w:r>
      <w:r w:rsidRPr="00B62F9E">
        <w:rPr>
          <w:lang w:val="fr-CH" w:eastAsia="fr-FR"/>
        </w:rPr>
        <w:tab/>
      </w:r>
      <w:r w:rsidRPr="00B62F9E">
        <w:rPr>
          <w:b/>
          <w:lang w:val="fr-CH" w:eastAsia="fr-FR"/>
        </w:rPr>
        <w:t>Liste des</w:t>
      </w:r>
      <w:r w:rsidRPr="00B62F9E">
        <w:rPr>
          <w:lang w:val="fr-CH" w:eastAsia="fr-FR"/>
        </w:rPr>
        <w:t xml:space="preserve"> types de véhicules sur lesquels le système </w:t>
      </w:r>
      <w:r w:rsidRPr="00B62F9E">
        <w:rPr>
          <w:lang w:val="fr-CH"/>
        </w:rPr>
        <w:t xml:space="preserve">de conversion </w:t>
      </w:r>
      <w:r w:rsidRPr="00B62F9E">
        <w:rPr>
          <w:lang w:val="fr-CH" w:eastAsia="fr-FR"/>
        </w:rPr>
        <w:t>peut être monté</w:t>
      </w:r>
      <w:r w:rsidR="0048618D" w:rsidRPr="00B62F9E">
        <w:rPr>
          <w:lang w:val="fr-CH" w:eastAsia="fr-FR"/>
        </w:rPr>
        <w:t> </w:t>
      </w:r>
      <w:r w:rsidRPr="00B62F9E">
        <w:rPr>
          <w:lang w:val="fr-CH" w:eastAsia="fr-FR"/>
        </w:rPr>
        <w:t>:</w:t>
      </w:r>
    </w:p>
    <w:p w:rsidR="003F53F7" w:rsidRPr="00B62F9E" w:rsidRDefault="003F53F7" w:rsidP="003F53F7">
      <w:pPr>
        <w:pStyle w:val="SingleTxt"/>
        <w:spacing w:after="0" w:line="120" w:lineRule="exact"/>
        <w:rPr>
          <w:sz w:val="10"/>
          <w:lang w:val="fr-CH" w:eastAsia="fr-FR"/>
        </w:rPr>
      </w:pPr>
    </w:p>
    <w:p w:rsidR="003F53F7" w:rsidRPr="00B62F9E" w:rsidRDefault="003F53F7" w:rsidP="003F53F7">
      <w:pPr>
        <w:pStyle w:val="SingleTxt"/>
        <w:spacing w:after="0" w:line="120" w:lineRule="exact"/>
        <w:rPr>
          <w:sz w:val="10"/>
          <w:lang w:val="fr-CH" w:eastAsia="fr-FR"/>
        </w:rPr>
      </w:pPr>
    </w:p>
    <w:tbl>
      <w:tblPr>
        <w:tblW w:w="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59"/>
        <w:gridCol w:w="1276"/>
        <w:gridCol w:w="1701"/>
      </w:tblGrid>
      <w:tr w:rsidR="008169CA" w:rsidRPr="00B62F9E" w:rsidTr="008169CA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jc w:val="both"/>
              <w:rPr>
                <w:b/>
                <w:i/>
                <w:sz w:val="14"/>
                <w:szCs w:val="14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5370EB" w:rsidRDefault="008169CA" w:rsidP="003F53F7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jc w:val="both"/>
              <w:rPr>
                <w:b/>
                <w:i/>
                <w:sz w:val="14"/>
                <w:szCs w:val="14"/>
                <w:lang w:val="fr-CH"/>
              </w:rPr>
            </w:pPr>
            <w:r w:rsidRPr="005370EB">
              <w:rPr>
                <w:b/>
                <w:i/>
                <w:sz w:val="14"/>
                <w:szCs w:val="14"/>
                <w:lang w:val="fr-CH"/>
              </w:rPr>
              <w:t xml:space="preserve">Type </w:t>
            </w:r>
            <w:r w:rsidRPr="005370EB">
              <w:rPr>
                <w:b/>
                <w:i/>
                <w:sz w:val="14"/>
                <w:szCs w:val="14"/>
                <w:lang w:val="fr-CH" w:eastAsia="fr-FR"/>
              </w:rPr>
              <w:t>du véhicule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5370EB" w:rsidRDefault="008169CA" w:rsidP="003F53F7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jc w:val="both"/>
              <w:rPr>
                <w:b/>
                <w:i/>
                <w:sz w:val="14"/>
                <w:szCs w:val="14"/>
                <w:lang w:val="fr-CH"/>
              </w:rPr>
            </w:pPr>
            <w:r w:rsidRPr="005370EB">
              <w:rPr>
                <w:b/>
                <w:i/>
                <w:sz w:val="14"/>
                <w:szCs w:val="14"/>
                <w:lang w:val="fr-CH"/>
              </w:rPr>
              <w:t xml:space="preserve">Type </w:t>
            </w:r>
            <w:r w:rsidRPr="005370EB">
              <w:rPr>
                <w:b/>
                <w:i/>
                <w:sz w:val="14"/>
                <w:szCs w:val="14"/>
                <w:lang w:val="fr-CH" w:eastAsia="fr-FR"/>
              </w:rPr>
              <w:t>du moteur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5370EB" w:rsidRDefault="008169CA" w:rsidP="003F53F7">
            <w:pPr>
              <w:keepNext/>
              <w:keepLines/>
              <w:tabs>
                <w:tab w:val="num" w:pos="14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160" w:lineRule="exact"/>
              <w:jc w:val="both"/>
              <w:rPr>
                <w:b/>
                <w:i/>
                <w:sz w:val="14"/>
                <w:szCs w:val="14"/>
                <w:lang w:val="fr-CH"/>
              </w:rPr>
            </w:pPr>
            <w:r w:rsidRPr="005370EB">
              <w:rPr>
                <w:b/>
                <w:i/>
                <w:sz w:val="14"/>
                <w:szCs w:val="14"/>
                <w:lang w:val="fr-CH" w:eastAsia="fr-FR"/>
              </w:rPr>
              <w:t xml:space="preserve">Puissance </w:t>
            </w:r>
            <w:r w:rsidRPr="005370EB">
              <w:rPr>
                <w:b/>
                <w:i/>
                <w:sz w:val="14"/>
                <w:szCs w:val="14"/>
                <w:lang w:val="fr-CH"/>
              </w:rPr>
              <w:t>(kW)</w:t>
            </w:r>
          </w:p>
        </w:tc>
      </w:tr>
      <w:tr w:rsidR="008169CA" w:rsidRPr="00B62F9E" w:rsidTr="008169CA">
        <w:trPr>
          <w:trHeight w:val="370"/>
          <w:jc w:val="center"/>
        </w:trPr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  <w:tr w:rsidR="008169CA" w:rsidRPr="00B62F9E" w:rsidTr="008169CA">
        <w:trPr>
          <w:trHeight w:val="33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  <w:tr w:rsidR="008169CA" w:rsidRPr="00B62F9E" w:rsidTr="008169CA">
        <w:trPr>
          <w:trHeight w:val="361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  <w:tr w:rsidR="008169CA" w:rsidRPr="00B62F9E" w:rsidTr="008169CA">
        <w:trPr>
          <w:trHeight w:val="35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  <w:r w:rsidRPr="00B62F9E">
              <w:rPr>
                <w:b/>
                <w:lang w:val="fr-CH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Pr="00B62F9E" w:rsidRDefault="008169CA" w:rsidP="003F53F7">
            <w:pPr>
              <w:keepNext/>
              <w:keepLine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80"/>
              <w:ind w:right="115"/>
              <w:jc w:val="both"/>
              <w:rPr>
                <w:b/>
                <w:sz w:val="24"/>
                <w:lang w:val="fr-CH"/>
              </w:rPr>
            </w:pPr>
          </w:p>
        </w:tc>
      </w:tr>
    </w:tbl>
    <w:p w:rsidR="008169CA" w:rsidRPr="00B62F9E" w:rsidRDefault="003F53F7" w:rsidP="003F53F7">
      <w:pPr>
        <w:pStyle w:val="SingleTxt"/>
        <w:jc w:val="right"/>
        <w:rPr>
          <w:lang w:val="fr-CH"/>
        </w:rPr>
      </w:pPr>
      <w:r w:rsidRPr="00B62F9E">
        <w:rPr>
          <w:lang w:val="fr-CH"/>
        </w:rPr>
        <w:t>».</w:t>
      </w:r>
    </w:p>
    <w:p w:rsidR="003F53F7" w:rsidRPr="00B62F9E" w:rsidRDefault="003F53F7" w:rsidP="003F53F7">
      <w:pPr>
        <w:pStyle w:val="SingleTxt"/>
        <w:spacing w:after="0" w:line="120" w:lineRule="exact"/>
        <w:jc w:val="left"/>
        <w:rPr>
          <w:sz w:val="10"/>
          <w:lang w:val="fr-CH"/>
        </w:rPr>
      </w:pPr>
    </w:p>
    <w:p w:rsidR="003F53F7" w:rsidRPr="00B62F9E" w:rsidRDefault="003F53F7" w:rsidP="003F53F7">
      <w:pPr>
        <w:pStyle w:val="SingleTxt"/>
        <w:spacing w:after="0" w:line="120" w:lineRule="exact"/>
        <w:jc w:val="left"/>
        <w:rPr>
          <w:sz w:val="10"/>
          <w:szCs w:val="20"/>
          <w:lang w:val="fr-CH"/>
        </w:rPr>
      </w:pPr>
    </w:p>
    <w:p w:rsidR="008169CA" w:rsidRPr="00B62F9E" w:rsidRDefault="008169CA" w:rsidP="0048618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62F9E">
        <w:rPr>
          <w:lang w:val="fr-CH"/>
        </w:rPr>
        <w:tab/>
        <w:t>II.</w:t>
      </w:r>
      <w:r w:rsidRPr="00B62F9E">
        <w:rPr>
          <w:lang w:val="fr-CH"/>
        </w:rPr>
        <w:tab/>
        <w:t>Justification</w:t>
      </w: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/>
        </w:rPr>
      </w:pPr>
    </w:p>
    <w:p w:rsidR="0048618D" w:rsidRPr="00B62F9E" w:rsidRDefault="0048618D" w:rsidP="0048618D">
      <w:pPr>
        <w:pStyle w:val="SingleTxt"/>
        <w:spacing w:after="0" w:line="120" w:lineRule="exact"/>
        <w:rPr>
          <w:sz w:val="10"/>
          <w:lang w:val="fr-CH"/>
        </w:rPr>
      </w:pPr>
    </w:p>
    <w:p w:rsidR="008169CA" w:rsidRPr="00B62F9E" w:rsidRDefault="008169CA" w:rsidP="008169CA">
      <w:pPr>
        <w:pStyle w:val="SingleTxt"/>
        <w:rPr>
          <w:lang w:val="fr-CH"/>
        </w:rPr>
      </w:pPr>
      <w:r w:rsidRPr="00B62F9E">
        <w:rPr>
          <w:lang w:val="fr-CH"/>
        </w:rPr>
        <w:t>1.</w:t>
      </w:r>
      <w:r w:rsidRPr="00B62F9E">
        <w:rPr>
          <w:lang w:val="fr-CH"/>
        </w:rPr>
        <w:tab/>
        <w:t>L’amendement proposé vise à simplifier le modèle de fiche de communica</w:t>
      </w:r>
      <w:r w:rsidR="00F03B07">
        <w:rPr>
          <w:lang w:val="fr-CH"/>
        </w:rPr>
        <w:t>tion concernant l’homologation.</w:t>
      </w:r>
    </w:p>
    <w:p w:rsidR="008169CA" w:rsidRPr="00B62F9E" w:rsidRDefault="005D3AF1" w:rsidP="008169CA">
      <w:pPr>
        <w:pStyle w:val="SingleTxt"/>
        <w:rPr>
          <w:lang w:val="fr-CH"/>
        </w:rPr>
      </w:pPr>
      <w:r w:rsidRPr="00B62F9E">
        <w:rPr>
          <w:lang w:val="fr-CH"/>
        </w:rPr>
        <w:t>2.</w:t>
      </w:r>
      <w:r w:rsidRPr="00B62F9E">
        <w:rPr>
          <w:lang w:val="fr-CH"/>
        </w:rPr>
        <w:tab/>
        <w:t xml:space="preserve"> Le modèle actuel exige la communication d’un facteur de CO</w:t>
      </w:r>
      <w:r w:rsidRPr="00B62F9E">
        <w:rPr>
          <w:vertAlign w:val="subscript"/>
          <w:lang w:val="fr-CH"/>
        </w:rPr>
        <w:t>2</w:t>
      </w:r>
      <w:r w:rsidRPr="00B62F9E">
        <w:rPr>
          <w:lang w:val="fr-CH"/>
        </w:rPr>
        <w:t xml:space="preserve"> calculé ainsi que des émissions spécifiques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en mode gaz pour les types de véhicules pour lesquels le système de conversion peut être utilisé (ç</w:t>
      </w:r>
      <w:r>
        <w:rPr>
          <w:lang w:val="fr-CH"/>
        </w:rPr>
        <w:t>'est-à-dire</w:t>
      </w:r>
      <w:r w:rsidRPr="00B62F9E">
        <w:rPr>
          <w:lang w:val="fr-CH"/>
        </w:rPr>
        <w:t xml:space="preserve"> autres que les véhicules de base).</w:t>
      </w:r>
    </w:p>
    <w:p w:rsidR="008169CA" w:rsidRPr="00B62F9E" w:rsidRDefault="005D3AF1" w:rsidP="008169CA">
      <w:pPr>
        <w:pStyle w:val="SingleTxt"/>
        <w:rPr>
          <w:lang w:val="fr-CH"/>
        </w:rPr>
      </w:pPr>
      <w:r w:rsidRPr="00B62F9E">
        <w:rPr>
          <w:lang w:val="fr-CH"/>
        </w:rPr>
        <w:t>3.</w:t>
      </w:r>
      <w:r w:rsidRPr="00B62F9E">
        <w:rPr>
          <w:lang w:val="fr-CH"/>
        </w:rPr>
        <w:tab/>
      </w:r>
      <w:r>
        <w:rPr>
          <w:lang w:val="fr-CH"/>
        </w:rPr>
        <w:t>É</w:t>
      </w:r>
      <w:r w:rsidRPr="00B62F9E">
        <w:rPr>
          <w:lang w:val="fr-CH"/>
        </w:rPr>
        <w:t>tant donné que les émissions spécifiques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en mode gaz sont calculées en appliquant le facteur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 xml:space="preserve">aux émissions </w:t>
      </w:r>
      <w:r>
        <w:rPr>
          <w:lang w:val="fr-CH"/>
        </w:rPr>
        <w:t>« </w:t>
      </w:r>
      <w:r w:rsidRPr="00B62F9E">
        <w:rPr>
          <w:lang w:val="fr-CH"/>
        </w:rPr>
        <w:t>d’origine » en mode essence, la communication du facteur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seulement est suffisante pour déterminer les émissions de CO</w:t>
      </w:r>
      <w:r w:rsidRPr="00B62F9E">
        <w:rPr>
          <w:vertAlign w:val="subscript"/>
          <w:lang w:val="fr-CH"/>
        </w:rPr>
        <w:t>2</w:t>
      </w:r>
      <w:r w:rsidRPr="00B62F9E">
        <w:rPr>
          <w:lang w:val="fr-CH"/>
        </w:rPr>
        <w:t xml:space="preserve"> en mode gaz de tout type de véhicule en cas de besoin .</w:t>
      </w:r>
    </w:p>
    <w:p w:rsidR="008169CA" w:rsidRPr="00B62F9E" w:rsidRDefault="008169CA" w:rsidP="008169CA">
      <w:pPr>
        <w:pStyle w:val="SingleTxt"/>
        <w:rPr>
          <w:lang w:val="fr-CH"/>
        </w:rPr>
      </w:pPr>
      <w:r w:rsidRPr="00B62F9E">
        <w:rPr>
          <w:lang w:val="fr-CH"/>
        </w:rPr>
        <w:t>4.</w:t>
      </w:r>
      <w:r w:rsidRPr="00B62F9E">
        <w:rPr>
          <w:lang w:val="fr-CH"/>
        </w:rPr>
        <w:tab/>
        <w:t>Pour cette raison, il est proposé de supprimer la communication des valeurs d’émissions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et les chiffres de puissance de chaque véhicule spécifique, en réservant la communication de valeurs pour les véhicules de base essayés.</w:t>
      </w:r>
    </w:p>
    <w:p w:rsidR="008169CA" w:rsidRPr="00B62F9E" w:rsidRDefault="008169CA" w:rsidP="008169CA">
      <w:pPr>
        <w:pStyle w:val="SingleTxt"/>
        <w:rPr>
          <w:lang w:val="fr-CH"/>
        </w:rPr>
      </w:pPr>
      <w:r w:rsidRPr="00B62F9E">
        <w:rPr>
          <w:lang w:val="fr-CH"/>
        </w:rPr>
        <w:t>5.</w:t>
      </w:r>
      <w:r w:rsidRPr="00B62F9E">
        <w:rPr>
          <w:lang w:val="fr-CH"/>
        </w:rPr>
        <w:tab/>
        <w:t>Cela n’obligerait pas le fabricant du système de conversion à connaître à l’avance les émissions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d’origine de tous les véhicules qualifiés ou à demander une extension d’homologation lorsque (comme il se produit souvent) un nouveau modèle ou une variante du même véhicule (ç</w:t>
      </w:r>
      <w:r w:rsidR="002B2C71">
        <w:rPr>
          <w:lang w:val="fr-CH"/>
        </w:rPr>
        <w:t>’est</w:t>
      </w:r>
      <w:r w:rsidRPr="00B62F9E">
        <w:rPr>
          <w:lang w:val="fr-CH"/>
        </w:rPr>
        <w:t>-à-d</w:t>
      </w:r>
      <w:r w:rsidR="002B2C71">
        <w:rPr>
          <w:lang w:val="fr-CH"/>
        </w:rPr>
        <w:t>ire</w:t>
      </w:r>
      <w:r w:rsidRPr="00B62F9E">
        <w:rPr>
          <w:lang w:val="fr-CH"/>
        </w:rPr>
        <w:t xml:space="preserve"> avec un chiffre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différent) est mis sur le marché.</w:t>
      </w:r>
    </w:p>
    <w:p w:rsidR="008169CA" w:rsidRPr="00B62F9E" w:rsidRDefault="008169CA" w:rsidP="008169CA">
      <w:pPr>
        <w:pStyle w:val="SingleTxt"/>
        <w:rPr>
          <w:szCs w:val="24"/>
          <w:lang w:val="fr-CH"/>
        </w:rPr>
      </w:pPr>
      <w:r w:rsidRPr="00B62F9E">
        <w:rPr>
          <w:lang w:val="fr-CH"/>
        </w:rPr>
        <w:t>6.</w:t>
      </w:r>
      <w:r w:rsidRPr="00B62F9E">
        <w:rPr>
          <w:lang w:val="fr-CH"/>
        </w:rPr>
        <w:tab/>
        <w:t>Ainsi par exemple, dans les Parties contractantes où les émissions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 xml:space="preserve">en mode gaz d’un véhicule converti conformément au Règlement </w:t>
      </w:r>
      <w:r w:rsidR="002B2C71">
        <w:rPr>
          <w:lang w:val="fr-CH"/>
        </w:rPr>
        <w:t>n</w:t>
      </w:r>
      <w:r w:rsidR="002B2C71" w:rsidRPr="002B2C71">
        <w:rPr>
          <w:vertAlign w:val="superscript"/>
          <w:lang w:val="fr-CH"/>
        </w:rPr>
        <w:t>o</w:t>
      </w:r>
      <w:r w:rsidR="002B2C71">
        <w:rPr>
          <w:lang w:val="fr-CH"/>
        </w:rPr>
        <w:t> </w:t>
      </w:r>
      <w:r w:rsidRPr="00B62F9E">
        <w:rPr>
          <w:lang w:val="fr-CH"/>
        </w:rPr>
        <w:t xml:space="preserve">115 doivent obligatoirement être publiés, au moment de l’enregistrement de la </w:t>
      </w:r>
      <w:r w:rsidR="002B2C71">
        <w:rPr>
          <w:lang w:val="fr-CH"/>
        </w:rPr>
        <w:t>« </w:t>
      </w:r>
      <w:r w:rsidRPr="00B62F9E">
        <w:rPr>
          <w:lang w:val="fr-CH"/>
        </w:rPr>
        <w:t>conversion », le service administratif peut facilement calculer les émissions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en mode gaz en multipliant les facteur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 xml:space="preserve">pour ce véhicule spécifique (publié dans le modèle de fiche </w:t>
      </w:r>
      <w:r w:rsidR="002B2C71">
        <w:rPr>
          <w:lang w:val="fr-CH"/>
        </w:rPr>
        <w:t>de communication du Règlement n</w:t>
      </w:r>
      <w:r w:rsidR="002B2C71" w:rsidRPr="002B2C71">
        <w:rPr>
          <w:vertAlign w:val="superscript"/>
          <w:lang w:val="fr-CH"/>
        </w:rPr>
        <w:t>o</w:t>
      </w:r>
      <w:r w:rsidR="002B2C71">
        <w:rPr>
          <w:lang w:val="fr-CH"/>
        </w:rPr>
        <w:t> </w:t>
      </w:r>
      <w:r w:rsidRPr="00B62F9E">
        <w:rPr>
          <w:lang w:val="fr-CH"/>
        </w:rPr>
        <w:t>115) par les émissions de CO</w:t>
      </w:r>
      <w:r w:rsidRPr="00B62F9E">
        <w:rPr>
          <w:vertAlign w:val="subscript"/>
          <w:lang w:val="fr-CH"/>
        </w:rPr>
        <w:t xml:space="preserve">2 </w:t>
      </w:r>
      <w:r w:rsidRPr="00B62F9E">
        <w:rPr>
          <w:lang w:val="fr-CH"/>
        </w:rPr>
        <w:t>d’origine en mode essence (voir le certificat de conformité).</w:t>
      </w:r>
      <w:r w:rsidRPr="00B62F9E">
        <w:rPr>
          <w:szCs w:val="24"/>
          <w:lang w:val="fr-CH"/>
        </w:rPr>
        <w:t xml:space="preserve"> </w:t>
      </w:r>
    </w:p>
    <w:p w:rsidR="004C3ACC" w:rsidRPr="008169CA" w:rsidRDefault="008169CA" w:rsidP="008169C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C3ACC" w:rsidRPr="008169CA" w:rsidSect="004C3AC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85" w:rsidRDefault="009D0B85" w:rsidP="00F3330B">
      <w:pPr>
        <w:spacing w:line="240" w:lineRule="auto"/>
      </w:pPr>
      <w:r>
        <w:separator/>
      </w:r>
    </w:p>
  </w:endnote>
  <w:endnote w:type="continuationSeparator" w:id="0">
    <w:p w:rsidR="009D0B85" w:rsidRDefault="009D0B8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C3ACC" w:rsidTr="004C3ACC">
      <w:trPr>
        <w:jc w:val="center"/>
      </w:trPr>
      <w:tc>
        <w:tcPr>
          <w:tcW w:w="5126" w:type="dxa"/>
          <w:shd w:val="clear" w:color="auto" w:fill="auto"/>
        </w:tcPr>
        <w:p w:rsidR="004C3ACC" w:rsidRPr="004C3ACC" w:rsidRDefault="004C3ACC" w:rsidP="004C3AC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A1F25">
            <w:rPr>
              <w:b w:val="0"/>
              <w:w w:val="103"/>
              <w:sz w:val="14"/>
            </w:rPr>
            <w:t>GE.15-18615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4C3ACC" w:rsidRPr="004C3ACC" w:rsidRDefault="004C3ACC" w:rsidP="004C3AC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40ABB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40ABB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4C3ACC" w:rsidRPr="004C3ACC" w:rsidRDefault="004C3ACC" w:rsidP="004C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C3ACC" w:rsidTr="004C3ACC">
      <w:trPr>
        <w:jc w:val="center"/>
      </w:trPr>
      <w:tc>
        <w:tcPr>
          <w:tcW w:w="5126" w:type="dxa"/>
          <w:shd w:val="clear" w:color="auto" w:fill="auto"/>
        </w:tcPr>
        <w:p w:rsidR="004C3ACC" w:rsidRPr="004C3ACC" w:rsidRDefault="004C3ACC" w:rsidP="004C3AC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40AB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40ABB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4C3ACC" w:rsidRPr="004C3ACC" w:rsidRDefault="004C3ACC" w:rsidP="004C3AC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A1F25">
            <w:rPr>
              <w:b w:val="0"/>
              <w:w w:val="103"/>
              <w:sz w:val="14"/>
            </w:rPr>
            <w:t>GE.15-18615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C3ACC" w:rsidRPr="004C3ACC" w:rsidRDefault="004C3ACC" w:rsidP="004C3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CC" w:rsidRDefault="004C3AC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1B4F4B" wp14:editId="1BBDF638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PE/2016/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PE/2016/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4C3ACC" w:rsidTr="004C3ACC">
      <w:tc>
        <w:tcPr>
          <w:tcW w:w="3859" w:type="dxa"/>
        </w:tcPr>
        <w:p w:rsidR="004C3ACC" w:rsidRDefault="004C3ACC" w:rsidP="004C3AC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A1F25">
            <w:rPr>
              <w:b w:val="0"/>
              <w:sz w:val="20"/>
            </w:rPr>
            <w:t>GE.15-18615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8169CA"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t xml:space="preserve">1115    </w:t>
          </w:r>
          <w:r w:rsidR="008169CA">
            <w:rPr>
              <w:b w:val="0"/>
              <w:sz w:val="20"/>
            </w:rPr>
            <w:t>0112</w:t>
          </w:r>
          <w:r>
            <w:rPr>
              <w:b w:val="0"/>
              <w:sz w:val="20"/>
            </w:rPr>
            <w:t>15</w:t>
          </w:r>
        </w:p>
        <w:p w:rsidR="004C3ACC" w:rsidRPr="004C3ACC" w:rsidRDefault="004C3ACC" w:rsidP="004C3AC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9A1F2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*1518615*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4C3ACC" w:rsidRDefault="004C3ACC" w:rsidP="004C3AC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19B937D" wp14:editId="287617C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3ACC" w:rsidRPr="004C3ACC" w:rsidRDefault="004C3ACC" w:rsidP="004C3AC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85" w:rsidRPr="008169CA" w:rsidRDefault="009D0B85" w:rsidP="008169CA">
      <w:pPr>
        <w:pStyle w:val="Footer"/>
        <w:spacing w:after="80"/>
        <w:ind w:left="792"/>
        <w:rPr>
          <w:sz w:val="16"/>
        </w:rPr>
      </w:pPr>
      <w:r w:rsidRPr="008169CA">
        <w:rPr>
          <w:sz w:val="16"/>
        </w:rPr>
        <w:t>__________________</w:t>
      </w:r>
    </w:p>
  </w:footnote>
  <w:footnote w:type="continuationSeparator" w:id="0">
    <w:p w:rsidR="009D0B85" w:rsidRPr="008169CA" w:rsidRDefault="009D0B85" w:rsidP="008169CA">
      <w:pPr>
        <w:pStyle w:val="Footer"/>
        <w:spacing w:after="80"/>
        <w:ind w:left="792"/>
        <w:rPr>
          <w:sz w:val="16"/>
        </w:rPr>
      </w:pPr>
      <w:r w:rsidRPr="008169CA">
        <w:rPr>
          <w:sz w:val="16"/>
        </w:rPr>
        <w:t>__________________</w:t>
      </w:r>
    </w:p>
  </w:footnote>
  <w:footnote w:id="1">
    <w:p w:rsidR="008169CA" w:rsidRPr="008169CA" w:rsidRDefault="008169CA" w:rsidP="008169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8169CA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</w:t>
      </w:r>
      <w:r w:rsidR="00F03B07">
        <w:t>4</w:t>
      </w:r>
      <w:r>
        <w:t>-201</w:t>
      </w:r>
      <w:r w:rsidR="00F03B07">
        <w:t>8</w:t>
      </w:r>
      <w:r>
        <w:t xml:space="preserve"> (ECE/TRANS/224, par.</w:t>
      </w:r>
      <w:r w:rsidR="003E6476">
        <w:t> </w:t>
      </w:r>
      <w:r w:rsidR="00945842">
        <w:t>105</w:t>
      </w:r>
      <w:r>
        <w:t>, et ECE/TRANS/2012/12, activité 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C3ACC" w:rsidTr="004C3A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C3ACC" w:rsidRPr="004C3ACC" w:rsidRDefault="004C3ACC" w:rsidP="004C3AC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A1F25">
            <w:rPr>
              <w:b/>
              <w:color w:val="000000"/>
            </w:rPr>
            <w:t>ECE/TRANS/WP.29/GRPE/2016/5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C3ACC" w:rsidRDefault="004C3ACC" w:rsidP="004C3ACC">
          <w:pPr>
            <w:pStyle w:val="Header"/>
          </w:pPr>
        </w:p>
      </w:tc>
    </w:tr>
  </w:tbl>
  <w:p w:rsidR="004C3ACC" w:rsidRPr="004C3ACC" w:rsidRDefault="004C3ACC" w:rsidP="004C3AC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C3ACC" w:rsidTr="004C3A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C3ACC" w:rsidRDefault="004C3ACC" w:rsidP="004C3AC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C3ACC" w:rsidRPr="004C3ACC" w:rsidRDefault="004C3ACC" w:rsidP="004C3AC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A1F25">
            <w:rPr>
              <w:b/>
              <w:color w:val="000000"/>
            </w:rPr>
            <w:t>ECE/TRANS/WP.29/GRPE/2016/5</w:t>
          </w:r>
          <w:r>
            <w:rPr>
              <w:b/>
              <w:color w:val="000000"/>
            </w:rPr>
            <w:fldChar w:fldCharType="end"/>
          </w:r>
        </w:p>
      </w:tc>
    </w:tr>
  </w:tbl>
  <w:p w:rsidR="004C3ACC" w:rsidRPr="004C3ACC" w:rsidRDefault="004C3ACC" w:rsidP="004C3AC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4C3ACC" w:rsidTr="004C3AC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3ACC" w:rsidRDefault="004C3ACC" w:rsidP="004C3AC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3ACC" w:rsidRPr="004C3ACC" w:rsidRDefault="004C3ACC" w:rsidP="004C3AC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3ACC" w:rsidRDefault="004C3ACC" w:rsidP="004C3ACC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C3ACC" w:rsidRPr="004C3ACC" w:rsidRDefault="004C3ACC" w:rsidP="004C3AC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/TRANS/WP.29/GRPE/2016/5</w:t>
          </w:r>
        </w:p>
      </w:tc>
    </w:tr>
    <w:tr w:rsidR="004C3ACC" w:rsidRPr="004C3ACC" w:rsidTr="004C3AC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3ACC" w:rsidRPr="004C3ACC" w:rsidRDefault="004C3ACC" w:rsidP="004C3AC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8DDA833" wp14:editId="0A8A779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3ACC" w:rsidRPr="004C3ACC" w:rsidRDefault="004C3ACC" w:rsidP="004C3ACC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3ACC" w:rsidRPr="004C3ACC" w:rsidRDefault="004C3ACC" w:rsidP="004C3AC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3ACC" w:rsidRDefault="004C3ACC" w:rsidP="004C3ACC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4C3ACC" w:rsidRDefault="004C3ACC" w:rsidP="004C3ACC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26 octobre 2015</w:t>
          </w:r>
        </w:p>
        <w:p w:rsidR="004C3ACC" w:rsidRDefault="004C3ACC" w:rsidP="004C3ACC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4C3ACC" w:rsidRPr="004C3ACC" w:rsidRDefault="004C3ACC" w:rsidP="004C3ACC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4C3ACC" w:rsidRPr="004C3ACC" w:rsidRDefault="004C3ACC" w:rsidP="004C3AC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SortMethod w:val="0003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615*"/>
    <w:docVar w:name="CreationDt" w:val="11/24/2015 12:53 PM"/>
    <w:docVar w:name="DocCategory" w:val="Doc"/>
    <w:docVar w:name="DocType" w:val="Final"/>
    <w:docVar w:name="DutyStation" w:val="Geneva"/>
    <w:docVar w:name="FooterJN" w:val="GE.15-18615"/>
    <w:docVar w:name="jobn" w:val="GE.15-18615 (F)"/>
    <w:docVar w:name="jobnDT" w:val="GE.15-18615 (F)   241115"/>
    <w:docVar w:name="jobnDTDT" w:val="GE.15-18615 (F)   241115   241115"/>
    <w:docVar w:name="JobNo" w:val="GE.1518615F"/>
    <w:docVar w:name="JobNo2" w:val="GE.1524485F"/>
    <w:docVar w:name="LocalDrive" w:val="0"/>
    <w:docVar w:name="OandT" w:val="BEAUNEE"/>
    <w:docVar w:name="PaperSize" w:val="A4"/>
    <w:docVar w:name="sss1" w:val="ECE/TRANS/WP.29/GRPE/2016/5"/>
    <w:docVar w:name="sss2" w:val="-"/>
    <w:docVar w:name="Symbol1" w:val="ECE/TRANS/WP.29/GRPE/2016/5"/>
    <w:docVar w:name="Symbol2" w:val="-"/>
  </w:docVars>
  <w:rsids>
    <w:rsidRoot w:val="006A4C38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0BFB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1DB0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0740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45A1"/>
    <w:rsid w:val="00177D83"/>
    <w:rsid w:val="00180387"/>
    <w:rsid w:val="001818CC"/>
    <w:rsid w:val="00183EBF"/>
    <w:rsid w:val="00186793"/>
    <w:rsid w:val="001904FA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663F"/>
    <w:rsid w:val="001F793D"/>
    <w:rsid w:val="001F7E9D"/>
    <w:rsid w:val="002021E9"/>
    <w:rsid w:val="00202789"/>
    <w:rsid w:val="00202F1F"/>
    <w:rsid w:val="00205199"/>
    <w:rsid w:val="0020521E"/>
    <w:rsid w:val="00206598"/>
    <w:rsid w:val="002067C5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47556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2CE"/>
    <w:rsid w:val="002B1D15"/>
    <w:rsid w:val="002B2C71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033E"/>
    <w:rsid w:val="003235C7"/>
    <w:rsid w:val="00326270"/>
    <w:rsid w:val="0032685C"/>
    <w:rsid w:val="0032728E"/>
    <w:rsid w:val="003327D7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3B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E6476"/>
    <w:rsid w:val="003F108A"/>
    <w:rsid w:val="003F11A9"/>
    <w:rsid w:val="003F1243"/>
    <w:rsid w:val="003F27A0"/>
    <w:rsid w:val="003F34C6"/>
    <w:rsid w:val="003F53F7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744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618D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3AC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E6E3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0EB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5B46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3AF1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BAB"/>
    <w:rsid w:val="00617EBE"/>
    <w:rsid w:val="0062117B"/>
    <w:rsid w:val="00622055"/>
    <w:rsid w:val="00622C2B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57489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4C38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C7F95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0B87"/>
    <w:rsid w:val="00743131"/>
    <w:rsid w:val="0074339E"/>
    <w:rsid w:val="00744BE5"/>
    <w:rsid w:val="00744D58"/>
    <w:rsid w:val="00745376"/>
    <w:rsid w:val="0074587F"/>
    <w:rsid w:val="00747074"/>
    <w:rsid w:val="007476BA"/>
    <w:rsid w:val="00750C8F"/>
    <w:rsid w:val="0075110B"/>
    <w:rsid w:val="007517F6"/>
    <w:rsid w:val="007531C9"/>
    <w:rsid w:val="007537B8"/>
    <w:rsid w:val="00753BEB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01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AEF"/>
    <w:rsid w:val="007A3D35"/>
    <w:rsid w:val="007A684E"/>
    <w:rsid w:val="007A78C2"/>
    <w:rsid w:val="007B05E9"/>
    <w:rsid w:val="007B148E"/>
    <w:rsid w:val="007B1E17"/>
    <w:rsid w:val="007B4950"/>
    <w:rsid w:val="007B4C73"/>
    <w:rsid w:val="007B55A4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9CA"/>
    <w:rsid w:val="00816ECE"/>
    <w:rsid w:val="008173CF"/>
    <w:rsid w:val="00817884"/>
    <w:rsid w:val="00821120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2AA3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ABB"/>
    <w:rsid w:val="00940B65"/>
    <w:rsid w:val="0094133A"/>
    <w:rsid w:val="0094148D"/>
    <w:rsid w:val="009419AD"/>
    <w:rsid w:val="00945842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1F25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23AF"/>
    <w:rsid w:val="009C5249"/>
    <w:rsid w:val="009C70D0"/>
    <w:rsid w:val="009C7F1B"/>
    <w:rsid w:val="009D0B85"/>
    <w:rsid w:val="009D5A2E"/>
    <w:rsid w:val="009D702B"/>
    <w:rsid w:val="009E0573"/>
    <w:rsid w:val="009E06DE"/>
    <w:rsid w:val="009E09FA"/>
    <w:rsid w:val="009E246F"/>
    <w:rsid w:val="009E54F1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2E5E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2F9E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4D8F"/>
    <w:rsid w:val="00BC05C8"/>
    <w:rsid w:val="00BC0F9A"/>
    <w:rsid w:val="00BC3D5F"/>
    <w:rsid w:val="00BC43E2"/>
    <w:rsid w:val="00BD0917"/>
    <w:rsid w:val="00BD1607"/>
    <w:rsid w:val="00BD45A0"/>
    <w:rsid w:val="00BD45BA"/>
    <w:rsid w:val="00BE0285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800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45BA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4F7"/>
    <w:rsid w:val="00D47877"/>
    <w:rsid w:val="00D513A1"/>
    <w:rsid w:val="00D57D07"/>
    <w:rsid w:val="00D60C4E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05AF"/>
    <w:rsid w:val="00DE1304"/>
    <w:rsid w:val="00DE1DD3"/>
    <w:rsid w:val="00DE1F37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020B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B07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97898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4CD9"/>
    <w:rsid w:val="00FD54BE"/>
    <w:rsid w:val="00FD7CD4"/>
    <w:rsid w:val="00FE2498"/>
    <w:rsid w:val="00FE3548"/>
    <w:rsid w:val="00FE3F2D"/>
    <w:rsid w:val="00FE6556"/>
    <w:rsid w:val="00FF09A4"/>
    <w:rsid w:val="00FF12CD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1,PP Char1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C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C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CC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FootnoteTextChar1">
    <w:name w:val="Footnote Text Char1"/>
    <w:aliases w:val="5_G Char,PP Char"/>
    <w:semiHidden/>
    <w:locked/>
    <w:rsid w:val="008169CA"/>
    <w:rPr>
      <w:sz w:val="18"/>
      <w:lang w:val="fr-CH"/>
    </w:rPr>
  </w:style>
  <w:style w:type="character" w:customStyle="1" w:styleId="HChGChar">
    <w:name w:val="_ H _Ch_G Char"/>
    <w:link w:val="HChG"/>
    <w:locked/>
    <w:rsid w:val="008169CA"/>
    <w:rPr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8169C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ascii="Calibri" w:hAnsi="Calibri"/>
      <w:b/>
      <w:spacing w:val="0"/>
      <w:w w:val="100"/>
      <w:kern w:val="0"/>
      <w:sz w:val="28"/>
      <w:szCs w:val="20"/>
      <w:lang w:val="fr-CH"/>
    </w:rPr>
  </w:style>
  <w:style w:type="character" w:customStyle="1" w:styleId="H1GChar">
    <w:name w:val="_ H_1_G Char"/>
    <w:link w:val="H1G"/>
    <w:locked/>
    <w:rsid w:val="008169CA"/>
    <w:rPr>
      <w:b/>
      <w:sz w:val="24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8169C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ascii="Calibri" w:hAnsi="Calibri"/>
      <w:b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locked/>
    <w:rsid w:val="008169CA"/>
    <w:rPr>
      <w:sz w:val="24"/>
      <w:lang w:val="fr-CH"/>
    </w:rPr>
  </w:style>
  <w:style w:type="paragraph" w:customStyle="1" w:styleId="SingleTxtG">
    <w:name w:val="_ Single Txt_G"/>
    <w:basedOn w:val="Normal"/>
    <w:link w:val="SingleTxtGChar"/>
    <w:qFormat/>
    <w:rsid w:val="008169C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Calibri" w:hAnsi="Calibri"/>
      <w:spacing w:val="0"/>
      <w:w w:val="100"/>
      <w:kern w:val="0"/>
      <w:sz w:val="24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1,PP Char1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C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C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CC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FootnoteTextChar1">
    <w:name w:val="Footnote Text Char1"/>
    <w:aliases w:val="5_G Char,PP Char"/>
    <w:semiHidden/>
    <w:locked/>
    <w:rsid w:val="008169CA"/>
    <w:rPr>
      <w:sz w:val="18"/>
      <w:lang w:val="fr-CH"/>
    </w:rPr>
  </w:style>
  <w:style w:type="character" w:customStyle="1" w:styleId="HChGChar">
    <w:name w:val="_ H _Ch_G Char"/>
    <w:link w:val="HChG"/>
    <w:locked/>
    <w:rsid w:val="008169CA"/>
    <w:rPr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8169C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ascii="Calibri" w:hAnsi="Calibri"/>
      <w:b/>
      <w:spacing w:val="0"/>
      <w:w w:val="100"/>
      <w:kern w:val="0"/>
      <w:sz w:val="28"/>
      <w:szCs w:val="20"/>
      <w:lang w:val="fr-CH"/>
    </w:rPr>
  </w:style>
  <w:style w:type="character" w:customStyle="1" w:styleId="H1GChar">
    <w:name w:val="_ H_1_G Char"/>
    <w:link w:val="H1G"/>
    <w:locked/>
    <w:rsid w:val="008169CA"/>
    <w:rPr>
      <w:b/>
      <w:sz w:val="24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8169C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ascii="Calibri" w:hAnsi="Calibri"/>
      <w:b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locked/>
    <w:rsid w:val="008169CA"/>
    <w:rPr>
      <w:sz w:val="24"/>
      <w:lang w:val="fr-CH"/>
    </w:rPr>
  </w:style>
  <w:style w:type="paragraph" w:customStyle="1" w:styleId="SingleTxtG">
    <w:name w:val="_ Single Txt_G"/>
    <w:basedOn w:val="Normal"/>
    <w:link w:val="SingleTxtGChar"/>
    <w:qFormat/>
    <w:rsid w:val="008169C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Calibri" w:hAnsi="Calibri"/>
      <w:spacing w:val="0"/>
      <w:w w:val="100"/>
      <w:kern w:val="0"/>
      <w:sz w:val="24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5F12-0C94-4A57-81D3-AEFBA08B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Benedicte Boudol</cp:lastModifiedBy>
  <cp:revision>2</cp:revision>
  <cp:lastPrinted>2015-11-26T12:29:00Z</cp:lastPrinted>
  <dcterms:created xsi:type="dcterms:W3CDTF">2015-12-01T13:09:00Z</dcterms:created>
  <dcterms:modified xsi:type="dcterms:W3CDTF">2015-12-01T13:09:00Z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1518615F</vt:lpwstr>
  </property>
  <property fmtid="{D5CDD505-2E9C-101B-9397-08002B2CF9AE}" pid="3" name="ODSRefJobNo">
    <vt:lpwstr>1524485F</vt:lpwstr>
  </property>
  <property fmtid="{D5CDD505-2E9C-101B-9397-08002B2CF9AE}" pid="4" name="Symbol1">
    <vt:lpwstr>ECE/TRANS/WP.29/GRPE/2016/5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26 octobre 2015</vt:lpwstr>
  </property>
  <property fmtid="{D5CDD505-2E9C-101B-9397-08002B2CF9AE}" pid="12" name="Original">
    <vt:lpwstr>anglais</vt:lpwstr>
  </property>
  <property fmtid="{D5CDD505-2E9C-101B-9397-08002B2CF9AE}" pid="13" name="Release Date">
    <vt:lpwstr>241115</vt:lpwstr>
  </property>
</Properties>
</file>