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02106" w:rsidTr="007F20FA">
        <w:trPr>
          <w:trHeight w:hRule="exact" w:val="851"/>
        </w:trPr>
        <w:tc>
          <w:tcPr>
            <w:tcW w:w="1276" w:type="dxa"/>
            <w:tcBorders>
              <w:bottom w:val="single" w:sz="4" w:space="0" w:color="auto"/>
            </w:tcBorders>
          </w:tcPr>
          <w:p w:rsidR="00F35BAF" w:rsidRPr="00702106" w:rsidRDefault="00F35BAF" w:rsidP="00C07AF1">
            <w:bookmarkStart w:id="0" w:name="_GoBack"/>
            <w:bookmarkEnd w:id="0"/>
          </w:p>
        </w:tc>
        <w:tc>
          <w:tcPr>
            <w:tcW w:w="2268" w:type="dxa"/>
            <w:tcBorders>
              <w:bottom w:val="single" w:sz="4" w:space="0" w:color="auto"/>
            </w:tcBorders>
            <w:vAlign w:val="bottom"/>
          </w:tcPr>
          <w:p w:rsidR="00F35BAF" w:rsidRPr="00702106" w:rsidRDefault="00F35BAF" w:rsidP="00892A2F">
            <w:pPr>
              <w:spacing w:after="80" w:line="300" w:lineRule="exact"/>
              <w:rPr>
                <w:sz w:val="28"/>
              </w:rPr>
            </w:pPr>
            <w:r w:rsidRPr="00702106">
              <w:rPr>
                <w:sz w:val="28"/>
              </w:rPr>
              <w:t>Nations Unies</w:t>
            </w:r>
          </w:p>
        </w:tc>
        <w:tc>
          <w:tcPr>
            <w:tcW w:w="6095" w:type="dxa"/>
            <w:gridSpan w:val="2"/>
            <w:tcBorders>
              <w:bottom w:val="single" w:sz="4" w:space="0" w:color="auto"/>
            </w:tcBorders>
            <w:vAlign w:val="bottom"/>
          </w:tcPr>
          <w:p w:rsidR="00F35BAF" w:rsidRPr="00702106" w:rsidRDefault="00C07AF1" w:rsidP="00C07AF1">
            <w:pPr>
              <w:jc w:val="right"/>
            </w:pPr>
            <w:r w:rsidRPr="00702106">
              <w:rPr>
                <w:sz w:val="40"/>
              </w:rPr>
              <w:t>ECE</w:t>
            </w:r>
            <w:r w:rsidRPr="00702106">
              <w:t>/TRANS/WP.29/GRPE/2016/11</w:t>
            </w:r>
          </w:p>
        </w:tc>
      </w:tr>
      <w:tr w:rsidR="00F35BAF" w:rsidRPr="00702106" w:rsidTr="00892A2F">
        <w:trPr>
          <w:trHeight w:hRule="exact" w:val="2835"/>
        </w:trPr>
        <w:tc>
          <w:tcPr>
            <w:tcW w:w="1276" w:type="dxa"/>
            <w:tcBorders>
              <w:top w:val="single" w:sz="4" w:space="0" w:color="auto"/>
              <w:bottom w:val="single" w:sz="12" w:space="0" w:color="auto"/>
            </w:tcBorders>
          </w:tcPr>
          <w:p w:rsidR="00F35BAF" w:rsidRPr="00702106" w:rsidRDefault="00F35BAF" w:rsidP="00892A2F">
            <w:pPr>
              <w:spacing w:before="120"/>
              <w:jc w:val="center"/>
            </w:pPr>
            <w:r w:rsidRPr="00702106">
              <w:rPr>
                <w:noProof/>
                <w:lang w:val="fr-FR" w:eastAsia="fr-FR"/>
              </w:rPr>
              <w:drawing>
                <wp:inline distT="0" distB="0" distL="0" distR="0" wp14:anchorId="02865AD9" wp14:editId="7757F8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02106" w:rsidRDefault="00F35BAF" w:rsidP="00892A2F">
            <w:pPr>
              <w:spacing w:before="120" w:line="420" w:lineRule="exact"/>
              <w:rPr>
                <w:b/>
                <w:sz w:val="40"/>
                <w:szCs w:val="40"/>
              </w:rPr>
            </w:pPr>
            <w:r w:rsidRPr="00702106">
              <w:rPr>
                <w:b/>
                <w:sz w:val="40"/>
                <w:szCs w:val="40"/>
              </w:rPr>
              <w:t>Conseil économique et social</w:t>
            </w:r>
          </w:p>
        </w:tc>
        <w:tc>
          <w:tcPr>
            <w:tcW w:w="2835" w:type="dxa"/>
            <w:tcBorders>
              <w:top w:val="single" w:sz="4" w:space="0" w:color="auto"/>
              <w:bottom w:val="single" w:sz="12" w:space="0" w:color="auto"/>
            </w:tcBorders>
          </w:tcPr>
          <w:p w:rsidR="00F35BAF" w:rsidRPr="00702106" w:rsidRDefault="00C07AF1" w:rsidP="00892A2F">
            <w:pPr>
              <w:spacing w:before="240"/>
            </w:pPr>
            <w:r w:rsidRPr="00702106">
              <w:t>Distr. générale</w:t>
            </w:r>
          </w:p>
          <w:p w:rsidR="00C07AF1" w:rsidRPr="00702106" w:rsidRDefault="00C07AF1" w:rsidP="00C07AF1">
            <w:pPr>
              <w:spacing w:line="240" w:lineRule="exact"/>
            </w:pPr>
            <w:r w:rsidRPr="00702106">
              <w:t>23 mars 2016</w:t>
            </w:r>
          </w:p>
          <w:p w:rsidR="00C07AF1" w:rsidRPr="00702106" w:rsidRDefault="00C07AF1" w:rsidP="00C07AF1">
            <w:pPr>
              <w:spacing w:line="240" w:lineRule="exact"/>
            </w:pPr>
            <w:r w:rsidRPr="00702106">
              <w:t>Français</w:t>
            </w:r>
          </w:p>
          <w:p w:rsidR="00C07AF1" w:rsidRPr="00702106" w:rsidRDefault="00C07AF1" w:rsidP="00C07AF1">
            <w:pPr>
              <w:spacing w:line="240" w:lineRule="exact"/>
            </w:pPr>
            <w:r w:rsidRPr="00702106">
              <w:t>Original : anglais</w:t>
            </w:r>
          </w:p>
        </w:tc>
      </w:tr>
    </w:tbl>
    <w:p w:rsidR="007F20FA" w:rsidRPr="00702106" w:rsidRDefault="007F20FA" w:rsidP="007F20FA">
      <w:pPr>
        <w:spacing w:before="120"/>
        <w:rPr>
          <w:b/>
          <w:sz w:val="28"/>
          <w:szCs w:val="28"/>
        </w:rPr>
      </w:pPr>
      <w:r w:rsidRPr="00702106">
        <w:rPr>
          <w:b/>
          <w:sz w:val="28"/>
          <w:szCs w:val="28"/>
        </w:rPr>
        <w:t>Commission économique pour l’Europe</w:t>
      </w:r>
    </w:p>
    <w:p w:rsidR="007F20FA" w:rsidRPr="00702106" w:rsidRDefault="007F20FA" w:rsidP="007F20FA">
      <w:pPr>
        <w:spacing w:before="120"/>
        <w:rPr>
          <w:sz w:val="28"/>
          <w:szCs w:val="28"/>
        </w:rPr>
      </w:pPr>
      <w:r w:rsidRPr="00702106">
        <w:rPr>
          <w:sz w:val="28"/>
          <w:szCs w:val="28"/>
        </w:rPr>
        <w:t>Comité des transports intérieurs</w:t>
      </w:r>
    </w:p>
    <w:p w:rsidR="00622051" w:rsidRPr="00702106" w:rsidRDefault="00622051" w:rsidP="00AF0CB5">
      <w:pPr>
        <w:spacing w:before="120"/>
        <w:rPr>
          <w:b/>
          <w:sz w:val="24"/>
          <w:szCs w:val="24"/>
        </w:rPr>
      </w:pPr>
      <w:r w:rsidRPr="00702106">
        <w:rPr>
          <w:b/>
          <w:sz w:val="24"/>
          <w:szCs w:val="24"/>
        </w:rPr>
        <w:t>Forum mondial de l’harmonisation</w:t>
      </w:r>
      <w:r w:rsidRPr="00702106">
        <w:rPr>
          <w:b/>
          <w:sz w:val="24"/>
          <w:szCs w:val="24"/>
        </w:rPr>
        <w:br/>
        <w:t>des Règlements concernant les véhicules</w:t>
      </w:r>
    </w:p>
    <w:p w:rsidR="00622051" w:rsidRPr="00702106" w:rsidRDefault="00622051" w:rsidP="00257168">
      <w:pPr>
        <w:spacing w:before="120" w:after="120" w:line="240" w:lineRule="exact"/>
        <w:rPr>
          <w:b/>
        </w:rPr>
      </w:pPr>
      <w:r w:rsidRPr="00702106">
        <w:rPr>
          <w:b/>
        </w:rPr>
        <w:t>Groupe de travail de la pollution et de l’énergie</w:t>
      </w:r>
    </w:p>
    <w:p w:rsidR="00622051" w:rsidRPr="00702106" w:rsidRDefault="00622051" w:rsidP="00257168">
      <w:pPr>
        <w:spacing w:before="120" w:line="240" w:lineRule="exact"/>
        <w:rPr>
          <w:b/>
        </w:rPr>
      </w:pPr>
      <w:r w:rsidRPr="00702106">
        <w:rPr>
          <w:b/>
        </w:rPr>
        <w:t>Soixante-treizième session</w:t>
      </w:r>
    </w:p>
    <w:p w:rsidR="00622051" w:rsidRPr="00702106" w:rsidRDefault="00622051" w:rsidP="00257168">
      <w:pPr>
        <w:spacing w:line="240" w:lineRule="exact"/>
      </w:pPr>
      <w:r w:rsidRPr="00702106">
        <w:t>Genève, 7-10 juin 2016</w:t>
      </w:r>
    </w:p>
    <w:p w:rsidR="00622051" w:rsidRPr="00702106" w:rsidRDefault="00622051" w:rsidP="00257168">
      <w:pPr>
        <w:spacing w:line="240" w:lineRule="exact"/>
      </w:pPr>
      <w:r w:rsidRPr="00702106">
        <w:t>Point 3 a) de l’ordre du jour provisoire</w:t>
      </w:r>
    </w:p>
    <w:p w:rsidR="00FB2948" w:rsidRPr="00702106" w:rsidRDefault="00341021" w:rsidP="00622051">
      <w:pPr>
        <w:rPr>
          <w:b/>
        </w:rPr>
      </w:pPr>
      <w:r w:rsidRPr="00702106">
        <w:rPr>
          <w:b/>
        </w:rPr>
        <w:t xml:space="preserve">Véhicules légers </w:t>
      </w:r>
      <w:r w:rsidR="00622051" w:rsidRPr="00702106">
        <w:rPr>
          <w:b/>
        </w:rPr>
        <w:t>−</w:t>
      </w:r>
      <w:r w:rsidRPr="00702106">
        <w:rPr>
          <w:b/>
        </w:rPr>
        <w:t xml:space="preserve"> </w:t>
      </w:r>
      <w:r w:rsidRPr="00702106">
        <w:rPr>
          <w:b/>
        </w:rPr>
        <w:t>Règlements n</w:t>
      </w:r>
      <w:r w:rsidRPr="00702106">
        <w:rPr>
          <w:b/>
          <w:vertAlign w:val="superscript"/>
        </w:rPr>
        <w:t>os</w:t>
      </w:r>
      <w:r w:rsidRPr="00702106">
        <w:rPr>
          <w:b/>
        </w:rPr>
        <w:t xml:space="preserve"> 68 (Mesure de la vitesse maximale, </w:t>
      </w:r>
    </w:p>
    <w:p w:rsidR="00FB2948" w:rsidRPr="00702106" w:rsidRDefault="00341021" w:rsidP="00622051">
      <w:pPr>
        <w:rPr>
          <w:b/>
        </w:rPr>
      </w:pPr>
      <w:r w:rsidRPr="00702106">
        <w:rPr>
          <w:b/>
        </w:rPr>
        <w:t xml:space="preserve">y compris des véhicules électriques purs), 83 (Émissions des véhicules </w:t>
      </w:r>
    </w:p>
    <w:p w:rsidR="00FB2948" w:rsidRPr="00702106" w:rsidRDefault="00341021" w:rsidP="00622051">
      <w:pPr>
        <w:rPr>
          <w:b/>
        </w:rPr>
      </w:pPr>
      <w:r w:rsidRPr="00702106">
        <w:rPr>
          <w:b/>
        </w:rPr>
        <w:t>des catégories M</w:t>
      </w:r>
      <w:r w:rsidRPr="00702106">
        <w:rPr>
          <w:b/>
          <w:vertAlign w:val="subscript"/>
        </w:rPr>
        <w:t>1</w:t>
      </w:r>
      <w:r w:rsidRPr="00702106">
        <w:rPr>
          <w:b/>
        </w:rPr>
        <w:t xml:space="preserve"> et N</w:t>
      </w:r>
      <w:r w:rsidRPr="00702106">
        <w:rPr>
          <w:b/>
          <w:vertAlign w:val="subscript"/>
        </w:rPr>
        <w:t>1</w:t>
      </w:r>
      <w:r w:rsidRPr="00702106">
        <w:rPr>
          <w:b/>
        </w:rPr>
        <w:t>), 101 (Émissions de CO</w:t>
      </w:r>
      <w:r w:rsidRPr="00702106">
        <w:rPr>
          <w:b/>
          <w:vertAlign w:val="subscript"/>
        </w:rPr>
        <w:t>2</w:t>
      </w:r>
      <w:r w:rsidRPr="00702106">
        <w:rPr>
          <w:b/>
        </w:rPr>
        <w:t xml:space="preserve">/consommation </w:t>
      </w:r>
    </w:p>
    <w:p w:rsidR="00FB2948" w:rsidRPr="00702106" w:rsidRDefault="00341021" w:rsidP="00622051">
      <w:pPr>
        <w:rPr>
          <w:b/>
          <w:bCs/>
        </w:rPr>
      </w:pPr>
      <w:r w:rsidRPr="00702106">
        <w:rPr>
          <w:b/>
        </w:rPr>
        <w:t>de carburant) et 103 (Dispositifs antipollution de remplacement)</w:t>
      </w:r>
    </w:p>
    <w:p w:rsidR="00FB2948" w:rsidRPr="00702106" w:rsidRDefault="00341021" w:rsidP="00622051">
      <w:pPr>
        <w:pStyle w:val="HChG"/>
      </w:pPr>
      <w:r w:rsidRPr="00702106">
        <w:tab/>
      </w:r>
      <w:r w:rsidRPr="00702106">
        <w:tab/>
      </w:r>
      <w:r w:rsidRPr="00702106">
        <w:t>Proposition de nouveau complément aux séries 06 et 07 d</w:t>
      </w:r>
      <w:r w:rsidR="00622051" w:rsidRPr="00702106">
        <w:t>’</w:t>
      </w:r>
      <w:r w:rsidRPr="00702106">
        <w:t>amendements au Règlement n</w:t>
      </w:r>
      <w:r w:rsidRPr="00702106">
        <w:rPr>
          <w:vertAlign w:val="superscript"/>
        </w:rPr>
        <w:t>o</w:t>
      </w:r>
      <w:r w:rsidRPr="00702106">
        <w:t xml:space="preserve"> 83 (Émissions </w:t>
      </w:r>
      <w:r w:rsidR="00622051" w:rsidRPr="00702106">
        <w:br/>
      </w:r>
      <w:r w:rsidRPr="00702106">
        <w:t>des véhicules des catégories M</w:t>
      </w:r>
      <w:r w:rsidRPr="00702106">
        <w:rPr>
          <w:vertAlign w:val="subscript"/>
        </w:rPr>
        <w:t>1</w:t>
      </w:r>
      <w:r w:rsidRPr="00702106">
        <w:t xml:space="preserve"> et N</w:t>
      </w:r>
      <w:r w:rsidRPr="00702106">
        <w:rPr>
          <w:vertAlign w:val="subscript"/>
        </w:rPr>
        <w:t>1</w:t>
      </w:r>
      <w:r w:rsidRPr="00702106">
        <w:t>)</w:t>
      </w:r>
    </w:p>
    <w:p w:rsidR="00FB2948" w:rsidRPr="00702106" w:rsidRDefault="00341021" w:rsidP="00622051">
      <w:pPr>
        <w:pStyle w:val="H1G"/>
      </w:pPr>
      <w:r w:rsidRPr="00702106">
        <w:tab/>
      </w:r>
      <w:r w:rsidRPr="00702106">
        <w:tab/>
        <w:t>Communication de l</w:t>
      </w:r>
      <w:r w:rsidR="00622051" w:rsidRPr="00702106">
        <w:t>’</w:t>
      </w:r>
      <w:r w:rsidRPr="00702106">
        <w:t>expert de la Commission européenne</w:t>
      </w:r>
      <w:r w:rsidRPr="00866937">
        <w:rPr>
          <w:rStyle w:val="NotedebasdepageCar"/>
          <w:b w:val="0"/>
          <w:sz w:val="20"/>
        </w:rPr>
        <w:footnoteReference w:customMarkFollows="1" w:id="2"/>
        <w:t>*</w:t>
      </w:r>
    </w:p>
    <w:p w:rsidR="00FB2948" w:rsidRPr="00702106" w:rsidRDefault="00341021" w:rsidP="00622051">
      <w:pPr>
        <w:pStyle w:val="SingleTxtG"/>
        <w:ind w:firstLine="567"/>
      </w:pPr>
      <w:r w:rsidRPr="00702106">
        <w:t>Le texte ci-après, établi par l</w:t>
      </w:r>
      <w:r w:rsidR="00622051" w:rsidRPr="00702106">
        <w:t>’</w:t>
      </w:r>
      <w:r w:rsidRPr="00702106">
        <w:t>expert de la Commission europ</w:t>
      </w:r>
      <w:r w:rsidRPr="00702106">
        <w:t>éenne, est fondé sur les</w:t>
      </w:r>
      <w:r w:rsidR="00702106">
        <w:t xml:space="preserve"> </w:t>
      </w:r>
      <w:r w:rsidRPr="00702106">
        <w:t>documents informels GRPE-72-14 et GRPE-72-15 (voir le rapport ECE/TRANS/</w:t>
      </w:r>
      <w:r w:rsidR="00702106">
        <w:t xml:space="preserve"> </w:t>
      </w:r>
      <w:r w:rsidRPr="00702106">
        <w:t>WP.29/GRPE/72, par</w:t>
      </w:r>
      <w:r w:rsidR="00702106">
        <w:t xml:space="preserve">. 20 et </w:t>
      </w:r>
      <w:r w:rsidRPr="00702106">
        <w:t>21). La proposition vise à fournir des éclaircissements et à corriger des erreurs dans les séries 06 et 07 d</w:t>
      </w:r>
      <w:r w:rsidR="00622051" w:rsidRPr="00702106">
        <w:t>’</w:t>
      </w:r>
      <w:r w:rsidRPr="00702106">
        <w:t>amendements au Règlemen</w:t>
      </w:r>
      <w:r w:rsidRPr="00702106">
        <w:t>t n</w:t>
      </w:r>
      <w:r w:rsidRPr="00702106">
        <w:rPr>
          <w:vertAlign w:val="superscript"/>
        </w:rPr>
        <w:t>o</w:t>
      </w:r>
      <w:r w:rsidRPr="00702106">
        <w:t xml:space="preserve"> 83. Les modifications apportées au texte actuel du Règlement sont indiquées </w:t>
      </w:r>
      <w:r w:rsidRPr="00702106">
        <w:rPr>
          <w:b/>
          <w:bCs/>
        </w:rPr>
        <w:t xml:space="preserve">en caractères gras </w:t>
      </w:r>
      <w:r w:rsidRPr="00702106">
        <w:t xml:space="preserve">pour les ajouts et </w:t>
      </w:r>
      <w:r w:rsidRPr="00702106">
        <w:rPr>
          <w:strike/>
        </w:rPr>
        <w:t>en caractères biffés</w:t>
      </w:r>
      <w:r w:rsidRPr="00702106">
        <w:t xml:space="preserve"> pour les suppressions.</w:t>
      </w:r>
    </w:p>
    <w:p w:rsidR="00FB2948" w:rsidRPr="00702106" w:rsidRDefault="00341021" w:rsidP="00622051">
      <w:pPr>
        <w:pStyle w:val="HChG"/>
      </w:pPr>
      <w:r w:rsidRPr="00702106">
        <w:br w:type="page"/>
      </w:r>
      <w:r w:rsidR="00622051" w:rsidRPr="00702106">
        <w:lastRenderedPageBreak/>
        <w:tab/>
      </w:r>
      <w:r w:rsidRPr="00702106">
        <w:t>I.</w:t>
      </w:r>
      <w:r w:rsidRPr="00702106">
        <w:tab/>
        <w:t>Propositions</w:t>
      </w:r>
    </w:p>
    <w:p w:rsidR="00FB2948" w:rsidRPr="00702106" w:rsidRDefault="00341021" w:rsidP="00622051">
      <w:pPr>
        <w:pStyle w:val="H1G"/>
      </w:pPr>
      <w:r w:rsidRPr="00702106">
        <w:tab/>
        <w:t>A.</w:t>
      </w:r>
      <w:r w:rsidRPr="00702106">
        <w:tab/>
        <w:t>Nouveau complément à la série 06 d</w:t>
      </w:r>
      <w:r w:rsidR="00622051" w:rsidRPr="00702106">
        <w:t>’</w:t>
      </w:r>
      <w:r w:rsidRPr="00702106">
        <w:t>amendements</w:t>
      </w:r>
    </w:p>
    <w:p w:rsidR="00FB2948" w:rsidRPr="00702106" w:rsidRDefault="00341021" w:rsidP="00622051">
      <w:pPr>
        <w:pStyle w:val="SingleTxtG"/>
      </w:pPr>
      <w:r w:rsidRPr="00702106">
        <w:rPr>
          <w:i/>
        </w:rPr>
        <w:t>Paragraphe 7.1.4.1</w:t>
      </w:r>
      <w:r w:rsidRPr="00702106">
        <w:t xml:space="preserve">, </w:t>
      </w:r>
      <w:r w:rsidRPr="00702106">
        <w:t>modifier comme suit</w:t>
      </w:r>
      <w:r w:rsidR="00622051" w:rsidRPr="00702106">
        <w:t> :</w:t>
      </w:r>
    </w:p>
    <w:p w:rsidR="00FB2948" w:rsidRPr="00702106" w:rsidRDefault="002A65A6" w:rsidP="00622051">
      <w:pPr>
        <w:pStyle w:val="SingleTxtG"/>
        <w:keepNext/>
        <w:ind w:left="2268" w:hanging="1134"/>
      </w:pPr>
      <w:r w:rsidRPr="00702106">
        <w:t>« </w:t>
      </w:r>
      <w:r w:rsidR="00341021" w:rsidRPr="00702106">
        <w:t>7.1.4.1</w:t>
      </w:r>
      <w:r w:rsidR="00341021" w:rsidRPr="00702106">
        <w:tab/>
        <w:t>Les paramètres identiques à prendre en compte pour l</w:t>
      </w:r>
      <w:r w:rsidR="00622051" w:rsidRPr="00702106">
        <w:t>’</w:t>
      </w:r>
      <w:r w:rsidR="00341021" w:rsidRPr="00702106">
        <w:t>extension de l</w:t>
      </w:r>
      <w:r w:rsidR="00622051" w:rsidRPr="00702106">
        <w:t>’</w:t>
      </w:r>
      <w:r w:rsidR="00341021" w:rsidRPr="00702106">
        <w:t>homologation sont les suivants</w:t>
      </w:r>
      <w:r w:rsidR="00622051" w:rsidRPr="00702106">
        <w:t> :</w:t>
      </w:r>
    </w:p>
    <w:p w:rsidR="00FB2948" w:rsidRPr="00702106" w:rsidRDefault="00341021" w:rsidP="0024486B">
      <w:pPr>
        <w:pStyle w:val="SingleTxtG"/>
        <w:ind w:left="2835" w:hanging="567"/>
      </w:pPr>
      <w:r w:rsidRPr="00702106">
        <w:t>a)</w:t>
      </w:r>
      <w:r w:rsidRPr="00702106">
        <w:tab/>
        <w:t>Moteur</w:t>
      </w:r>
      <w:r w:rsidR="00622051" w:rsidRPr="00702106">
        <w:t> ;</w:t>
      </w:r>
    </w:p>
    <w:p w:rsidR="00FB2948" w:rsidRPr="00702106" w:rsidRDefault="00341021" w:rsidP="0024486B">
      <w:pPr>
        <w:pStyle w:val="SingleTxtG"/>
        <w:ind w:left="2835" w:hanging="567"/>
        <w:rPr>
          <w:b/>
        </w:rPr>
      </w:pPr>
      <w:r w:rsidRPr="00702106">
        <w:rPr>
          <w:b/>
        </w:rPr>
        <w:t>Moteur</w:t>
      </w:r>
      <w:r w:rsidR="00622051" w:rsidRPr="00702106">
        <w:rPr>
          <w:b/>
        </w:rPr>
        <w:t> :</w:t>
      </w:r>
    </w:p>
    <w:p w:rsidR="00FB2948" w:rsidRPr="00702106" w:rsidRDefault="00341021" w:rsidP="0024486B">
      <w:pPr>
        <w:pStyle w:val="SingleTxtG"/>
        <w:ind w:left="2835" w:hanging="567"/>
      </w:pPr>
      <w:r w:rsidRPr="00702106">
        <w:rPr>
          <w:strike/>
        </w:rPr>
        <w:t>b)</w:t>
      </w:r>
      <w:r w:rsidRPr="00702106">
        <w:rPr>
          <w:b/>
        </w:rPr>
        <w:t>a)</w:t>
      </w:r>
      <w:r w:rsidRPr="00702106">
        <w:tab/>
        <w:t>Procédé de combustion</w:t>
      </w:r>
      <w:r w:rsidR="00622051" w:rsidRPr="00702106">
        <w:t> </w:t>
      </w:r>
      <w:r w:rsidR="00622051" w:rsidRPr="00702106">
        <w:rPr>
          <w:strike/>
        </w:rPr>
        <w:t>;</w:t>
      </w:r>
      <w:r w:rsidRPr="00702106">
        <w:rPr>
          <w:b/>
        </w:rPr>
        <w:t>.</w:t>
      </w:r>
    </w:p>
    <w:p w:rsidR="00FB2948" w:rsidRPr="00702106" w:rsidRDefault="00341021" w:rsidP="0024486B">
      <w:pPr>
        <w:pStyle w:val="SingleTxtG"/>
        <w:ind w:left="2835" w:hanging="567"/>
        <w:rPr>
          <w:strike/>
        </w:rPr>
      </w:pPr>
      <w:r w:rsidRPr="00702106">
        <w:rPr>
          <w:strike/>
        </w:rPr>
        <w:t>c)</w:t>
      </w:r>
      <w:r w:rsidRPr="00702106">
        <w:rPr>
          <w:strike/>
        </w:rPr>
        <w:tab/>
        <w:t>Dispositif à régénération discontinue (catalyseur, piège à particules</w:t>
      </w:r>
      <w:r w:rsidR="00622051" w:rsidRPr="00702106">
        <w:rPr>
          <w:strike/>
        </w:rPr>
        <w:t>) ;</w:t>
      </w:r>
    </w:p>
    <w:p w:rsidR="00FB2948" w:rsidRPr="00702106" w:rsidRDefault="00341021" w:rsidP="0024486B">
      <w:pPr>
        <w:pStyle w:val="SingleTxtG"/>
        <w:keepNext/>
        <w:ind w:left="2835" w:hanging="567"/>
        <w:rPr>
          <w:b/>
        </w:rPr>
      </w:pPr>
      <w:r w:rsidRPr="00702106">
        <w:rPr>
          <w:b/>
        </w:rPr>
        <w:t>Dispositif à régénération discontinue (catalyseur, piège à particules</w:t>
      </w:r>
      <w:r w:rsidR="00622051" w:rsidRPr="00702106">
        <w:rPr>
          <w:b/>
        </w:rPr>
        <w:t>) :</w:t>
      </w:r>
    </w:p>
    <w:p w:rsidR="00FB2948" w:rsidRPr="00702106" w:rsidRDefault="00341021" w:rsidP="0024486B">
      <w:pPr>
        <w:pStyle w:val="SingleTxtG"/>
        <w:ind w:left="2835" w:hanging="567"/>
      </w:pPr>
      <w:r w:rsidRPr="00702106">
        <w:rPr>
          <w:strike/>
        </w:rPr>
        <w:t>d)</w:t>
      </w:r>
      <w:r w:rsidRPr="00702106">
        <w:rPr>
          <w:b/>
        </w:rPr>
        <w:t>a)</w:t>
      </w:r>
      <w:r w:rsidRPr="00702106">
        <w:tab/>
        <w:t>Configuration (type d</w:t>
      </w:r>
      <w:r w:rsidR="00622051" w:rsidRPr="00702106">
        <w:t>’</w:t>
      </w:r>
      <w:r w:rsidRPr="00702106">
        <w:t>enveloppe, nature du métal précieux et du substrat, densité alvéolaire</w:t>
      </w:r>
      <w:r w:rsidR="00622051" w:rsidRPr="00702106">
        <w:t>) ;</w:t>
      </w:r>
    </w:p>
    <w:p w:rsidR="00FB2948" w:rsidRPr="00702106" w:rsidRDefault="00341021" w:rsidP="0024486B">
      <w:pPr>
        <w:pStyle w:val="SingleTxtG"/>
        <w:ind w:left="2835" w:hanging="567"/>
      </w:pPr>
      <w:r w:rsidRPr="00702106">
        <w:rPr>
          <w:strike/>
        </w:rPr>
        <w:t>e)</w:t>
      </w:r>
      <w:r w:rsidRPr="00702106">
        <w:rPr>
          <w:b/>
        </w:rPr>
        <w:t>b)</w:t>
      </w:r>
      <w:r w:rsidRPr="00702106">
        <w:tab/>
        <w:t>Type et principe de fonctionnement</w:t>
      </w:r>
      <w:r w:rsidR="00622051" w:rsidRPr="00702106">
        <w:t> ;</w:t>
      </w:r>
    </w:p>
    <w:p w:rsidR="00FB2948" w:rsidRPr="00702106" w:rsidRDefault="00341021" w:rsidP="0024486B">
      <w:pPr>
        <w:pStyle w:val="SingleTxtG"/>
        <w:ind w:left="2835" w:hanging="567"/>
      </w:pPr>
      <w:r w:rsidRPr="00702106">
        <w:rPr>
          <w:strike/>
        </w:rPr>
        <w:t>f)</w:t>
      </w:r>
      <w:r w:rsidRPr="00702106">
        <w:rPr>
          <w:b/>
        </w:rPr>
        <w:t>c)</w:t>
      </w:r>
      <w:r w:rsidRPr="00702106">
        <w:tab/>
        <w:t>Système d</w:t>
      </w:r>
      <w:r w:rsidR="00622051" w:rsidRPr="00702106">
        <w:t>’</w:t>
      </w:r>
      <w:r w:rsidRPr="00702106">
        <w:t>additif et dosage</w:t>
      </w:r>
      <w:r w:rsidR="00622051" w:rsidRPr="00702106">
        <w:t> ;</w:t>
      </w:r>
    </w:p>
    <w:p w:rsidR="00FB2948" w:rsidRPr="00702106" w:rsidRDefault="00341021" w:rsidP="0024486B">
      <w:pPr>
        <w:pStyle w:val="SingleTxtG"/>
        <w:ind w:left="2835" w:hanging="567"/>
      </w:pPr>
      <w:r w:rsidRPr="00702106">
        <w:rPr>
          <w:strike/>
        </w:rPr>
        <w:t>g)</w:t>
      </w:r>
      <w:r w:rsidRPr="00702106">
        <w:rPr>
          <w:b/>
        </w:rPr>
        <w:t>d)</w:t>
      </w:r>
      <w:r w:rsidRPr="00702106">
        <w:tab/>
        <w:t>Volume (</w:t>
      </w:r>
      <w:r w:rsidR="002A65A6" w:rsidRPr="00702106">
        <w:sym w:font="Symbol" w:char="F0B1"/>
      </w:r>
      <w:r w:rsidRPr="00702106">
        <w:t>10%)</w:t>
      </w:r>
      <w:r w:rsidR="00622051" w:rsidRPr="00702106">
        <w:t> ;</w:t>
      </w:r>
      <w:r w:rsidRPr="00702106">
        <w:t xml:space="preserve"> et</w:t>
      </w:r>
    </w:p>
    <w:p w:rsidR="00FB2948" w:rsidRPr="00702106" w:rsidRDefault="00341021" w:rsidP="0024486B">
      <w:pPr>
        <w:pStyle w:val="SingleTxtG"/>
        <w:ind w:left="2835" w:hanging="567"/>
      </w:pPr>
      <w:r w:rsidRPr="00702106">
        <w:rPr>
          <w:strike/>
        </w:rPr>
        <w:t>h)</w:t>
      </w:r>
      <w:r w:rsidRPr="00702106">
        <w:rPr>
          <w:b/>
        </w:rPr>
        <w:t>e)</w:t>
      </w:r>
      <w:r w:rsidRPr="00702106">
        <w:tab/>
        <w:t>Emplac</w:t>
      </w:r>
      <w:r w:rsidR="002A65A6" w:rsidRPr="00702106">
        <w:t xml:space="preserve">ement (température </w:t>
      </w:r>
      <w:r w:rsidR="002A65A6" w:rsidRPr="00702106">
        <w:sym w:font="Symbol" w:char="F0B1"/>
      </w:r>
      <w:r w:rsidR="002A65A6" w:rsidRPr="00702106">
        <w:t>50 °C à 120 </w:t>
      </w:r>
      <w:r w:rsidRPr="00702106">
        <w:t xml:space="preserve">km/h </w:t>
      </w:r>
      <w:r w:rsidR="002A65A6" w:rsidRPr="00702106">
        <w:t>ou température maximale moins 5 </w:t>
      </w:r>
      <w:r w:rsidRPr="00702106">
        <w:t>% à la pression maximale).</w:t>
      </w:r>
      <w:r w:rsidR="002A65A6" w:rsidRPr="00702106">
        <w:t> »</w:t>
      </w:r>
      <w:r w:rsidRPr="00702106">
        <w:t>.</w:t>
      </w:r>
    </w:p>
    <w:p w:rsidR="00FB2948" w:rsidRPr="00702106" w:rsidRDefault="00341021" w:rsidP="000876BB">
      <w:pPr>
        <w:pStyle w:val="SingleTxtG"/>
        <w:keepNext/>
        <w:rPr>
          <w:i/>
        </w:rPr>
      </w:pPr>
      <w:r w:rsidRPr="00702106">
        <w:rPr>
          <w:i/>
        </w:rPr>
        <w:t>Annexe 4a, appendice 3, paragraphe 1.2.12.6</w:t>
      </w:r>
      <w:r w:rsidRPr="00EF0E45">
        <w:t>,</w:t>
      </w:r>
      <w:r w:rsidRPr="00702106">
        <w:rPr>
          <w:i/>
        </w:rPr>
        <w:t xml:space="preserve"> </w:t>
      </w:r>
      <w:r w:rsidRPr="00702106">
        <w:t>modifier comme suit</w:t>
      </w:r>
      <w:r w:rsidR="000876BB" w:rsidRPr="00702106">
        <w:t> :</w:t>
      </w:r>
    </w:p>
    <w:p w:rsidR="00FB2948" w:rsidRPr="00702106" w:rsidRDefault="002A65A6" w:rsidP="00DB440A">
      <w:pPr>
        <w:pStyle w:val="SingleTxtG"/>
        <w:ind w:left="2268" w:hanging="1134"/>
      </w:pPr>
      <w:r w:rsidRPr="00702106">
        <w:t>« </w:t>
      </w:r>
      <w:r w:rsidR="00341021" w:rsidRPr="00702106">
        <w:t>1.2.12.6</w:t>
      </w:r>
      <w:r w:rsidR="00341021" w:rsidRPr="00702106">
        <w:tab/>
        <w:t xml:space="preserve">Le détecteur à ionisation de flamme chauffé </w:t>
      </w:r>
      <w:r w:rsidR="00341021" w:rsidRPr="00702106">
        <w:t>(HFID) doit être utilisé avec système à débit constant (échangeur de chaleur) pour assurer un prélèvement représentatif, à moins qu</w:t>
      </w:r>
      <w:r w:rsidR="00622051" w:rsidRPr="00702106">
        <w:t>’</w:t>
      </w:r>
      <w:r w:rsidR="00341021" w:rsidRPr="00702106">
        <w:t xml:space="preserve">une compensation ne soit effectuée pour la variation du débit </w:t>
      </w:r>
      <w:r w:rsidR="00341021" w:rsidRPr="00702106">
        <w:rPr>
          <w:strike/>
        </w:rPr>
        <w:t>des systèmes CFV ou CFO</w:t>
      </w:r>
      <w:r w:rsidR="00341021" w:rsidRPr="00702106">
        <w:rPr>
          <w:b/>
        </w:rPr>
        <w:t xml:space="preserve"> volumique en cas d</w:t>
      </w:r>
      <w:r w:rsidR="00622051" w:rsidRPr="00702106">
        <w:rPr>
          <w:b/>
        </w:rPr>
        <w:t>’</w:t>
      </w:r>
      <w:r w:rsidR="00341021" w:rsidRPr="00702106">
        <w:rPr>
          <w:b/>
        </w:rPr>
        <w:t>utilisation d</w:t>
      </w:r>
      <w:r w:rsidR="00622051" w:rsidRPr="00702106">
        <w:rPr>
          <w:b/>
        </w:rPr>
        <w:t>’</w:t>
      </w:r>
      <w:r w:rsidR="00341021" w:rsidRPr="00702106">
        <w:rPr>
          <w:b/>
        </w:rPr>
        <w:t>un CV</w:t>
      </w:r>
      <w:r w:rsidR="00341021" w:rsidRPr="00702106">
        <w:rPr>
          <w:b/>
        </w:rPr>
        <w:t>S</w:t>
      </w:r>
      <w:r w:rsidR="00341021" w:rsidRPr="00702106">
        <w:t>.</w:t>
      </w:r>
      <w:r w:rsidRPr="00702106">
        <w:t> »</w:t>
      </w:r>
      <w:r w:rsidR="00341021" w:rsidRPr="00702106">
        <w:t>.</w:t>
      </w:r>
    </w:p>
    <w:p w:rsidR="00FB2948" w:rsidRPr="00702106" w:rsidRDefault="00341021" w:rsidP="00A36DA0">
      <w:pPr>
        <w:pStyle w:val="SingleTxtG"/>
        <w:keepNext/>
        <w:rPr>
          <w:i/>
        </w:rPr>
      </w:pPr>
      <w:r w:rsidRPr="00702106">
        <w:rPr>
          <w:i/>
        </w:rPr>
        <w:t>Annexe 7, paragraphe 7.5.2</w:t>
      </w:r>
      <w:r w:rsidRPr="00EF0E45">
        <w:t>,</w:t>
      </w:r>
      <w:r w:rsidRPr="00702106">
        <w:rPr>
          <w:i/>
        </w:rPr>
        <w:t xml:space="preserve"> </w:t>
      </w:r>
      <w:r w:rsidRPr="00702106">
        <w:t>modifier comme suit</w:t>
      </w:r>
      <w:r w:rsidR="00DB440A" w:rsidRPr="00702106">
        <w:t> :</w:t>
      </w:r>
    </w:p>
    <w:p w:rsidR="00FB2948" w:rsidRPr="00702106" w:rsidRDefault="002A65A6" w:rsidP="00DB440A">
      <w:pPr>
        <w:pStyle w:val="SingleTxtG"/>
        <w:ind w:left="2268" w:hanging="1134"/>
      </w:pPr>
      <w:r w:rsidRPr="00702106">
        <w:t>« </w:t>
      </w:r>
      <w:r w:rsidR="00341021" w:rsidRPr="00702106">
        <w:t>7.5.2</w:t>
      </w:r>
      <w:r w:rsidR="00341021" w:rsidRPr="00702106">
        <w:tab/>
        <w:t>L</w:t>
      </w:r>
      <w:r w:rsidR="00622051" w:rsidRPr="00702106">
        <w:t>’</w:t>
      </w:r>
      <w:r w:rsidR="00341021" w:rsidRPr="00702106">
        <w:t xml:space="preserve">inspecteur peut essayer les véhicules en appliquant le </w:t>
      </w:r>
      <w:r w:rsidR="00341021" w:rsidRPr="00702106">
        <w:rPr>
          <w:strike/>
        </w:rPr>
        <w:t>paragraphe 8.2.5. du</w:t>
      </w:r>
      <w:r w:rsidR="00341021" w:rsidRPr="00702106">
        <w:t xml:space="preserve"> </w:t>
      </w:r>
      <w:r w:rsidR="00341021" w:rsidRPr="00702106">
        <w:rPr>
          <w:strike/>
        </w:rPr>
        <w:t>présent Règlement</w:t>
      </w:r>
      <w:r w:rsidR="00341021" w:rsidRPr="00702106">
        <w:rPr>
          <w:b/>
        </w:rPr>
        <w:t xml:space="preserve"> paragraphe</w:t>
      </w:r>
      <w:r w:rsidR="002D10F1" w:rsidRPr="00702106">
        <w:rPr>
          <w:b/>
        </w:rPr>
        <w:t> </w:t>
      </w:r>
      <w:r w:rsidR="007E26C8">
        <w:rPr>
          <w:b/>
        </w:rPr>
        <w:t>7.1</w:t>
      </w:r>
      <w:r w:rsidR="00341021" w:rsidRPr="00702106">
        <w:rPr>
          <w:b/>
        </w:rPr>
        <w:t xml:space="preserve"> de la présente annexe</w:t>
      </w:r>
      <w:r w:rsidR="00341021" w:rsidRPr="00702106">
        <w:t>.</w:t>
      </w:r>
      <w:r w:rsidRPr="00702106">
        <w:t> »</w:t>
      </w:r>
      <w:r w:rsidR="00341021" w:rsidRPr="00702106">
        <w:t>.</w:t>
      </w:r>
    </w:p>
    <w:p w:rsidR="00FB2948" w:rsidRPr="00702106" w:rsidRDefault="00341021" w:rsidP="00A36DA0">
      <w:pPr>
        <w:pStyle w:val="SingleTxtG"/>
        <w:keepNext/>
        <w:rPr>
          <w:i/>
        </w:rPr>
      </w:pPr>
      <w:r w:rsidRPr="00702106">
        <w:rPr>
          <w:i/>
        </w:rPr>
        <w:t>Annexe 11,</w:t>
      </w:r>
    </w:p>
    <w:p w:rsidR="00FB2948" w:rsidRPr="00702106" w:rsidRDefault="00341021" w:rsidP="00A36DA0">
      <w:pPr>
        <w:pStyle w:val="SingleTxtG"/>
        <w:keepNext/>
        <w:rPr>
          <w:i/>
        </w:rPr>
      </w:pPr>
      <w:r w:rsidRPr="00702106">
        <w:rPr>
          <w:i/>
        </w:rPr>
        <w:t>Paragraphe 3.3.3.1</w:t>
      </w:r>
      <w:r w:rsidRPr="00EF0E45">
        <w:t>,</w:t>
      </w:r>
      <w:r w:rsidRPr="00702106">
        <w:rPr>
          <w:i/>
        </w:rPr>
        <w:t xml:space="preserve"> </w:t>
      </w:r>
      <w:r w:rsidRPr="00702106">
        <w:t>modifier comme suit</w:t>
      </w:r>
      <w:r w:rsidR="00DB440A" w:rsidRPr="00702106">
        <w:t> :</w:t>
      </w:r>
    </w:p>
    <w:p w:rsidR="00FB2948" w:rsidRPr="00702106" w:rsidRDefault="002D10F1" w:rsidP="00DB440A">
      <w:pPr>
        <w:pStyle w:val="SingleTxtG"/>
        <w:ind w:left="2268" w:hanging="1134"/>
      </w:pPr>
      <w:r w:rsidRPr="00702106">
        <w:t>« </w:t>
      </w:r>
      <w:r w:rsidR="00341021" w:rsidRPr="00702106">
        <w:t>3.3.3.1</w:t>
      </w:r>
      <w:r w:rsidR="00341021" w:rsidRPr="00702106">
        <w:tab/>
        <w:t>Le système OBD surveille la baisse d</w:t>
      </w:r>
      <w:r w:rsidR="00622051" w:rsidRPr="00702106">
        <w:t>’</w:t>
      </w:r>
      <w:r w:rsidR="00341021" w:rsidRPr="00702106">
        <w:t>efficacité du convertisseur catalytique au regard des émissions de</w:t>
      </w:r>
      <w:r w:rsidR="00341021" w:rsidRPr="00702106">
        <w:rPr>
          <w:strike/>
        </w:rPr>
        <w:t xml:space="preserve"> CTH</w:t>
      </w:r>
      <w:r w:rsidR="00341021" w:rsidRPr="00702106">
        <w:t xml:space="preserve"> </w:t>
      </w:r>
      <w:r w:rsidR="00341021" w:rsidRPr="00702106">
        <w:rPr>
          <w:b/>
        </w:rPr>
        <w:t>NMHC</w:t>
      </w:r>
      <w:r w:rsidR="00341021" w:rsidRPr="00702106">
        <w:t xml:space="preserve"> et de NO</w:t>
      </w:r>
      <w:r w:rsidR="00341021" w:rsidRPr="00702106">
        <w:rPr>
          <w:vertAlign w:val="subscript"/>
        </w:rPr>
        <w:t>x</w:t>
      </w:r>
      <w:r w:rsidR="00341021" w:rsidRPr="00702106">
        <w:t>. Les constructeurs peuvent prévoir un dispositif de surveillance uniquement pour le catalyseur en amont ou en combinaison ave</w:t>
      </w:r>
      <w:r w:rsidR="00341021" w:rsidRPr="00702106">
        <w:t>c le ou les catalyseurs suivants en aval. Un catalyseur ou un assemblage de catalyseurs est réputé dysfonctionner lorsque les émissions dépassent les valeurs limites de NMHC ou NO</w:t>
      </w:r>
      <w:r w:rsidR="00341021" w:rsidRPr="00702106">
        <w:rPr>
          <w:vertAlign w:val="subscript"/>
        </w:rPr>
        <w:t>x</w:t>
      </w:r>
      <w:r w:rsidR="00462090">
        <w:t xml:space="preserve"> visées au paragraphe </w:t>
      </w:r>
      <w:r w:rsidR="00341021" w:rsidRPr="00702106">
        <w:t>3.3.2 de la présente annexe. Par dérogation, l</w:t>
      </w:r>
      <w:r w:rsidR="00622051" w:rsidRPr="00702106">
        <w:t>’</w:t>
      </w:r>
      <w:r w:rsidR="00341021" w:rsidRPr="00702106">
        <w:t>exigenc</w:t>
      </w:r>
      <w:r w:rsidR="00341021" w:rsidRPr="00702106">
        <w:t>e de surveillance de la baisse d</w:t>
      </w:r>
      <w:r w:rsidR="00622051" w:rsidRPr="00702106">
        <w:t>’</w:t>
      </w:r>
      <w:r w:rsidR="00341021" w:rsidRPr="00702106">
        <w:t>efficacité du convertisseur catalytique au regard des émissions de NO</w:t>
      </w:r>
      <w:r w:rsidR="00341021" w:rsidRPr="00702106">
        <w:rPr>
          <w:vertAlign w:val="subscript"/>
        </w:rPr>
        <w:t>x</w:t>
      </w:r>
      <w:r w:rsidR="00341021" w:rsidRPr="00702106">
        <w:t xml:space="preserve"> ne s</w:t>
      </w:r>
      <w:r w:rsidR="00622051" w:rsidRPr="00702106">
        <w:t>’</w:t>
      </w:r>
      <w:r w:rsidR="00341021" w:rsidRPr="00702106">
        <w:t>applique qu</w:t>
      </w:r>
      <w:r w:rsidR="00622051" w:rsidRPr="00702106">
        <w:t>’</w:t>
      </w:r>
      <w:r w:rsidR="00341021" w:rsidRPr="00702106">
        <w:t>à partir</w:t>
      </w:r>
      <w:r w:rsidR="00462090">
        <w:t xml:space="preserve"> des dates visées au paragraphe </w:t>
      </w:r>
      <w:r w:rsidR="00341021" w:rsidRPr="00702106">
        <w:t>12.1.4.».</w:t>
      </w:r>
    </w:p>
    <w:p w:rsidR="00FB2948" w:rsidRPr="00702106" w:rsidRDefault="00341021" w:rsidP="00A36DA0">
      <w:pPr>
        <w:pStyle w:val="SingleTxtG"/>
        <w:keepNext/>
        <w:rPr>
          <w:i/>
        </w:rPr>
      </w:pPr>
      <w:r w:rsidRPr="00702106">
        <w:rPr>
          <w:i/>
        </w:rPr>
        <w:lastRenderedPageBreak/>
        <w:t>Paragraphe 3.3.3.4</w:t>
      </w:r>
      <w:r w:rsidRPr="00EF0E45">
        <w:t>,</w:t>
      </w:r>
      <w:r w:rsidRPr="00702106">
        <w:rPr>
          <w:i/>
        </w:rPr>
        <w:t xml:space="preserve"> </w:t>
      </w:r>
      <w:r w:rsidRPr="00702106">
        <w:t>modifier comme suit</w:t>
      </w:r>
      <w:r w:rsidR="002D10F1" w:rsidRPr="00702106">
        <w:t> :</w:t>
      </w:r>
    </w:p>
    <w:p w:rsidR="00FB2948" w:rsidRPr="00702106" w:rsidRDefault="002D10F1" w:rsidP="000876BB">
      <w:pPr>
        <w:pStyle w:val="SingleTxtG"/>
        <w:keepNext/>
        <w:ind w:left="2268" w:hanging="1134"/>
      </w:pPr>
      <w:r w:rsidRPr="00702106">
        <w:t>« </w:t>
      </w:r>
      <w:r w:rsidR="00341021" w:rsidRPr="00702106">
        <w:t>3.3.3.4</w:t>
      </w:r>
      <w:r w:rsidR="00341021" w:rsidRPr="00702106">
        <w:tab/>
        <w:t>S</w:t>
      </w:r>
      <w:r w:rsidR="00622051" w:rsidRPr="00702106">
        <w:t>’</w:t>
      </w:r>
      <w:r w:rsidR="00341021" w:rsidRPr="00702106">
        <w:t xml:space="preserve">ils sont actifs sur le type de </w:t>
      </w:r>
      <w:r w:rsidR="00341021" w:rsidRPr="00702106">
        <w:t>carburant sélectionné, les autres composants ou dispositifs du système antipollution, ou les composants ou systèmes du groupe motopropulseur relatifs aux émissions, qui sont raccordés à un ordinateur et dont la défaillance peut entraîner des émissions à l</w:t>
      </w:r>
      <w:r w:rsidR="00622051" w:rsidRPr="00702106">
        <w:t>’</w:t>
      </w:r>
      <w:r w:rsidR="00341021" w:rsidRPr="00702106">
        <w:t xml:space="preserve">échappement dépassant les </w:t>
      </w:r>
      <w:r w:rsidR="00341021" w:rsidRPr="00702106">
        <w:rPr>
          <w:b/>
          <w:bCs/>
        </w:rPr>
        <w:t>valeurs</w:t>
      </w:r>
      <w:r w:rsidR="00341021" w:rsidRPr="00702106">
        <w:t xml:space="preserve"> limites</w:t>
      </w:r>
      <w:r w:rsidR="00341021" w:rsidRPr="00702106">
        <w:rPr>
          <w:b/>
        </w:rPr>
        <w:t xml:space="preserve"> OBD</w:t>
      </w:r>
      <w:r w:rsidRPr="00702106">
        <w:t xml:space="preserve"> indiquées au paragraphe </w:t>
      </w:r>
      <w:r w:rsidR="00341021" w:rsidRPr="00702106">
        <w:t xml:space="preserve">3.3.2. </w:t>
      </w:r>
      <w:r w:rsidR="00341021" w:rsidRPr="00702106">
        <w:rPr>
          <w:b/>
        </w:rPr>
        <w:t>de la présente annexe</w:t>
      </w:r>
      <w:r w:rsidR="00341021" w:rsidRPr="00702106">
        <w:t>.</w:t>
      </w:r>
      <w:r w:rsidRPr="00702106">
        <w:t> »</w:t>
      </w:r>
      <w:r w:rsidR="00341021" w:rsidRPr="00702106">
        <w:t>.</w:t>
      </w:r>
    </w:p>
    <w:p w:rsidR="00FB2948" w:rsidRPr="00702106" w:rsidRDefault="00341021" w:rsidP="00A36DA0">
      <w:pPr>
        <w:pStyle w:val="SingleTxtG"/>
        <w:keepNext/>
        <w:rPr>
          <w:i/>
        </w:rPr>
      </w:pPr>
      <w:r w:rsidRPr="00702106">
        <w:rPr>
          <w:i/>
        </w:rPr>
        <w:t>Paragraphe 3.3.4.4</w:t>
      </w:r>
      <w:r w:rsidRPr="00EF0E45">
        <w:t xml:space="preserve">, </w:t>
      </w:r>
      <w:r w:rsidRPr="00702106">
        <w:t>modifier comme suit</w:t>
      </w:r>
      <w:r w:rsidR="002D10F1" w:rsidRPr="00702106">
        <w:t> :</w:t>
      </w:r>
    </w:p>
    <w:p w:rsidR="00FB2948" w:rsidRPr="00702106" w:rsidRDefault="002D10F1" w:rsidP="002D10F1">
      <w:pPr>
        <w:pStyle w:val="SingleTxtG"/>
        <w:ind w:left="2268" w:hanging="1134"/>
      </w:pPr>
      <w:r w:rsidRPr="00702106">
        <w:t>« </w:t>
      </w:r>
      <w:r w:rsidR="00341021" w:rsidRPr="00702106">
        <w:t>3.3.4.4</w:t>
      </w:r>
      <w:r w:rsidR="00341021" w:rsidRPr="00702106">
        <w:tab/>
        <w:t>Les autres composants ou systèmes du système antipollution, ou les composants ou systèmes du groupe p</w:t>
      </w:r>
      <w:r w:rsidR="00341021" w:rsidRPr="00702106">
        <w:t>ropulseur relatifs aux émissions, qui sont connectés à un ordinateur, et dont la défaillance peut entraîner des émissions à l</w:t>
      </w:r>
      <w:r w:rsidR="00622051" w:rsidRPr="00702106">
        <w:t>’</w:t>
      </w:r>
      <w:r w:rsidR="00341021" w:rsidRPr="00702106">
        <w:t xml:space="preserve">échappement dépassant les </w:t>
      </w:r>
      <w:r w:rsidR="00341021" w:rsidRPr="00702106">
        <w:rPr>
          <w:b/>
          <w:bCs/>
        </w:rPr>
        <w:t>valeurs</w:t>
      </w:r>
      <w:r w:rsidR="00341021" w:rsidRPr="00702106">
        <w:t xml:space="preserve"> limites</w:t>
      </w:r>
      <w:r w:rsidR="00341021" w:rsidRPr="00702106">
        <w:rPr>
          <w:b/>
        </w:rPr>
        <w:t xml:space="preserve"> OBD</w:t>
      </w:r>
      <w:r w:rsidR="00341021" w:rsidRPr="00702106">
        <w:t xml:space="preserve"> indiquées au paragraphe</w:t>
      </w:r>
      <w:r w:rsidR="00332120" w:rsidRPr="00702106">
        <w:t> </w:t>
      </w:r>
      <w:r w:rsidR="00341021" w:rsidRPr="00702106">
        <w:t xml:space="preserve">3.3.2 </w:t>
      </w:r>
      <w:r w:rsidR="00341021" w:rsidRPr="00702106">
        <w:rPr>
          <w:b/>
        </w:rPr>
        <w:t>de la présente annexe</w:t>
      </w:r>
      <w:r w:rsidR="00341021" w:rsidRPr="00702106">
        <w:t>. Il s</w:t>
      </w:r>
      <w:r w:rsidR="00622051" w:rsidRPr="00702106">
        <w:t>’</w:t>
      </w:r>
      <w:r w:rsidR="00341021" w:rsidRPr="00702106">
        <w:t xml:space="preserve">agit, par exemple, des </w:t>
      </w:r>
      <w:r w:rsidR="00341021" w:rsidRPr="00702106">
        <w:t>composants ou systèmes chargés de surveiller et de contrôler le débit d</w:t>
      </w:r>
      <w:r w:rsidR="00622051" w:rsidRPr="00702106">
        <w:t>’</w:t>
      </w:r>
      <w:r w:rsidR="00341021" w:rsidRPr="00702106">
        <w:t>air massique, le débit d</w:t>
      </w:r>
      <w:r w:rsidR="00622051" w:rsidRPr="00702106">
        <w:t>’</w:t>
      </w:r>
      <w:r w:rsidR="00341021" w:rsidRPr="00702106">
        <w:t>air volumétrique (et la température), la pression de suralimentation et la pression dans la tubulure d</w:t>
      </w:r>
      <w:r w:rsidR="00622051" w:rsidRPr="00702106">
        <w:t>’</w:t>
      </w:r>
      <w:r w:rsidR="00341021" w:rsidRPr="00702106">
        <w:t>admission (ainsi que des capteurs qui permettent l</w:t>
      </w:r>
      <w:r w:rsidR="00622051" w:rsidRPr="00702106">
        <w:t>’</w:t>
      </w:r>
      <w:r w:rsidR="00341021" w:rsidRPr="00702106">
        <w:t>exécu</w:t>
      </w:r>
      <w:r w:rsidR="00341021" w:rsidRPr="00702106">
        <w:t>tion de ces contrôles);</w:t>
      </w:r>
      <w:r w:rsidRPr="00702106">
        <w:t> »</w:t>
      </w:r>
      <w:r w:rsidR="00341021" w:rsidRPr="00702106">
        <w:t>.</w:t>
      </w:r>
    </w:p>
    <w:p w:rsidR="00FB2948" w:rsidRPr="00702106" w:rsidRDefault="00341021" w:rsidP="00A36DA0">
      <w:pPr>
        <w:pStyle w:val="SingleTxtG"/>
        <w:keepNext/>
        <w:rPr>
          <w:i/>
        </w:rPr>
      </w:pPr>
      <w:r w:rsidRPr="00702106">
        <w:rPr>
          <w:i/>
        </w:rPr>
        <w:t>Paragraphe 3.3.5</w:t>
      </w:r>
      <w:r w:rsidRPr="00EF0E45">
        <w:t xml:space="preserve">, </w:t>
      </w:r>
      <w:r w:rsidRPr="00702106">
        <w:t>modifier comme suit</w:t>
      </w:r>
      <w:r w:rsidR="002D10F1" w:rsidRPr="00702106">
        <w:t> :</w:t>
      </w:r>
    </w:p>
    <w:p w:rsidR="00FB2948" w:rsidRPr="00702106" w:rsidRDefault="002D10F1" w:rsidP="002D10F1">
      <w:pPr>
        <w:pStyle w:val="SingleTxtG"/>
        <w:ind w:left="2268" w:hanging="1134"/>
      </w:pPr>
      <w:r w:rsidRPr="00702106">
        <w:t>« </w:t>
      </w:r>
      <w:r w:rsidR="00341021" w:rsidRPr="00702106">
        <w:t>3.3.5</w:t>
      </w:r>
      <w:r w:rsidR="00341021" w:rsidRPr="00702106">
        <w:tab/>
        <w:t>Les constructeurs peuvent démontrer à l</w:t>
      </w:r>
      <w:r w:rsidR="00622051" w:rsidRPr="00702106">
        <w:t>’</w:t>
      </w:r>
      <w:r w:rsidR="00341021" w:rsidRPr="00702106">
        <w:t>autorité chargée de l</w:t>
      </w:r>
      <w:r w:rsidR="00622051" w:rsidRPr="00702106">
        <w:t>’</w:t>
      </w:r>
      <w:r w:rsidR="00341021" w:rsidRPr="00702106">
        <w:t>homologation que certains composants ou systèmes ne doivent pas être soumis à une surveillance si le niveau des émissio</w:t>
      </w:r>
      <w:r w:rsidR="00341021" w:rsidRPr="00702106">
        <w:t xml:space="preserve">ns ne dépasse pas les </w:t>
      </w:r>
      <w:r w:rsidR="00341021" w:rsidRPr="00702106">
        <w:rPr>
          <w:b/>
          <w:bCs/>
        </w:rPr>
        <w:t>valeurs</w:t>
      </w:r>
      <w:r w:rsidR="00341021" w:rsidRPr="00702106">
        <w:t xml:space="preserve"> limites</w:t>
      </w:r>
      <w:r w:rsidR="00341021" w:rsidRPr="00702106">
        <w:rPr>
          <w:b/>
        </w:rPr>
        <w:t xml:space="preserve"> OBD</w:t>
      </w:r>
      <w:r w:rsidR="00341021" w:rsidRPr="00702106">
        <w:t xml:space="preserve"> indiquées au paragraphe 3.3.2 </w:t>
      </w:r>
      <w:r w:rsidR="00341021" w:rsidRPr="00702106">
        <w:rPr>
          <w:b/>
          <w:bCs/>
        </w:rPr>
        <w:t xml:space="preserve">de la présente annexe </w:t>
      </w:r>
      <w:r w:rsidR="00341021" w:rsidRPr="00702106">
        <w:t>lorsque ces composants ou systèmes subissent une défaillance totale ou sont retirés.</w:t>
      </w:r>
      <w:r w:rsidRPr="00702106">
        <w:t> »</w:t>
      </w:r>
      <w:r w:rsidR="00341021" w:rsidRPr="00702106">
        <w:t>.</w:t>
      </w:r>
    </w:p>
    <w:p w:rsidR="00FB2948" w:rsidRPr="00702106" w:rsidRDefault="00341021" w:rsidP="002D10F1">
      <w:pPr>
        <w:pStyle w:val="H1G"/>
      </w:pPr>
      <w:r w:rsidRPr="00702106">
        <w:tab/>
        <w:t>B.</w:t>
      </w:r>
      <w:r w:rsidRPr="00702106">
        <w:tab/>
        <w:t>Nouveau complément à la série 07 d</w:t>
      </w:r>
      <w:r w:rsidR="00622051" w:rsidRPr="00702106">
        <w:t>’</w:t>
      </w:r>
      <w:r w:rsidRPr="00702106">
        <w:t>amendements</w:t>
      </w:r>
    </w:p>
    <w:p w:rsidR="00FB2948" w:rsidRPr="00702106" w:rsidRDefault="00341021" w:rsidP="00A36DA0">
      <w:pPr>
        <w:pStyle w:val="SingleTxtG"/>
        <w:keepNext/>
        <w:rPr>
          <w:i/>
        </w:rPr>
      </w:pPr>
      <w:r w:rsidRPr="00702106">
        <w:rPr>
          <w:i/>
        </w:rPr>
        <w:t>Paragraphe 7.1.4.1</w:t>
      </w:r>
      <w:r w:rsidRPr="00702106">
        <w:t>,</w:t>
      </w:r>
      <w:r w:rsidRPr="00702106">
        <w:rPr>
          <w:i/>
        </w:rPr>
        <w:t xml:space="preserve"> </w:t>
      </w:r>
      <w:r w:rsidRPr="00702106">
        <w:t>modifier comme suit</w:t>
      </w:r>
      <w:r w:rsidR="002D10F1" w:rsidRPr="00702106">
        <w:t> :</w:t>
      </w:r>
    </w:p>
    <w:p w:rsidR="00FB2948" w:rsidRPr="00702106" w:rsidRDefault="00937A78" w:rsidP="000876BB">
      <w:pPr>
        <w:pStyle w:val="SingleTxtG"/>
        <w:keepNext/>
        <w:ind w:left="2268" w:hanging="1134"/>
      </w:pPr>
      <w:r w:rsidRPr="00702106">
        <w:t>« </w:t>
      </w:r>
      <w:r w:rsidR="00341021" w:rsidRPr="00702106">
        <w:t>7.1.4.1</w:t>
      </w:r>
      <w:r w:rsidR="00341021" w:rsidRPr="00702106">
        <w:tab/>
        <w:t>Les paramètres identiques à prendre en compte pour l</w:t>
      </w:r>
      <w:r w:rsidR="00622051" w:rsidRPr="00702106">
        <w:t>’</w:t>
      </w:r>
      <w:r w:rsidR="00341021" w:rsidRPr="00702106">
        <w:t>extension de l</w:t>
      </w:r>
      <w:r w:rsidR="00622051" w:rsidRPr="00702106">
        <w:t>’</w:t>
      </w:r>
      <w:r w:rsidRPr="00702106">
        <w:t>homologation sont les suivants :</w:t>
      </w:r>
    </w:p>
    <w:p w:rsidR="00FB2948" w:rsidRPr="00702106" w:rsidRDefault="00332120" w:rsidP="00D57D79">
      <w:pPr>
        <w:pStyle w:val="SingleTxtG"/>
        <w:ind w:left="2835" w:hanging="567"/>
        <w:rPr>
          <w:strike/>
        </w:rPr>
      </w:pPr>
      <w:r w:rsidRPr="00702106">
        <w:rPr>
          <w:strike/>
        </w:rPr>
        <w:t>a)</w:t>
      </w:r>
      <w:r w:rsidRPr="00702106">
        <w:rPr>
          <w:strike/>
        </w:rPr>
        <w:tab/>
        <w:t>Moteur ;</w:t>
      </w:r>
    </w:p>
    <w:p w:rsidR="00FB2948" w:rsidRPr="00702106" w:rsidRDefault="00332120" w:rsidP="00332120">
      <w:pPr>
        <w:pStyle w:val="SingleTxtG"/>
        <w:ind w:left="2268"/>
        <w:rPr>
          <w:b/>
        </w:rPr>
      </w:pPr>
      <w:r w:rsidRPr="00702106">
        <w:rPr>
          <w:b/>
        </w:rPr>
        <w:t>Moteur :</w:t>
      </w:r>
    </w:p>
    <w:p w:rsidR="00FB2948" w:rsidRPr="00702106" w:rsidRDefault="00341021" w:rsidP="00D57D79">
      <w:pPr>
        <w:pStyle w:val="SingleTxtG"/>
        <w:ind w:left="2835" w:hanging="567"/>
      </w:pPr>
      <w:r w:rsidRPr="00702106">
        <w:rPr>
          <w:strike/>
        </w:rPr>
        <w:t>b)</w:t>
      </w:r>
      <w:r w:rsidRPr="00702106">
        <w:rPr>
          <w:b/>
        </w:rPr>
        <w:t>a)</w:t>
      </w:r>
      <w:r w:rsidRPr="00702106">
        <w:tab/>
        <w:t>Procédé de combustion</w:t>
      </w:r>
      <w:r w:rsidR="00622051" w:rsidRPr="00702106">
        <w:t> ;</w:t>
      </w:r>
      <w:r w:rsidRPr="00702106">
        <w:rPr>
          <w:b/>
        </w:rPr>
        <w:t>.</w:t>
      </w:r>
    </w:p>
    <w:p w:rsidR="00FB2948" w:rsidRPr="00702106" w:rsidRDefault="00341021" w:rsidP="00332120">
      <w:pPr>
        <w:pStyle w:val="SingleTxtG"/>
        <w:ind w:left="2268"/>
        <w:rPr>
          <w:strike/>
        </w:rPr>
      </w:pPr>
      <w:r w:rsidRPr="00702106">
        <w:rPr>
          <w:strike/>
        </w:rPr>
        <w:t>c)</w:t>
      </w:r>
      <w:r w:rsidRPr="00702106">
        <w:rPr>
          <w:strike/>
        </w:rPr>
        <w:tab/>
        <w:t xml:space="preserve">Dispositif à régénération discontinue (catalyseur, piège à </w:t>
      </w:r>
      <w:r w:rsidRPr="00702106">
        <w:rPr>
          <w:strike/>
        </w:rPr>
        <w:t>particules)</w:t>
      </w:r>
      <w:r w:rsidR="00622051" w:rsidRPr="00702106">
        <w:rPr>
          <w:strike/>
        </w:rPr>
        <w:t> ;</w:t>
      </w:r>
    </w:p>
    <w:p w:rsidR="00FB2948" w:rsidRPr="00702106" w:rsidRDefault="00341021" w:rsidP="00332120">
      <w:pPr>
        <w:pStyle w:val="SingleTxtG"/>
        <w:keepNext/>
        <w:ind w:left="2268"/>
        <w:rPr>
          <w:b/>
        </w:rPr>
      </w:pPr>
      <w:r w:rsidRPr="00702106">
        <w:rPr>
          <w:b/>
        </w:rPr>
        <w:t>Dispositif à régénération discontinue (</w:t>
      </w:r>
      <w:r w:rsidR="00332120" w:rsidRPr="00702106">
        <w:rPr>
          <w:b/>
        </w:rPr>
        <w:t>catalyseur, piège à particules) :</w:t>
      </w:r>
    </w:p>
    <w:p w:rsidR="00FB2948" w:rsidRPr="00702106" w:rsidRDefault="00341021" w:rsidP="00D57D79">
      <w:pPr>
        <w:pStyle w:val="SingleTxtG"/>
        <w:ind w:left="2835" w:hanging="567"/>
      </w:pPr>
      <w:r w:rsidRPr="00702106">
        <w:rPr>
          <w:strike/>
        </w:rPr>
        <w:t>d)</w:t>
      </w:r>
      <w:r w:rsidRPr="00702106">
        <w:rPr>
          <w:b/>
        </w:rPr>
        <w:t>a)</w:t>
      </w:r>
      <w:r w:rsidRPr="00702106">
        <w:tab/>
        <w:t>Configuration (type d</w:t>
      </w:r>
      <w:r w:rsidR="00622051" w:rsidRPr="00702106">
        <w:t>’</w:t>
      </w:r>
      <w:r w:rsidRPr="00702106">
        <w:t>enveloppe, nature du métal précieux et du substrat, densité alvéolaire)</w:t>
      </w:r>
      <w:r w:rsidR="00622051" w:rsidRPr="00702106">
        <w:t> ;</w:t>
      </w:r>
    </w:p>
    <w:p w:rsidR="00FB2948" w:rsidRPr="00702106" w:rsidRDefault="00341021" w:rsidP="00D57D79">
      <w:pPr>
        <w:pStyle w:val="SingleTxtG"/>
        <w:ind w:left="2835" w:hanging="567"/>
      </w:pPr>
      <w:r w:rsidRPr="00702106">
        <w:rPr>
          <w:strike/>
        </w:rPr>
        <w:t>e)</w:t>
      </w:r>
      <w:r w:rsidRPr="00702106">
        <w:rPr>
          <w:b/>
        </w:rPr>
        <w:t>b)</w:t>
      </w:r>
      <w:r w:rsidRPr="00702106">
        <w:tab/>
        <w:t>Type et principe de fonctionnement</w:t>
      </w:r>
      <w:r w:rsidR="00622051" w:rsidRPr="00702106">
        <w:t> ;</w:t>
      </w:r>
    </w:p>
    <w:p w:rsidR="00FB2948" w:rsidRPr="00702106" w:rsidRDefault="00341021" w:rsidP="00D57D79">
      <w:pPr>
        <w:pStyle w:val="SingleTxtG"/>
        <w:ind w:left="2835" w:hanging="567"/>
      </w:pPr>
      <w:r w:rsidRPr="00702106">
        <w:rPr>
          <w:strike/>
        </w:rPr>
        <w:t>f)</w:t>
      </w:r>
      <w:r w:rsidRPr="00702106">
        <w:rPr>
          <w:b/>
        </w:rPr>
        <w:t>c)</w:t>
      </w:r>
      <w:r w:rsidRPr="00702106">
        <w:tab/>
        <w:t>Système d</w:t>
      </w:r>
      <w:r w:rsidR="00622051" w:rsidRPr="00702106">
        <w:t>’</w:t>
      </w:r>
      <w:r w:rsidRPr="00702106">
        <w:t xml:space="preserve">additif et </w:t>
      </w:r>
      <w:r w:rsidRPr="00702106">
        <w:t>dosage</w:t>
      </w:r>
      <w:r w:rsidR="00622051" w:rsidRPr="00702106">
        <w:t> ;</w:t>
      </w:r>
    </w:p>
    <w:p w:rsidR="00FB2948" w:rsidRPr="00702106" w:rsidRDefault="00341021" w:rsidP="00D57D79">
      <w:pPr>
        <w:pStyle w:val="SingleTxtG"/>
        <w:ind w:left="2835" w:hanging="567"/>
      </w:pPr>
      <w:r w:rsidRPr="00702106">
        <w:rPr>
          <w:strike/>
        </w:rPr>
        <w:t>g)</w:t>
      </w:r>
      <w:r w:rsidRPr="00702106">
        <w:rPr>
          <w:b/>
        </w:rPr>
        <w:t>d)</w:t>
      </w:r>
      <w:r w:rsidRPr="00702106">
        <w:tab/>
        <w:t>Volume (</w:t>
      </w:r>
      <w:r w:rsidR="00332120" w:rsidRPr="00702106">
        <w:sym w:font="Symbol" w:char="F0B1"/>
      </w:r>
      <w:r w:rsidRPr="00702106">
        <w:t>10%)</w:t>
      </w:r>
      <w:r w:rsidR="00622051" w:rsidRPr="00702106">
        <w:t> ;</w:t>
      </w:r>
      <w:r w:rsidRPr="00702106">
        <w:t xml:space="preserve"> et</w:t>
      </w:r>
    </w:p>
    <w:p w:rsidR="00FB2948" w:rsidRPr="00702106" w:rsidRDefault="00341021" w:rsidP="00D57D79">
      <w:pPr>
        <w:pStyle w:val="SingleTxtG"/>
        <w:ind w:left="2835" w:hanging="567"/>
      </w:pPr>
      <w:r w:rsidRPr="00702106">
        <w:rPr>
          <w:strike/>
        </w:rPr>
        <w:t>h)</w:t>
      </w:r>
      <w:r w:rsidRPr="00702106">
        <w:rPr>
          <w:b/>
        </w:rPr>
        <w:t>e)</w:t>
      </w:r>
      <w:r w:rsidRPr="00702106">
        <w:tab/>
        <w:t xml:space="preserve">Emplacement (température </w:t>
      </w:r>
      <w:r w:rsidR="00332120" w:rsidRPr="00702106">
        <w:sym w:font="Symbol" w:char="F0B1"/>
      </w:r>
      <w:r w:rsidR="00332120" w:rsidRPr="00702106">
        <w:t>50 °C à 120 </w:t>
      </w:r>
      <w:r w:rsidRPr="00702106">
        <w:t xml:space="preserve">km/h ou température </w:t>
      </w:r>
      <w:r w:rsidR="00332120" w:rsidRPr="00702106">
        <w:t>maximale moins 5 </w:t>
      </w:r>
      <w:r w:rsidRPr="00702106">
        <w:t>% à la pression maximale).</w:t>
      </w:r>
      <w:r w:rsidR="00D57D79" w:rsidRPr="00702106">
        <w:t> »</w:t>
      </w:r>
      <w:r w:rsidRPr="00702106">
        <w:t>.</w:t>
      </w:r>
    </w:p>
    <w:p w:rsidR="00FB2948" w:rsidRPr="00702106" w:rsidRDefault="00341021" w:rsidP="00EF0E45">
      <w:pPr>
        <w:pStyle w:val="SingleTxtG"/>
        <w:keepNext/>
        <w:rPr>
          <w:i/>
        </w:rPr>
      </w:pPr>
      <w:r w:rsidRPr="00702106">
        <w:rPr>
          <w:i/>
        </w:rPr>
        <w:lastRenderedPageBreak/>
        <w:t>Annex</w:t>
      </w:r>
      <w:r w:rsidR="00332120" w:rsidRPr="00702106">
        <w:rPr>
          <w:i/>
        </w:rPr>
        <w:t>e</w:t>
      </w:r>
      <w:r w:rsidRPr="00702106">
        <w:rPr>
          <w:i/>
        </w:rPr>
        <w:t xml:space="preserve"> 2, additif, point 2.1.1</w:t>
      </w:r>
      <w:r w:rsidRPr="00702106">
        <w:t>,</w:t>
      </w:r>
      <w:r w:rsidRPr="00702106">
        <w:rPr>
          <w:i/>
        </w:rPr>
        <w:t xml:space="preserve"> </w:t>
      </w:r>
      <w:r w:rsidRPr="00702106">
        <w:t>modifier comme suit</w:t>
      </w:r>
      <w:r w:rsidR="00332120" w:rsidRPr="00702106">
        <w:t> :</w:t>
      </w:r>
    </w:p>
    <w:p w:rsidR="00FB2948" w:rsidRPr="00702106" w:rsidRDefault="00332120" w:rsidP="000876BB">
      <w:pPr>
        <w:pStyle w:val="SingleTxtG"/>
        <w:keepNext/>
        <w:ind w:left="2268" w:hanging="1134"/>
      </w:pPr>
      <w:r w:rsidRPr="00702106">
        <w:t>« </w:t>
      </w:r>
      <w:r w:rsidR="00341021" w:rsidRPr="00702106">
        <w:t>2.1.1</w:t>
      </w:r>
      <w:r w:rsidR="00341021" w:rsidRPr="00702106">
        <w:tab/>
        <w:t xml:space="preserve">Dans le cas des véhicules bicarburant, il faut </w:t>
      </w:r>
      <w:r w:rsidR="00341021" w:rsidRPr="00702106">
        <w:t>reproduire le tableau du type I pour les deux carburants. S</w:t>
      </w:r>
      <w:r w:rsidR="00622051" w:rsidRPr="00702106">
        <w:t>’</w:t>
      </w:r>
      <w:r w:rsidR="00341021" w:rsidRPr="00702106">
        <w:t>agissant des véhicules polycarburant, lorsqu</w:t>
      </w:r>
      <w:r w:rsidR="00622051" w:rsidRPr="00702106">
        <w:t>’</w:t>
      </w:r>
      <w:r w:rsidR="00341021" w:rsidRPr="00702106">
        <w:t xml:space="preserve">il faut effectuer des essais du </w:t>
      </w:r>
      <w:r w:rsidR="00341021" w:rsidRPr="00702106">
        <w:rPr>
          <w:b/>
          <w:bCs/>
        </w:rPr>
        <w:t xml:space="preserve">type I </w:t>
      </w:r>
      <w:r w:rsidR="00341021" w:rsidRPr="00702106">
        <w:t>sur les deux carburants conformément au tableau A du présent Règlement, ainsi que pour les véhicules fonctionnan</w:t>
      </w:r>
      <w:r w:rsidR="00341021" w:rsidRPr="00702106">
        <w:t>t au GPL ou au GN/biométhane, qu</w:t>
      </w:r>
      <w:r w:rsidR="00622051" w:rsidRPr="00702106">
        <w:t>’</w:t>
      </w:r>
      <w:r w:rsidR="00341021" w:rsidRPr="00702106">
        <w:t>ils soient monocarburant ou bicarburant, il faut reproduire le tableau pour chacun des gaz de référence utilisés lors de l</w:t>
      </w:r>
      <w:r w:rsidR="00622051" w:rsidRPr="00702106">
        <w:t>’</w:t>
      </w:r>
      <w:r w:rsidR="00341021" w:rsidRPr="00702106">
        <w:t>essai et un tableau supplémentaire doit présenter les plus mauvais résultats obtenus. Le cas échéant</w:t>
      </w:r>
      <w:r w:rsidR="00341021" w:rsidRPr="00702106">
        <w:t>, conformément aux paragraphes 3.1.4 et 3.1.5 de l</w:t>
      </w:r>
      <w:r w:rsidR="00622051" w:rsidRPr="00702106">
        <w:t>’</w:t>
      </w:r>
      <w:r w:rsidR="00341021" w:rsidRPr="00702106">
        <w:t>annexe 12 du présent Règlement, il faut indiquer si les résultats ont été mesurés ou calculés.</w:t>
      </w:r>
      <w:r w:rsidRPr="00702106">
        <w:t> »</w:t>
      </w:r>
      <w:r w:rsidR="00341021" w:rsidRPr="00702106">
        <w:t>.</w:t>
      </w:r>
    </w:p>
    <w:p w:rsidR="00FB2948" w:rsidRPr="00702106" w:rsidRDefault="00341021" w:rsidP="00A36DA0">
      <w:pPr>
        <w:pStyle w:val="SingleTxtG"/>
        <w:keepNext/>
        <w:rPr>
          <w:i/>
        </w:rPr>
      </w:pPr>
      <w:r w:rsidRPr="00702106">
        <w:rPr>
          <w:i/>
        </w:rPr>
        <w:t>Annexe 4a, appendice 3, paragraphe 1.2.12.6</w:t>
      </w:r>
      <w:r w:rsidRPr="00702106">
        <w:t>,</w:t>
      </w:r>
      <w:r w:rsidRPr="00702106">
        <w:rPr>
          <w:i/>
        </w:rPr>
        <w:t xml:space="preserve"> </w:t>
      </w:r>
      <w:r w:rsidRPr="00702106">
        <w:t>modifier comme suit</w:t>
      </w:r>
      <w:r w:rsidR="00E50435" w:rsidRPr="00702106">
        <w:t> :</w:t>
      </w:r>
    </w:p>
    <w:p w:rsidR="00FB2948" w:rsidRPr="00702106" w:rsidRDefault="00E50435" w:rsidP="000876BB">
      <w:pPr>
        <w:pStyle w:val="SingleTxtG"/>
        <w:keepNext/>
        <w:ind w:left="2268" w:hanging="1134"/>
      </w:pPr>
      <w:r w:rsidRPr="00702106">
        <w:t>« </w:t>
      </w:r>
      <w:r w:rsidR="00341021" w:rsidRPr="00702106">
        <w:t>1.2.12.6</w:t>
      </w:r>
      <w:r w:rsidR="00341021" w:rsidRPr="00702106">
        <w:tab/>
        <w:t xml:space="preserve">Le détecteur à ionisation de </w:t>
      </w:r>
      <w:r w:rsidR="00341021" w:rsidRPr="00702106">
        <w:t>flamme chauffé (HFID) doit être utilisé avec système à débit constant (échangeur de chaleur) pour assurer un prélèvement représentatif, à moins qu</w:t>
      </w:r>
      <w:r w:rsidR="00622051" w:rsidRPr="00702106">
        <w:t>’</w:t>
      </w:r>
      <w:r w:rsidR="00341021" w:rsidRPr="00702106">
        <w:t xml:space="preserve">une compensation ne soit effectuée pour la variation du débit </w:t>
      </w:r>
      <w:r w:rsidR="00341021" w:rsidRPr="00702106">
        <w:rPr>
          <w:strike/>
        </w:rPr>
        <w:t>des systèmes CFV ou CFO</w:t>
      </w:r>
      <w:r w:rsidR="00341021" w:rsidRPr="00702106">
        <w:rPr>
          <w:b/>
        </w:rPr>
        <w:t xml:space="preserve"> volumique en cas d</w:t>
      </w:r>
      <w:r w:rsidR="00622051" w:rsidRPr="00702106">
        <w:rPr>
          <w:b/>
        </w:rPr>
        <w:t>’</w:t>
      </w:r>
      <w:r w:rsidR="00341021" w:rsidRPr="00702106">
        <w:rPr>
          <w:b/>
        </w:rPr>
        <w:t>util</w:t>
      </w:r>
      <w:r w:rsidR="00341021" w:rsidRPr="00702106">
        <w:rPr>
          <w:b/>
        </w:rPr>
        <w:t>isation d</w:t>
      </w:r>
      <w:r w:rsidR="00622051" w:rsidRPr="00702106">
        <w:rPr>
          <w:b/>
        </w:rPr>
        <w:t>’</w:t>
      </w:r>
      <w:r w:rsidR="00341021" w:rsidRPr="00702106">
        <w:rPr>
          <w:b/>
        </w:rPr>
        <w:t>un CVS</w:t>
      </w:r>
      <w:r w:rsidR="00341021" w:rsidRPr="00702106">
        <w:t>.</w:t>
      </w:r>
      <w:r w:rsidR="00EF0E45">
        <w:t> »</w:t>
      </w:r>
      <w:r w:rsidR="00341021" w:rsidRPr="00702106">
        <w:t>.</w:t>
      </w:r>
    </w:p>
    <w:p w:rsidR="00FB2948" w:rsidRPr="00702106" w:rsidRDefault="00341021" w:rsidP="00A36DA0">
      <w:pPr>
        <w:pStyle w:val="SingleTxtG"/>
        <w:keepNext/>
      </w:pPr>
      <w:r w:rsidRPr="00702106">
        <w:rPr>
          <w:i/>
        </w:rPr>
        <w:t>Annexe 10, Type</w:t>
      </w:r>
      <w:r w:rsidR="00EF0E45">
        <w:rPr>
          <w:i/>
        </w:rPr>
        <w:t> :</w:t>
      </w:r>
      <w:r w:rsidRPr="00702106">
        <w:rPr>
          <w:i/>
        </w:rPr>
        <w:t xml:space="preserve"> Essence (E10), tableau</w:t>
      </w:r>
      <w:r w:rsidRPr="00702106">
        <w:t>,</w:t>
      </w:r>
      <w:r w:rsidRPr="00702106">
        <w:rPr>
          <w:i/>
        </w:rPr>
        <w:t xml:space="preserve"> </w:t>
      </w:r>
      <w:r w:rsidRPr="00702106">
        <w:t>modifier comme suit</w:t>
      </w:r>
      <w:r w:rsidR="00E50435" w:rsidRPr="00702106">
        <w:t> :</w:t>
      </w:r>
    </w:p>
    <w:p w:rsidR="00FB2948" w:rsidRPr="00702106" w:rsidRDefault="00E50435" w:rsidP="00E50435">
      <w:pPr>
        <w:pStyle w:val="SingleTxtG"/>
      </w:pPr>
      <w:r w:rsidRPr="00702106">
        <w:t>« </w:t>
      </w:r>
    </w:p>
    <w:tbl>
      <w:tblPr>
        <w:tblW w:w="7371" w:type="dxa"/>
        <w:jc w:val="center"/>
        <w:tblLayout w:type="fixed"/>
        <w:tblLook w:val="0000" w:firstRow="0" w:lastRow="0" w:firstColumn="0" w:lastColumn="0" w:noHBand="0" w:noVBand="0"/>
      </w:tblPr>
      <w:tblGrid>
        <w:gridCol w:w="1557"/>
        <w:gridCol w:w="1275"/>
        <w:gridCol w:w="3148"/>
        <w:gridCol w:w="1391"/>
      </w:tblGrid>
      <w:tr w:rsidR="00FB2948" w:rsidRPr="00702106" w:rsidTr="00E50435">
        <w:trPr>
          <w:jc w:val="center"/>
        </w:trPr>
        <w:tc>
          <w:tcPr>
            <w:tcW w:w="1557"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pPr>
            <w:r w:rsidRPr="00702106">
              <w:t>…</w:t>
            </w:r>
          </w:p>
        </w:tc>
        <w:tc>
          <w:tcPr>
            <w:tcW w:w="127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pPr>
            <w:r w:rsidRPr="00702106">
              <w:t>...</w:t>
            </w:r>
          </w:p>
        </w:tc>
        <w:tc>
          <w:tcPr>
            <w:tcW w:w="314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pPr>
            <w:r w:rsidRPr="00702106">
              <w:t>…</w:t>
            </w:r>
          </w:p>
        </w:tc>
        <w:tc>
          <w:tcPr>
            <w:tcW w:w="1391"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pPr>
            <w:r w:rsidRPr="00702106">
              <w:t>…</w:t>
            </w:r>
          </w:p>
        </w:tc>
      </w:tr>
      <w:tr w:rsidR="00FB2948" w:rsidRPr="00702106" w:rsidTr="00E50435">
        <w:trPr>
          <w:jc w:val="center"/>
        </w:trPr>
        <w:tc>
          <w:tcPr>
            <w:tcW w:w="1557"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pPr>
            <w:r w:rsidRPr="00702106">
              <w:t>Teneur en eau</w:t>
            </w:r>
          </w:p>
        </w:tc>
        <w:tc>
          <w:tcPr>
            <w:tcW w:w="127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rPr>
                <w:strike/>
              </w:rPr>
            </w:pPr>
            <w:r w:rsidRPr="00702106">
              <w:rPr>
                <w:strike/>
              </w:rPr>
              <w:t>% m/m</w:t>
            </w:r>
          </w:p>
          <w:p w:rsidR="00FB2948" w:rsidRPr="00702106" w:rsidRDefault="00341021" w:rsidP="00E50435">
            <w:pPr>
              <w:spacing w:before="60" w:after="60"/>
              <w:jc w:val="center"/>
              <w:rPr>
                <w:b/>
              </w:rPr>
            </w:pPr>
            <w:r w:rsidRPr="00702106">
              <w:rPr>
                <w:b/>
              </w:rPr>
              <w:t>% v/v</w:t>
            </w:r>
          </w:p>
        </w:tc>
        <w:tc>
          <w:tcPr>
            <w:tcW w:w="314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pPr>
            <w:r w:rsidRPr="00702106">
              <w:t>max 0,05</w:t>
            </w:r>
          </w:p>
          <w:p w:rsidR="00FB2948" w:rsidRPr="00702106" w:rsidRDefault="00E50435" w:rsidP="00E50435">
            <w:pPr>
              <w:spacing w:before="60" w:after="60"/>
              <w:jc w:val="center"/>
              <w:rPr>
                <w:strike/>
              </w:rPr>
            </w:pPr>
            <w:r w:rsidRPr="00702106">
              <w:rPr>
                <w:strike/>
              </w:rPr>
              <w:t>Aspect à –7 °C :</w:t>
            </w:r>
            <w:r w:rsidR="00341021" w:rsidRPr="00702106">
              <w:rPr>
                <w:strike/>
              </w:rPr>
              <w:t xml:space="preserve"> claire et brillante</w:t>
            </w:r>
          </w:p>
        </w:tc>
        <w:tc>
          <w:tcPr>
            <w:tcW w:w="1391"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pPr>
            <w:r w:rsidRPr="00702106">
              <w:t>EN 12937</w:t>
            </w:r>
          </w:p>
        </w:tc>
      </w:tr>
      <w:tr w:rsidR="00FB2948" w:rsidRPr="00702106" w:rsidTr="00E50435">
        <w:trPr>
          <w:jc w:val="center"/>
        </w:trPr>
        <w:tc>
          <w:tcPr>
            <w:tcW w:w="1557"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rPr>
                <w:b/>
              </w:rPr>
            </w:pPr>
            <w:r w:rsidRPr="00702106">
              <w:rPr>
                <w:b/>
              </w:rPr>
              <w:t>Aspect à –7  °C</w:t>
            </w:r>
          </w:p>
        </w:tc>
        <w:tc>
          <w:tcPr>
            <w:tcW w:w="127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rPr>
                <w:b/>
              </w:rPr>
            </w:pPr>
          </w:p>
        </w:tc>
        <w:tc>
          <w:tcPr>
            <w:tcW w:w="314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rPr>
                <w:b/>
              </w:rPr>
            </w:pPr>
            <w:r w:rsidRPr="00702106">
              <w:rPr>
                <w:b/>
              </w:rPr>
              <w:t>Claire et brillante</w:t>
            </w:r>
          </w:p>
        </w:tc>
        <w:tc>
          <w:tcPr>
            <w:tcW w:w="1391"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pPr>
          </w:p>
        </w:tc>
      </w:tr>
      <w:tr w:rsidR="00FB2948" w:rsidRPr="00702106" w:rsidTr="00E50435">
        <w:trPr>
          <w:jc w:val="center"/>
        </w:trPr>
        <w:tc>
          <w:tcPr>
            <w:tcW w:w="1557"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pPr>
            <w:r w:rsidRPr="00702106">
              <w:t>…</w:t>
            </w:r>
          </w:p>
        </w:tc>
        <w:tc>
          <w:tcPr>
            <w:tcW w:w="127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pPr>
            <w:r w:rsidRPr="00702106">
              <w:t>…</w:t>
            </w:r>
          </w:p>
        </w:tc>
        <w:tc>
          <w:tcPr>
            <w:tcW w:w="314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pPr>
            <w:r w:rsidRPr="00702106">
              <w:t>…</w:t>
            </w:r>
          </w:p>
        </w:tc>
        <w:tc>
          <w:tcPr>
            <w:tcW w:w="1391"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rsidR="00FB2948" w:rsidRPr="00702106" w:rsidRDefault="00341021" w:rsidP="00E50435">
            <w:pPr>
              <w:spacing w:before="60" w:after="60"/>
              <w:jc w:val="center"/>
            </w:pPr>
            <w:r w:rsidRPr="00702106">
              <w:t>…</w:t>
            </w:r>
          </w:p>
        </w:tc>
      </w:tr>
    </w:tbl>
    <w:p w:rsidR="00FB2948" w:rsidRPr="00702106" w:rsidRDefault="00E50435" w:rsidP="00E50435">
      <w:pPr>
        <w:pStyle w:val="SingleTxtG"/>
        <w:spacing w:before="120"/>
        <w:jc w:val="right"/>
      </w:pPr>
      <w:r w:rsidRPr="00702106">
        <w:t> »</w:t>
      </w:r>
    </w:p>
    <w:p w:rsidR="00FB2948" w:rsidRPr="00702106" w:rsidRDefault="00341021" w:rsidP="00A36DA0">
      <w:pPr>
        <w:pStyle w:val="SingleTxtG"/>
        <w:keepNext/>
        <w:rPr>
          <w:i/>
        </w:rPr>
      </w:pPr>
      <w:r w:rsidRPr="00702106">
        <w:rPr>
          <w:i/>
        </w:rPr>
        <w:t>Annexe 11,</w:t>
      </w:r>
    </w:p>
    <w:p w:rsidR="00FB2948" w:rsidRPr="00702106" w:rsidRDefault="00341021" w:rsidP="00A36DA0">
      <w:pPr>
        <w:pStyle w:val="SingleTxtG"/>
        <w:keepNext/>
      </w:pPr>
      <w:r w:rsidRPr="00702106">
        <w:rPr>
          <w:i/>
        </w:rPr>
        <w:t>Paragraphe 3.</w:t>
      </w:r>
      <w:r w:rsidRPr="00702106">
        <w:rPr>
          <w:i/>
        </w:rPr>
        <w:t>3.3.1</w:t>
      </w:r>
      <w:r w:rsidRPr="00702106">
        <w:t>, modifier comme suit</w:t>
      </w:r>
      <w:r w:rsidR="00E50435" w:rsidRPr="00702106">
        <w:t> :</w:t>
      </w:r>
    </w:p>
    <w:p w:rsidR="00FB2948" w:rsidRPr="00702106" w:rsidRDefault="00E50435" w:rsidP="00E50435">
      <w:pPr>
        <w:pStyle w:val="SingleTxtG"/>
        <w:ind w:left="2268" w:hanging="1134"/>
      </w:pPr>
      <w:r w:rsidRPr="00702106">
        <w:t>« </w:t>
      </w:r>
      <w:r w:rsidR="00341021" w:rsidRPr="00702106">
        <w:t>3.3.3.1</w:t>
      </w:r>
      <w:r w:rsidR="00341021" w:rsidRPr="00702106">
        <w:tab/>
        <w:t>Le système OBD surveille la baisse d</w:t>
      </w:r>
      <w:r w:rsidR="00622051" w:rsidRPr="00702106">
        <w:t>’</w:t>
      </w:r>
      <w:r w:rsidR="00341021" w:rsidRPr="00702106">
        <w:t xml:space="preserve">efficacité du convertisseur catalytique au regard des émissions de </w:t>
      </w:r>
      <w:r w:rsidR="00341021" w:rsidRPr="00702106">
        <w:rPr>
          <w:strike/>
        </w:rPr>
        <w:t xml:space="preserve">THC </w:t>
      </w:r>
      <w:r w:rsidR="00341021" w:rsidRPr="00702106">
        <w:rPr>
          <w:b/>
        </w:rPr>
        <w:t>NMHC</w:t>
      </w:r>
      <w:r w:rsidR="00341021" w:rsidRPr="00702106">
        <w:t xml:space="preserve"> et de NO</w:t>
      </w:r>
      <w:r w:rsidR="00341021" w:rsidRPr="00702106">
        <w:rPr>
          <w:vertAlign w:val="subscript"/>
        </w:rPr>
        <w:t>x</w:t>
      </w:r>
      <w:r w:rsidR="00341021" w:rsidRPr="00702106">
        <w:t>. Les constructeurs peuvent prévoir un dispositif de surveillance uniquement pour le catalyseur</w:t>
      </w:r>
      <w:r w:rsidR="00341021" w:rsidRPr="00702106">
        <w:t xml:space="preserve"> en amont ou en combinaison avec le ou les catalyseurs suivants en aval. Un catalyseur ou un assemblage de catalyseurs est réputé dysfonctionner lorsque les émissions dépassent les valeurs limites de NMHC ou NO</w:t>
      </w:r>
      <w:r w:rsidR="00341021" w:rsidRPr="00702106">
        <w:rPr>
          <w:vertAlign w:val="subscript"/>
        </w:rPr>
        <w:t>x</w:t>
      </w:r>
      <w:r w:rsidR="00341021" w:rsidRPr="00702106">
        <w:t xml:space="preserve"> visées au paragraphe 3.3.2 de la présente an</w:t>
      </w:r>
      <w:r w:rsidR="00341021" w:rsidRPr="00702106">
        <w:t>nexe.</w:t>
      </w:r>
      <w:r w:rsidRPr="00702106">
        <w:t> »</w:t>
      </w:r>
      <w:r w:rsidR="00341021" w:rsidRPr="00702106">
        <w:t>.</w:t>
      </w:r>
    </w:p>
    <w:p w:rsidR="00FB2948" w:rsidRPr="00702106" w:rsidRDefault="00341021" w:rsidP="00A36DA0">
      <w:pPr>
        <w:pStyle w:val="SingleTxtG"/>
        <w:keepNext/>
      </w:pPr>
      <w:r w:rsidRPr="00702106">
        <w:rPr>
          <w:i/>
        </w:rPr>
        <w:t>Paragraphe 3.3.3.4</w:t>
      </w:r>
      <w:r w:rsidRPr="00702106">
        <w:t>, modifier comme suit</w:t>
      </w:r>
      <w:r w:rsidR="00E50435" w:rsidRPr="00702106">
        <w:t> :</w:t>
      </w:r>
    </w:p>
    <w:p w:rsidR="00FB2948" w:rsidRPr="00702106" w:rsidRDefault="00E50435" w:rsidP="00E50435">
      <w:pPr>
        <w:pStyle w:val="SingleTxtG"/>
        <w:ind w:left="2268" w:hanging="1134"/>
      </w:pPr>
      <w:r w:rsidRPr="00702106">
        <w:t>« </w:t>
      </w:r>
      <w:r w:rsidR="00341021" w:rsidRPr="00702106">
        <w:t>3.3.3.4</w:t>
      </w:r>
      <w:r w:rsidR="00341021" w:rsidRPr="00702106">
        <w:tab/>
        <w:t>S</w:t>
      </w:r>
      <w:r w:rsidR="00622051" w:rsidRPr="00702106">
        <w:t>’</w:t>
      </w:r>
      <w:r w:rsidR="00341021" w:rsidRPr="00702106">
        <w:t>ils sont actifs sur le type de carburant sélectionné, les autres composants ou dispositifs du système antipollution, ou les composants ou systèmes du groupe motopropulseur relatifs aux émission</w:t>
      </w:r>
      <w:r w:rsidR="00341021" w:rsidRPr="00702106">
        <w:t>s, qui sont raccordés à un ordinateur et dont la défaillance peut entraîner des émissions à l</w:t>
      </w:r>
      <w:r w:rsidR="00622051" w:rsidRPr="00702106">
        <w:t>’</w:t>
      </w:r>
      <w:r w:rsidR="00341021" w:rsidRPr="00702106">
        <w:t xml:space="preserve">échappement dépassant les </w:t>
      </w:r>
      <w:r w:rsidR="00341021" w:rsidRPr="00702106">
        <w:rPr>
          <w:b/>
          <w:bCs/>
        </w:rPr>
        <w:t>valeurs</w:t>
      </w:r>
      <w:r w:rsidR="00341021" w:rsidRPr="00702106">
        <w:t xml:space="preserve"> limites</w:t>
      </w:r>
      <w:r w:rsidR="00341021" w:rsidRPr="00702106">
        <w:rPr>
          <w:b/>
        </w:rPr>
        <w:t xml:space="preserve"> OBD</w:t>
      </w:r>
      <w:r w:rsidR="00341021" w:rsidRPr="00702106">
        <w:t xml:space="preserve"> indiquées au paragraphe 3.3.2 </w:t>
      </w:r>
      <w:r w:rsidR="00341021" w:rsidRPr="00702106">
        <w:rPr>
          <w:bCs/>
        </w:rPr>
        <w:t>de la présente annexe</w:t>
      </w:r>
      <w:r w:rsidR="00341021" w:rsidRPr="00702106">
        <w:t>.</w:t>
      </w:r>
      <w:r w:rsidRPr="00702106">
        <w:t> »</w:t>
      </w:r>
      <w:r w:rsidR="00341021" w:rsidRPr="00702106">
        <w:t>.</w:t>
      </w:r>
    </w:p>
    <w:p w:rsidR="00FB2948" w:rsidRPr="00702106" w:rsidRDefault="00341021" w:rsidP="00A36DA0">
      <w:pPr>
        <w:pStyle w:val="SingleTxtG"/>
        <w:keepNext/>
      </w:pPr>
      <w:r w:rsidRPr="00702106">
        <w:rPr>
          <w:i/>
        </w:rPr>
        <w:lastRenderedPageBreak/>
        <w:t>Paragraphe 3.3.4.4,</w:t>
      </w:r>
      <w:r w:rsidRPr="00702106">
        <w:t xml:space="preserve"> modifier comme suit</w:t>
      </w:r>
      <w:r w:rsidR="00EF0E45">
        <w:t> :</w:t>
      </w:r>
    </w:p>
    <w:p w:rsidR="00FB2948" w:rsidRPr="00702106" w:rsidRDefault="00E50435" w:rsidP="000876BB">
      <w:pPr>
        <w:pStyle w:val="SingleTxtG"/>
        <w:keepNext/>
        <w:ind w:left="2268" w:hanging="1134"/>
      </w:pPr>
      <w:r w:rsidRPr="00702106">
        <w:t>« </w:t>
      </w:r>
      <w:r w:rsidR="00341021" w:rsidRPr="00702106">
        <w:t>3.3.4.4</w:t>
      </w:r>
      <w:r w:rsidR="00341021" w:rsidRPr="00702106">
        <w:tab/>
        <w:t xml:space="preserve">Les </w:t>
      </w:r>
      <w:r w:rsidR="00341021" w:rsidRPr="00702106">
        <w:t>autres composants ou systèmes du système antipollution, ou les composants ou systèmes du groupe propulseur relatifs aux émissions, qui sont connectés à un ordinateur, et dont la défaillance peut entraîner des émissions à l</w:t>
      </w:r>
      <w:r w:rsidR="00622051" w:rsidRPr="00702106">
        <w:t>’</w:t>
      </w:r>
      <w:r w:rsidR="00341021" w:rsidRPr="00702106">
        <w:t xml:space="preserve">échappement dépassant les </w:t>
      </w:r>
      <w:r w:rsidR="00341021" w:rsidRPr="00702106">
        <w:rPr>
          <w:b/>
          <w:bCs/>
        </w:rPr>
        <w:t>valeurs</w:t>
      </w:r>
      <w:r w:rsidR="00341021" w:rsidRPr="00702106">
        <w:t xml:space="preserve"> limites</w:t>
      </w:r>
      <w:r w:rsidR="00341021" w:rsidRPr="00702106">
        <w:rPr>
          <w:b/>
        </w:rPr>
        <w:t xml:space="preserve"> OBD</w:t>
      </w:r>
      <w:r w:rsidR="00341021" w:rsidRPr="00702106">
        <w:t xml:space="preserve"> indiquées au paragraphe 3.3.2 </w:t>
      </w:r>
      <w:r w:rsidR="00341021" w:rsidRPr="00702106">
        <w:rPr>
          <w:bCs/>
        </w:rPr>
        <w:t>de la présente annexe</w:t>
      </w:r>
      <w:r w:rsidR="00341021" w:rsidRPr="00702106">
        <w:t>. Il s</w:t>
      </w:r>
      <w:r w:rsidR="00622051" w:rsidRPr="00702106">
        <w:t>’</w:t>
      </w:r>
      <w:r w:rsidR="00341021" w:rsidRPr="00702106">
        <w:t>agit, par exemple, des composants ou systèmes chargés de surveiller et de contrôler le débit d</w:t>
      </w:r>
      <w:r w:rsidR="00622051" w:rsidRPr="00702106">
        <w:t>’</w:t>
      </w:r>
      <w:r w:rsidR="00341021" w:rsidRPr="00702106">
        <w:t>air massique, le débit volumétrique (et la température), la pression de suralimentation et</w:t>
      </w:r>
      <w:r w:rsidR="00341021" w:rsidRPr="00702106">
        <w:t xml:space="preserve"> la pression dans la tubulure d</w:t>
      </w:r>
      <w:r w:rsidR="00622051" w:rsidRPr="00702106">
        <w:t>’</w:t>
      </w:r>
      <w:r w:rsidR="00341021" w:rsidRPr="00702106">
        <w:t>admission (ainsi que des capteurs qui permettent l</w:t>
      </w:r>
      <w:r w:rsidR="00622051" w:rsidRPr="00702106">
        <w:t>’</w:t>
      </w:r>
      <w:r w:rsidR="00341021" w:rsidRPr="00702106">
        <w:t>exécution de ces contrôles).</w:t>
      </w:r>
      <w:r w:rsidRPr="00702106">
        <w:t> »</w:t>
      </w:r>
      <w:r w:rsidR="00341021" w:rsidRPr="00702106">
        <w:t>.</w:t>
      </w:r>
    </w:p>
    <w:p w:rsidR="00FB2948" w:rsidRPr="00702106" w:rsidRDefault="00341021" w:rsidP="00A36DA0">
      <w:pPr>
        <w:pStyle w:val="SingleTxtG"/>
        <w:keepNext/>
      </w:pPr>
      <w:r w:rsidRPr="00702106">
        <w:rPr>
          <w:i/>
        </w:rPr>
        <w:t>Paragraphes 3.3.5. à 3.3.5.2</w:t>
      </w:r>
      <w:r w:rsidRPr="006D75D0">
        <w:t>,</w:t>
      </w:r>
      <w:r w:rsidRPr="00702106">
        <w:t xml:space="preserve"> modifier comme suit:</w:t>
      </w:r>
    </w:p>
    <w:p w:rsidR="00FB2948" w:rsidRPr="00702106" w:rsidRDefault="00E50435" w:rsidP="000876BB">
      <w:pPr>
        <w:pStyle w:val="SingleTxtG"/>
        <w:keepNext/>
        <w:ind w:left="2268" w:hanging="1134"/>
      </w:pPr>
      <w:r w:rsidRPr="00702106">
        <w:t>« </w:t>
      </w:r>
      <w:r w:rsidR="00341021" w:rsidRPr="00702106">
        <w:t>3.3.5</w:t>
      </w:r>
      <w:r w:rsidR="00341021" w:rsidRPr="00702106">
        <w:tab/>
        <w:t>Les constructeurs peuvent démontrer à l</w:t>
      </w:r>
      <w:r w:rsidR="00622051" w:rsidRPr="00702106">
        <w:t>’</w:t>
      </w:r>
      <w:r w:rsidR="00341021" w:rsidRPr="00702106">
        <w:t>autorité chargée de l</w:t>
      </w:r>
      <w:r w:rsidR="00622051" w:rsidRPr="00702106">
        <w:t>’</w:t>
      </w:r>
      <w:r w:rsidR="00341021" w:rsidRPr="00702106">
        <w:t>homologation que cer</w:t>
      </w:r>
      <w:r w:rsidR="00341021" w:rsidRPr="00702106">
        <w:t xml:space="preserve">tains composants ou systèmes ne doivent pas être soumis à une surveillance si le niveau des émissions ne dépasse pas les </w:t>
      </w:r>
      <w:r w:rsidR="00341021" w:rsidRPr="00702106">
        <w:rPr>
          <w:b/>
          <w:bCs/>
        </w:rPr>
        <w:t>valeurs</w:t>
      </w:r>
      <w:r w:rsidR="00341021" w:rsidRPr="00702106">
        <w:t xml:space="preserve"> limites</w:t>
      </w:r>
      <w:r w:rsidR="00341021" w:rsidRPr="00702106">
        <w:rPr>
          <w:b/>
        </w:rPr>
        <w:t xml:space="preserve"> OBD</w:t>
      </w:r>
      <w:r w:rsidR="00341021" w:rsidRPr="00702106">
        <w:t xml:space="preserve"> indiquées au paragraphe 3.3.2 </w:t>
      </w:r>
      <w:r w:rsidR="00341021" w:rsidRPr="00702106">
        <w:rPr>
          <w:b/>
          <w:bCs/>
        </w:rPr>
        <w:t xml:space="preserve">de la présente annexe </w:t>
      </w:r>
      <w:r w:rsidR="00341021" w:rsidRPr="00702106">
        <w:t>lorsque ces composants ou systèmes subissent une défaillance to</w:t>
      </w:r>
      <w:r w:rsidR="00341021" w:rsidRPr="00702106">
        <w:t>tale ou sont retirés.</w:t>
      </w:r>
    </w:p>
    <w:p w:rsidR="00FB2948" w:rsidRPr="00702106" w:rsidRDefault="00341021" w:rsidP="000876BB">
      <w:pPr>
        <w:pStyle w:val="SingleTxtG"/>
        <w:keepNext/>
        <w:ind w:left="2268" w:hanging="1134"/>
      </w:pPr>
      <w:r w:rsidRPr="00702106">
        <w:t>3.3.5.1</w:t>
      </w:r>
      <w:r w:rsidRPr="00702106">
        <w:tab/>
        <w:t>Sur les dispositifs ci-après, la défaillance totale ou le retrait doivent cependant faire l</w:t>
      </w:r>
      <w:r w:rsidR="00622051" w:rsidRPr="00702106">
        <w:t>’</w:t>
      </w:r>
      <w:r w:rsidRPr="00702106">
        <w:t>objet d</w:t>
      </w:r>
      <w:r w:rsidR="00622051" w:rsidRPr="00702106">
        <w:t>’</w:t>
      </w:r>
      <w:r w:rsidRPr="00702106">
        <w:t>une surveillance (si le retrait est susceptible d</w:t>
      </w:r>
      <w:r w:rsidR="00622051" w:rsidRPr="00702106">
        <w:t>’</w:t>
      </w:r>
      <w:r w:rsidRPr="00702106">
        <w:t>entraîner un dépassement des limites d</w:t>
      </w:r>
      <w:r w:rsidR="00622051" w:rsidRPr="00702106">
        <w:t>’</w:t>
      </w:r>
      <w:r w:rsidRPr="00702106">
        <w:t xml:space="preserve">émission applicables </w:t>
      </w:r>
      <w:r w:rsidRPr="00702106">
        <w:rPr>
          <w:b/>
        </w:rPr>
        <w:t>définies au para</w:t>
      </w:r>
      <w:r w:rsidRPr="00702106">
        <w:rPr>
          <w:b/>
        </w:rPr>
        <w:t>graphe 5.3.1.4 du présent Règlement</w:t>
      </w:r>
      <w:r w:rsidR="00123A82" w:rsidRPr="00702106">
        <w:t>) :</w:t>
      </w:r>
    </w:p>
    <w:p w:rsidR="00FB2948" w:rsidRPr="00702106" w:rsidRDefault="00341021" w:rsidP="00D57D79">
      <w:pPr>
        <w:pStyle w:val="SingleTxtG"/>
        <w:ind w:left="2835" w:hanging="567"/>
      </w:pPr>
      <w:r w:rsidRPr="00702106">
        <w:t>a)</w:t>
      </w:r>
      <w:r w:rsidRPr="00702106">
        <w:tab/>
        <w:t>Un filtre à particules installé sur des moteurs à allumage par compression en tant qu</w:t>
      </w:r>
      <w:r w:rsidR="00622051" w:rsidRPr="00702106">
        <w:t>’</w:t>
      </w:r>
      <w:r w:rsidRPr="00702106">
        <w:t>élément distinct ou intégré dans un dispositif de réduction des émissions combiné</w:t>
      </w:r>
      <w:r w:rsidR="00622051" w:rsidRPr="00702106">
        <w:t> ;</w:t>
      </w:r>
    </w:p>
    <w:p w:rsidR="00FB2948" w:rsidRPr="00702106" w:rsidRDefault="00341021" w:rsidP="00D57D79">
      <w:pPr>
        <w:pStyle w:val="SingleTxtG"/>
        <w:ind w:left="2835" w:hanging="567"/>
      </w:pPr>
      <w:r w:rsidRPr="00702106">
        <w:t>b)</w:t>
      </w:r>
      <w:r w:rsidRPr="00702106">
        <w:tab/>
        <w:t>Un dispositif de traitement aval des NO</w:t>
      </w:r>
      <w:r w:rsidRPr="00702106">
        <w:rPr>
          <w:vertAlign w:val="subscript"/>
        </w:rPr>
        <w:t>x</w:t>
      </w:r>
      <w:r w:rsidRPr="00702106">
        <w:t xml:space="preserve"> installé sur des moteurs à allumage par compression en tant qu</w:t>
      </w:r>
      <w:r w:rsidR="00622051" w:rsidRPr="00702106">
        <w:t>’</w:t>
      </w:r>
      <w:r w:rsidRPr="00702106">
        <w:t>élément distinct ou intégré dans un dispositif de réduction des émissions combiné</w:t>
      </w:r>
      <w:r w:rsidR="00622051" w:rsidRPr="00702106">
        <w:t> ;</w:t>
      </w:r>
    </w:p>
    <w:p w:rsidR="00FB2948" w:rsidRPr="00702106" w:rsidRDefault="00341021" w:rsidP="00D57D79">
      <w:pPr>
        <w:pStyle w:val="SingleTxtG"/>
        <w:ind w:left="2835" w:hanging="567"/>
      </w:pPr>
      <w:r w:rsidRPr="00702106">
        <w:t>c)</w:t>
      </w:r>
      <w:r w:rsidRPr="00702106">
        <w:tab/>
        <w:t xml:space="preserve">Un catalyseur à oxydation pour moteur diesel installé sur des moteurs à allumage par compression en tant </w:t>
      </w:r>
      <w:r w:rsidRPr="00702106">
        <w:t>qu</w:t>
      </w:r>
      <w:r w:rsidR="00622051" w:rsidRPr="00702106">
        <w:t>’</w:t>
      </w:r>
      <w:r w:rsidRPr="00702106">
        <w:t>élément distinct ou intégré dans un dispositif de réduction des émissions combiné.</w:t>
      </w:r>
    </w:p>
    <w:p w:rsidR="00FB2948" w:rsidRPr="00702106" w:rsidRDefault="00341021" w:rsidP="00F644E3">
      <w:pPr>
        <w:pStyle w:val="SingleTxtG"/>
        <w:keepNext/>
        <w:ind w:left="2268" w:hanging="1134"/>
      </w:pPr>
      <w:r w:rsidRPr="00702106">
        <w:t>3.3.5.2</w:t>
      </w:r>
      <w:r w:rsidRPr="00702106">
        <w:tab/>
        <w:t xml:space="preserve">Les dispositifs visés au paragraphe 3.3.5.1 </w:t>
      </w:r>
      <w:r w:rsidRPr="00702106">
        <w:rPr>
          <w:b/>
          <w:bCs/>
        </w:rPr>
        <w:t xml:space="preserve">de la présente annexe </w:t>
      </w:r>
      <w:r w:rsidRPr="00702106">
        <w:t>doivent également être soumis à une surveillance au cas où une défaillance quelconque entraînera</w:t>
      </w:r>
      <w:r w:rsidRPr="00702106">
        <w:t>it un dépassement des valeurs limites OBD.</w:t>
      </w:r>
      <w:r w:rsidR="00E50435" w:rsidRPr="00702106">
        <w:t> »</w:t>
      </w:r>
      <w:r w:rsidRPr="00702106">
        <w:t>.</w:t>
      </w:r>
    </w:p>
    <w:p w:rsidR="00FB2948" w:rsidRPr="00702106" w:rsidRDefault="00341021" w:rsidP="00123A82">
      <w:pPr>
        <w:pStyle w:val="HChG"/>
      </w:pPr>
      <w:r w:rsidRPr="00702106">
        <w:tab/>
        <w:t>II.</w:t>
      </w:r>
      <w:r w:rsidRPr="00702106">
        <w:tab/>
        <w:t>Justification</w:t>
      </w:r>
    </w:p>
    <w:p w:rsidR="00FB2948" w:rsidRPr="00702106" w:rsidRDefault="00341021" w:rsidP="00123A82">
      <w:pPr>
        <w:pStyle w:val="ParNoG"/>
      </w:pPr>
      <w:r w:rsidRPr="00702106">
        <w:t>Il est proposé de modifie</w:t>
      </w:r>
      <w:r w:rsidR="00123A82" w:rsidRPr="00702106">
        <w:t>r la présentation du paragraphe </w:t>
      </w:r>
      <w:r w:rsidRPr="00702106">
        <w:t>7.1.4.1 pour en améliorer la précision et l</w:t>
      </w:r>
      <w:r w:rsidR="00622051" w:rsidRPr="00702106">
        <w:t>’</w:t>
      </w:r>
      <w:r w:rsidRPr="00702106">
        <w:t>harmoniser avec le texte</w:t>
      </w:r>
      <w:r w:rsidR="00123A82" w:rsidRPr="00702106">
        <w:t xml:space="preserve"> équivalent du paragraphe </w:t>
      </w:r>
      <w:r w:rsidRPr="00702106">
        <w:t>2.1.1 de l</w:t>
      </w:r>
      <w:r w:rsidR="00622051" w:rsidRPr="00702106">
        <w:t>’</w:t>
      </w:r>
      <w:r w:rsidRPr="00702106">
        <w:t xml:space="preserve">annexe 13. Les termes </w:t>
      </w:r>
      <w:r w:rsidR="00123A82" w:rsidRPr="00702106">
        <w:t>« </w:t>
      </w:r>
      <w:r w:rsidRPr="00702106">
        <w:t>moteu</w:t>
      </w:r>
      <w:r w:rsidRPr="00702106">
        <w:t>r</w:t>
      </w:r>
      <w:r w:rsidR="00123A82" w:rsidRPr="00702106">
        <w:t> »</w:t>
      </w:r>
      <w:r w:rsidRPr="00702106">
        <w:t xml:space="preserve"> et </w:t>
      </w:r>
      <w:r w:rsidR="00123A82" w:rsidRPr="00702106">
        <w:t>« </w:t>
      </w:r>
      <w:r w:rsidRPr="00702106">
        <w:t>dispositif à régénération discontinue</w:t>
      </w:r>
      <w:r w:rsidR="00123A82" w:rsidRPr="00702106">
        <w:t> »</w:t>
      </w:r>
      <w:r w:rsidRPr="00702106">
        <w:t xml:space="preserve"> doivent être deux sous</w:t>
      </w:r>
      <w:r w:rsidR="0039689C">
        <w:noBreakHyphen/>
      </w:r>
      <w:r w:rsidRPr="00702106">
        <w:t>rubriques plutôt que faire partie de la liste des éléments tels qu</w:t>
      </w:r>
      <w:r w:rsidR="00622051" w:rsidRPr="00702106">
        <w:t>’</w:t>
      </w:r>
      <w:r w:rsidRPr="00702106">
        <w:t xml:space="preserve">actuellement énumérés </w:t>
      </w:r>
      <w:r w:rsidR="00123A82" w:rsidRPr="00702106">
        <w:t>au paragraphe </w:t>
      </w:r>
      <w:r w:rsidRPr="00702106">
        <w:t>7.1.4.1.</w:t>
      </w:r>
    </w:p>
    <w:p w:rsidR="00FB2948" w:rsidRPr="00702106" w:rsidRDefault="00341021" w:rsidP="00123A82">
      <w:pPr>
        <w:pStyle w:val="ParNoG"/>
      </w:pPr>
      <w:r w:rsidRPr="00702106">
        <w:t>Dans la série 07 d</w:t>
      </w:r>
      <w:r w:rsidR="00622051" w:rsidRPr="00702106">
        <w:t>’</w:t>
      </w:r>
      <w:r w:rsidRPr="00702106">
        <w:t>amendements, l</w:t>
      </w:r>
      <w:r w:rsidR="00622051" w:rsidRPr="00702106">
        <w:t>’</w:t>
      </w:r>
      <w:r w:rsidRPr="00702106">
        <w:t>amendement au</w:t>
      </w:r>
      <w:r w:rsidR="00123A82" w:rsidRPr="00702106">
        <w:t xml:space="preserve"> paragraphe </w:t>
      </w:r>
      <w:r w:rsidRPr="00702106">
        <w:t>2.1.1 de l</w:t>
      </w:r>
      <w:r w:rsidR="00622051" w:rsidRPr="00702106">
        <w:t>’</w:t>
      </w:r>
      <w:r w:rsidRPr="00702106">
        <w:t>ad</w:t>
      </w:r>
      <w:r w:rsidRPr="00702106">
        <w:t>ditif à l</w:t>
      </w:r>
      <w:r w:rsidR="00622051" w:rsidRPr="00702106">
        <w:t>’</w:t>
      </w:r>
      <w:r w:rsidR="00123A82" w:rsidRPr="00702106">
        <w:t>annexe </w:t>
      </w:r>
      <w:r w:rsidRPr="00702106">
        <w:t>2 vise à corriger une erreur terminologique.</w:t>
      </w:r>
    </w:p>
    <w:p w:rsidR="00FB2948" w:rsidRPr="00702106" w:rsidRDefault="00341021" w:rsidP="00123A82">
      <w:pPr>
        <w:pStyle w:val="ParNoG"/>
      </w:pPr>
      <w:r w:rsidRPr="00702106">
        <w:t>L</w:t>
      </w:r>
      <w:r w:rsidR="00622051" w:rsidRPr="00702106">
        <w:t>’</w:t>
      </w:r>
      <w:r w:rsidRPr="00702106">
        <w:t>amendement</w:t>
      </w:r>
      <w:r w:rsidR="00123A82" w:rsidRPr="00702106">
        <w:t xml:space="preserve"> proposé au paragraphe </w:t>
      </w:r>
      <w:r w:rsidRPr="00702106">
        <w:t>1.2.12.6 de l</w:t>
      </w:r>
      <w:r w:rsidR="00622051" w:rsidRPr="00702106">
        <w:t>’</w:t>
      </w:r>
      <w:r w:rsidRPr="00702106">
        <w:t>appendic</w:t>
      </w:r>
      <w:r w:rsidR="00123A82" w:rsidRPr="00702106">
        <w:t>e </w:t>
      </w:r>
      <w:r w:rsidRPr="00702106">
        <w:t>3 de l</w:t>
      </w:r>
      <w:r w:rsidR="00622051" w:rsidRPr="00702106">
        <w:t>’</w:t>
      </w:r>
      <w:r w:rsidR="00123A82" w:rsidRPr="00702106">
        <w:t>annexe </w:t>
      </w:r>
      <w:r w:rsidRPr="00702106">
        <w:t xml:space="preserve">4a corrige une inexactitude terminologique en remplaçant </w:t>
      </w:r>
      <w:r w:rsidR="00123A82" w:rsidRPr="00702106">
        <w:t>« </w:t>
      </w:r>
      <w:r w:rsidRPr="00702106">
        <w:t>du débit des systèmes CFV ou CFO</w:t>
      </w:r>
      <w:r w:rsidR="00123A82" w:rsidRPr="00702106">
        <w:t> »</w:t>
      </w:r>
      <w:r w:rsidRPr="00702106">
        <w:t xml:space="preserve"> par </w:t>
      </w:r>
      <w:r w:rsidR="00123A82" w:rsidRPr="00702106">
        <w:t>« </w:t>
      </w:r>
      <w:r w:rsidRPr="00702106">
        <w:t>du débit volumique en</w:t>
      </w:r>
      <w:r w:rsidRPr="00702106">
        <w:t xml:space="preserve"> cas d</w:t>
      </w:r>
      <w:r w:rsidR="00622051" w:rsidRPr="00702106">
        <w:t>’</w:t>
      </w:r>
      <w:r w:rsidRPr="00702106">
        <w:t>utilisation d</w:t>
      </w:r>
      <w:r w:rsidR="00622051" w:rsidRPr="00702106">
        <w:t>’</w:t>
      </w:r>
      <w:r w:rsidRPr="00702106">
        <w:t>un CVS</w:t>
      </w:r>
      <w:r w:rsidR="00123A82" w:rsidRPr="00702106">
        <w:t> »</w:t>
      </w:r>
      <w:r w:rsidRPr="00702106">
        <w:t xml:space="preserve">. </w:t>
      </w:r>
    </w:p>
    <w:p w:rsidR="00FB2948" w:rsidRPr="00702106" w:rsidRDefault="00341021" w:rsidP="00123A82">
      <w:pPr>
        <w:pStyle w:val="ParNoG"/>
      </w:pPr>
      <w:r w:rsidRPr="00702106">
        <w:t>L</w:t>
      </w:r>
      <w:r w:rsidR="00622051" w:rsidRPr="00702106">
        <w:t>’</w:t>
      </w:r>
      <w:r w:rsidR="00123A82" w:rsidRPr="00702106">
        <w:t>amendement au paragraphe </w:t>
      </w:r>
      <w:r w:rsidRPr="00702106">
        <w:t>7.5.2 de l</w:t>
      </w:r>
      <w:r w:rsidR="00622051" w:rsidRPr="00702106">
        <w:t>’</w:t>
      </w:r>
      <w:r w:rsidRPr="00702106">
        <w:t>annexe 7 vise à corriger une erreur de références croisées qui subsiste dans la série 06 d</w:t>
      </w:r>
      <w:r w:rsidR="00622051" w:rsidRPr="00702106">
        <w:t>’</w:t>
      </w:r>
      <w:r w:rsidRPr="00702106">
        <w:t>amendements.</w:t>
      </w:r>
    </w:p>
    <w:p w:rsidR="00FB2948" w:rsidRPr="00702106" w:rsidRDefault="00341021" w:rsidP="00123A82">
      <w:pPr>
        <w:pStyle w:val="ParNoG"/>
      </w:pPr>
      <w:r w:rsidRPr="00702106">
        <w:lastRenderedPageBreak/>
        <w:t>Dans la série 07 d</w:t>
      </w:r>
      <w:r w:rsidR="00622051" w:rsidRPr="00702106">
        <w:t>’</w:t>
      </w:r>
      <w:r w:rsidRPr="00702106">
        <w:t>amendements, il est proposé de modifier le tableau de l</w:t>
      </w:r>
      <w:r w:rsidR="00622051" w:rsidRPr="00702106">
        <w:t>’</w:t>
      </w:r>
      <w:r w:rsidRPr="00702106">
        <w:t xml:space="preserve">annexe </w:t>
      </w:r>
      <w:r w:rsidRPr="00702106">
        <w:t>10 pour le type Essence (E10) pour l</w:t>
      </w:r>
      <w:r w:rsidR="00622051" w:rsidRPr="00702106">
        <w:t>’</w:t>
      </w:r>
      <w:r w:rsidRPr="00702106">
        <w:t>harmoniser avec les amendements au Règlement technique mondial n</w:t>
      </w:r>
      <w:r w:rsidRPr="00702106">
        <w:rPr>
          <w:vertAlign w:val="superscript"/>
        </w:rPr>
        <w:t>o</w:t>
      </w:r>
      <w:r w:rsidRPr="00702106">
        <w:t> 15 figurant dans le document ECE/TRANS/WP.29/GRPE/2016/3. L</w:t>
      </w:r>
      <w:r w:rsidR="00622051" w:rsidRPr="00702106">
        <w:t>’</w:t>
      </w:r>
      <w:r w:rsidRPr="00702106">
        <w:t>unité de mesure devrait être le pourcentage volumique (% v/v) au lieu du pourcentage massique</w:t>
      </w:r>
      <w:r w:rsidRPr="00702106">
        <w:t xml:space="preserve"> (% m/m). L</w:t>
      </w:r>
      <w:r w:rsidR="00622051" w:rsidRPr="00702106">
        <w:t>’</w:t>
      </w:r>
      <w:r w:rsidR="00123A82" w:rsidRPr="00702106">
        <w:t>« </w:t>
      </w:r>
      <w:r w:rsidRPr="00702106">
        <w:t>aspect</w:t>
      </w:r>
      <w:r w:rsidR="00123A82" w:rsidRPr="00702106">
        <w:t> »</w:t>
      </w:r>
      <w:r w:rsidRPr="00702106">
        <w:t xml:space="preserve"> est un paramètre lié à la teneur en eau, mais constitue une catégorie distincte. Une nouvelle ligne est donc prévue pour </w:t>
      </w:r>
      <w:r w:rsidR="00123A82" w:rsidRPr="00702106">
        <w:t>« </w:t>
      </w:r>
      <w:r w:rsidRPr="00702106">
        <w:t>Aspect à –7 °C</w:t>
      </w:r>
      <w:r w:rsidR="00123A82" w:rsidRPr="00702106">
        <w:t> »</w:t>
      </w:r>
      <w:r w:rsidRPr="00702106">
        <w:t>.</w:t>
      </w:r>
    </w:p>
    <w:p w:rsidR="00FB2948" w:rsidRPr="00702106" w:rsidRDefault="00341021" w:rsidP="00123A82">
      <w:pPr>
        <w:pStyle w:val="ParNoG"/>
        <w:tabs>
          <w:tab w:val="clear" w:pos="1701"/>
        </w:tabs>
      </w:pPr>
      <w:r w:rsidRPr="00702106">
        <w:t>L</w:t>
      </w:r>
      <w:r w:rsidR="00622051" w:rsidRPr="00702106">
        <w:t>’</w:t>
      </w:r>
      <w:r w:rsidRPr="00702106">
        <w:t>amendemen</w:t>
      </w:r>
      <w:r w:rsidR="00123A82" w:rsidRPr="00702106">
        <w:t>t au paragraphe </w:t>
      </w:r>
      <w:r w:rsidRPr="00702106">
        <w:t>3.3.3.1 de l</w:t>
      </w:r>
      <w:r w:rsidR="00622051" w:rsidRPr="00702106">
        <w:t>’</w:t>
      </w:r>
      <w:r w:rsidRPr="00702106">
        <w:t>annexe 11 vise à corriger une erreur. Il devrait êtr</w:t>
      </w:r>
      <w:r w:rsidRPr="00702106">
        <w:t>e fait référence aux émissions d</w:t>
      </w:r>
      <w:r w:rsidR="00622051" w:rsidRPr="00702106">
        <w:t>’</w:t>
      </w:r>
      <w:r w:rsidRPr="00702106">
        <w:t>hydrocarbures non méthaniques (NMHC) au lieu des hydrocarbures totaux (THC), étant donné que les l</w:t>
      </w:r>
      <w:r w:rsidR="00123A82" w:rsidRPr="00702106">
        <w:t>imites définies au paragraphe </w:t>
      </w:r>
      <w:r w:rsidRPr="00702106">
        <w:t>3.3.2 de l</w:t>
      </w:r>
      <w:r w:rsidR="00622051" w:rsidRPr="00702106">
        <w:t>’</w:t>
      </w:r>
      <w:r w:rsidR="00123A82" w:rsidRPr="00702106">
        <w:t>annexe </w:t>
      </w:r>
      <w:r w:rsidRPr="00702106">
        <w:t>11 sont applicables aux NMHC.</w:t>
      </w:r>
    </w:p>
    <w:p w:rsidR="00FB2948" w:rsidRPr="00702106" w:rsidRDefault="00341021" w:rsidP="00123A82">
      <w:pPr>
        <w:pStyle w:val="ParNoG"/>
        <w:tabs>
          <w:tab w:val="clear" w:pos="1701"/>
        </w:tabs>
      </w:pPr>
      <w:r w:rsidRPr="00702106">
        <w:t>L</w:t>
      </w:r>
      <w:r w:rsidR="00622051" w:rsidRPr="00702106">
        <w:t>’</w:t>
      </w:r>
      <w:r w:rsidRPr="00702106">
        <w:t>amendement aux paragraphes</w:t>
      </w:r>
      <w:r w:rsidR="00123A82" w:rsidRPr="00702106">
        <w:t> </w:t>
      </w:r>
      <w:r w:rsidRPr="00702106">
        <w:t>3.3.3.4, 3.3.4.4 e</w:t>
      </w:r>
      <w:r w:rsidRPr="00702106">
        <w:t>t</w:t>
      </w:r>
      <w:r w:rsidR="00123A82" w:rsidRPr="00702106">
        <w:t> </w:t>
      </w:r>
      <w:r w:rsidRPr="00702106">
        <w:t>3.3.5 de l</w:t>
      </w:r>
      <w:r w:rsidR="00622051" w:rsidRPr="00702106">
        <w:t>’</w:t>
      </w:r>
      <w:r w:rsidRPr="00702106">
        <w:t xml:space="preserve">annexe 11 remplace </w:t>
      </w:r>
      <w:r w:rsidR="00123A82" w:rsidRPr="00702106">
        <w:t>« </w:t>
      </w:r>
      <w:r w:rsidRPr="00702106">
        <w:t>limites</w:t>
      </w:r>
      <w:r w:rsidR="00123A82" w:rsidRPr="00702106">
        <w:t> »</w:t>
      </w:r>
      <w:r w:rsidRPr="00702106">
        <w:t xml:space="preserve"> par </w:t>
      </w:r>
      <w:r w:rsidR="00123A82" w:rsidRPr="00702106">
        <w:t>« </w:t>
      </w:r>
      <w:r w:rsidRPr="00702106">
        <w:t>valeurs limites OBD</w:t>
      </w:r>
      <w:r w:rsidR="00123A82" w:rsidRPr="00702106">
        <w:t> »</w:t>
      </w:r>
      <w:r w:rsidRPr="00702106">
        <w:t xml:space="preserve"> par souci de clarté, étant donné qu</w:t>
      </w:r>
      <w:r w:rsidR="00622051" w:rsidRPr="00702106">
        <w:t>’</w:t>
      </w:r>
      <w:r w:rsidRPr="00702106">
        <w:t>il s</w:t>
      </w:r>
      <w:r w:rsidR="00622051" w:rsidRPr="00702106">
        <w:t>’</w:t>
      </w:r>
      <w:r w:rsidRPr="00702106">
        <w:t>agit d</w:t>
      </w:r>
      <w:r w:rsidR="00622051" w:rsidRPr="00702106">
        <w:t>’</w:t>
      </w:r>
      <w:r w:rsidRPr="00702106">
        <w:t>une référence aux valeurs limites OBD et non pas aux limites d</w:t>
      </w:r>
      <w:r w:rsidR="00622051" w:rsidRPr="00702106">
        <w:t>’</w:t>
      </w:r>
      <w:r w:rsidRPr="00702106">
        <w:t>émissions dans le table</w:t>
      </w:r>
      <w:r w:rsidR="00123A82" w:rsidRPr="00702106">
        <w:t>au </w:t>
      </w:r>
      <w:r w:rsidRPr="00702106">
        <w:t>1 du paragraphe</w:t>
      </w:r>
      <w:r w:rsidR="00123A82" w:rsidRPr="00702106">
        <w:t> </w:t>
      </w:r>
      <w:r w:rsidRPr="00702106">
        <w:t xml:space="preserve">5.3.1.4 du Règlement. </w:t>
      </w:r>
    </w:p>
    <w:p w:rsidR="00F9573C" w:rsidRPr="00702106" w:rsidRDefault="00341021" w:rsidP="00123A82">
      <w:pPr>
        <w:pStyle w:val="ParNoG"/>
        <w:tabs>
          <w:tab w:val="clear" w:pos="1701"/>
        </w:tabs>
      </w:pPr>
      <w:r w:rsidRPr="00702106">
        <w:t>Au parag</w:t>
      </w:r>
      <w:r w:rsidRPr="00702106">
        <w:t>raphe</w:t>
      </w:r>
      <w:r w:rsidR="00123A82" w:rsidRPr="00702106">
        <w:t> </w:t>
      </w:r>
      <w:r w:rsidRPr="00702106">
        <w:t>3.3.5.1 de l</w:t>
      </w:r>
      <w:r w:rsidR="00622051" w:rsidRPr="00702106">
        <w:t>’</w:t>
      </w:r>
      <w:r w:rsidRPr="00702106">
        <w:t>annexe</w:t>
      </w:r>
      <w:r w:rsidR="00123A82" w:rsidRPr="00702106">
        <w:t> </w:t>
      </w:r>
      <w:r w:rsidRPr="00702106">
        <w:t>11 de la série</w:t>
      </w:r>
      <w:r w:rsidR="00123A82" w:rsidRPr="00702106">
        <w:t> </w:t>
      </w:r>
      <w:r w:rsidRPr="00702106">
        <w:t>07 d</w:t>
      </w:r>
      <w:r w:rsidR="00622051" w:rsidRPr="00702106">
        <w:t>’</w:t>
      </w:r>
      <w:r w:rsidRPr="00702106">
        <w:t>amendements, l</w:t>
      </w:r>
      <w:r w:rsidR="00622051" w:rsidRPr="00702106">
        <w:t>’</w:t>
      </w:r>
      <w:r w:rsidRPr="00702106">
        <w:t xml:space="preserve">ajout du libellé </w:t>
      </w:r>
      <w:r w:rsidR="00123A82" w:rsidRPr="00702106">
        <w:t>« </w:t>
      </w:r>
      <w:r w:rsidRPr="00702106">
        <w:t>au paragraphe</w:t>
      </w:r>
      <w:r w:rsidR="00123A82" w:rsidRPr="00702106">
        <w:t> </w:t>
      </w:r>
      <w:r w:rsidRPr="00702106">
        <w:t>5.3.1.4 du présent Règlement</w:t>
      </w:r>
      <w:r w:rsidR="00123A82" w:rsidRPr="00702106">
        <w:t> »</w:t>
      </w:r>
      <w:r w:rsidRPr="00702106">
        <w:t xml:space="preserve"> vise à préciser que les limites d</w:t>
      </w:r>
      <w:r w:rsidR="00622051" w:rsidRPr="00702106">
        <w:t>’</w:t>
      </w:r>
      <w:r w:rsidRPr="00702106">
        <w:t>émissions visées sont celles définies dans le tableau</w:t>
      </w:r>
      <w:r w:rsidR="00123A82" w:rsidRPr="00702106">
        <w:t> </w:t>
      </w:r>
      <w:r w:rsidRPr="00702106">
        <w:t>1 du paragraphe</w:t>
      </w:r>
      <w:r w:rsidR="00123A82" w:rsidRPr="00702106">
        <w:t> </w:t>
      </w:r>
      <w:r w:rsidRPr="00702106">
        <w:t>5.3.1.4 du R</w:t>
      </w:r>
      <w:r w:rsidRPr="00702106">
        <w:t>èglement et non les valeurs limites OBD définies au paragraphe</w:t>
      </w:r>
      <w:r w:rsidR="00123A82" w:rsidRPr="00702106">
        <w:t> </w:t>
      </w:r>
      <w:r w:rsidRPr="00702106">
        <w:t>3.3.2 de l</w:t>
      </w:r>
      <w:r w:rsidR="00622051" w:rsidRPr="00702106">
        <w:t>’</w:t>
      </w:r>
      <w:r w:rsidRPr="00702106">
        <w:t>annexe</w:t>
      </w:r>
      <w:r w:rsidR="00123A82" w:rsidRPr="00702106">
        <w:t> </w:t>
      </w:r>
      <w:r w:rsidRPr="00702106">
        <w:t>11.</w:t>
      </w:r>
    </w:p>
    <w:p w:rsidR="00123A82" w:rsidRPr="00702106" w:rsidRDefault="00123A82" w:rsidP="00123A82">
      <w:pPr>
        <w:pStyle w:val="SingleTxtG"/>
        <w:spacing w:before="240" w:after="0"/>
        <w:jc w:val="center"/>
        <w:rPr>
          <w:u w:val="single"/>
        </w:rPr>
      </w:pPr>
      <w:r w:rsidRPr="00702106">
        <w:rPr>
          <w:u w:val="single"/>
        </w:rPr>
        <w:tab/>
      </w:r>
      <w:r w:rsidRPr="00702106">
        <w:rPr>
          <w:u w:val="single"/>
        </w:rPr>
        <w:tab/>
      </w:r>
      <w:r w:rsidRPr="00702106">
        <w:rPr>
          <w:u w:val="single"/>
        </w:rPr>
        <w:tab/>
      </w:r>
    </w:p>
    <w:sectPr w:rsidR="00123A82" w:rsidRPr="00702106" w:rsidSect="00C07AF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021" w:rsidRDefault="00341021" w:rsidP="00F95C08">
      <w:pPr>
        <w:spacing w:line="240" w:lineRule="auto"/>
      </w:pPr>
    </w:p>
  </w:endnote>
  <w:endnote w:type="continuationSeparator" w:id="0">
    <w:p w:rsidR="00341021" w:rsidRPr="00AC3823" w:rsidRDefault="00341021" w:rsidP="00AC3823">
      <w:pPr>
        <w:pStyle w:val="Pieddepage"/>
      </w:pPr>
    </w:p>
  </w:endnote>
  <w:endnote w:type="continuationNotice" w:id="1">
    <w:p w:rsidR="00341021" w:rsidRDefault="003410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1" w:rsidRPr="00C07AF1" w:rsidRDefault="00C07AF1" w:rsidP="00C07AF1">
    <w:pPr>
      <w:pStyle w:val="Pieddepage"/>
      <w:tabs>
        <w:tab w:val="right" w:pos="9638"/>
      </w:tabs>
    </w:pPr>
    <w:r w:rsidRPr="00C07AF1">
      <w:rPr>
        <w:b/>
        <w:sz w:val="18"/>
      </w:rPr>
      <w:fldChar w:fldCharType="begin"/>
    </w:r>
    <w:r w:rsidRPr="00C07AF1">
      <w:rPr>
        <w:b/>
        <w:sz w:val="18"/>
      </w:rPr>
      <w:instrText xml:space="preserve"> PAGE  \* MERGEFORMAT </w:instrText>
    </w:r>
    <w:r w:rsidRPr="00C07AF1">
      <w:rPr>
        <w:b/>
        <w:sz w:val="18"/>
      </w:rPr>
      <w:fldChar w:fldCharType="separate"/>
    </w:r>
    <w:r w:rsidR="0034108F">
      <w:rPr>
        <w:b/>
        <w:noProof/>
        <w:sz w:val="18"/>
      </w:rPr>
      <w:t>2</w:t>
    </w:r>
    <w:r w:rsidRPr="00C07AF1">
      <w:rPr>
        <w:b/>
        <w:sz w:val="18"/>
      </w:rPr>
      <w:fldChar w:fldCharType="end"/>
    </w:r>
    <w:r>
      <w:rPr>
        <w:b/>
        <w:sz w:val="18"/>
      </w:rPr>
      <w:tab/>
    </w:r>
    <w:r>
      <w:t>GE.16-04806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1" w:rsidRPr="00C07AF1" w:rsidRDefault="00C07AF1" w:rsidP="00C07AF1">
    <w:pPr>
      <w:pStyle w:val="Pieddepage"/>
      <w:tabs>
        <w:tab w:val="right" w:pos="9638"/>
      </w:tabs>
      <w:rPr>
        <w:b/>
        <w:sz w:val="18"/>
      </w:rPr>
    </w:pPr>
    <w:r>
      <w:t>GE.16-04806</w:t>
    </w:r>
    <w:r>
      <w:tab/>
    </w:r>
    <w:r w:rsidRPr="00C07AF1">
      <w:rPr>
        <w:b/>
        <w:sz w:val="18"/>
      </w:rPr>
      <w:fldChar w:fldCharType="begin"/>
    </w:r>
    <w:r w:rsidRPr="00C07AF1">
      <w:rPr>
        <w:b/>
        <w:sz w:val="18"/>
      </w:rPr>
      <w:instrText xml:space="preserve"> PAGE  \* MERGEFORMAT </w:instrText>
    </w:r>
    <w:r w:rsidRPr="00C07AF1">
      <w:rPr>
        <w:b/>
        <w:sz w:val="18"/>
      </w:rPr>
      <w:fldChar w:fldCharType="separate"/>
    </w:r>
    <w:r w:rsidR="0034108F">
      <w:rPr>
        <w:b/>
        <w:noProof/>
        <w:sz w:val="18"/>
      </w:rPr>
      <w:t>5</w:t>
    </w:r>
    <w:r w:rsidRPr="00C07A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07AF1" w:rsidRDefault="00C07AF1" w:rsidP="00C07AF1">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14:anchorId="5B829A6B" wp14:editId="3C6AEBB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16-04806  (F)    120416    150416</w:t>
    </w:r>
    <w:r>
      <w:rPr>
        <w:sz w:val="20"/>
      </w:rPr>
      <w:br/>
    </w:r>
    <w:r w:rsidRPr="00C07AF1">
      <w:rPr>
        <w:rFonts w:ascii="C39T30Lfz" w:hAnsi="C39T30Lfz"/>
        <w:sz w:val="56"/>
      </w:rPr>
      <w:t></w:t>
    </w:r>
    <w:r w:rsidRPr="00C07AF1">
      <w:rPr>
        <w:rFonts w:ascii="C39T30Lfz" w:hAnsi="C39T30Lfz"/>
        <w:sz w:val="56"/>
      </w:rPr>
      <w:t></w:t>
    </w:r>
    <w:r w:rsidRPr="00C07AF1">
      <w:rPr>
        <w:rFonts w:ascii="C39T30Lfz" w:hAnsi="C39T30Lfz"/>
        <w:sz w:val="56"/>
      </w:rPr>
      <w:t></w:t>
    </w:r>
    <w:r w:rsidRPr="00C07AF1">
      <w:rPr>
        <w:rFonts w:ascii="C39T30Lfz" w:hAnsi="C39T30Lfz"/>
        <w:sz w:val="56"/>
      </w:rPr>
      <w:t></w:t>
    </w:r>
    <w:r w:rsidRPr="00C07AF1">
      <w:rPr>
        <w:rFonts w:ascii="C39T30Lfz" w:hAnsi="C39T30Lfz"/>
        <w:sz w:val="56"/>
      </w:rPr>
      <w:t></w:t>
    </w:r>
    <w:r w:rsidRPr="00C07AF1">
      <w:rPr>
        <w:rFonts w:ascii="C39T30Lfz" w:hAnsi="C39T30Lfz"/>
        <w:sz w:val="56"/>
      </w:rPr>
      <w:t></w:t>
    </w:r>
    <w:r w:rsidRPr="00C07AF1">
      <w:rPr>
        <w:rFonts w:ascii="C39T30Lfz" w:hAnsi="C39T30Lfz"/>
        <w:sz w:val="56"/>
      </w:rPr>
      <w:t></w:t>
    </w:r>
    <w:r w:rsidRPr="00C07AF1">
      <w:rPr>
        <w:rFonts w:ascii="C39T30Lfz" w:hAnsi="C39T30Lfz"/>
        <w:sz w:val="56"/>
      </w:rPr>
      <w:t></w:t>
    </w:r>
    <w:r w:rsidRPr="00C07AF1">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GRPE/2016/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6/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021" w:rsidRPr="00AC3823" w:rsidRDefault="00341021" w:rsidP="00AC3823">
      <w:pPr>
        <w:pStyle w:val="Pieddepage"/>
        <w:tabs>
          <w:tab w:val="right" w:pos="2155"/>
        </w:tabs>
        <w:spacing w:after="80" w:line="240" w:lineRule="atLeast"/>
        <w:ind w:left="680"/>
        <w:rPr>
          <w:u w:val="single"/>
        </w:rPr>
      </w:pPr>
      <w:r>
        <w:rPr>
          <w:u w:val="single"/>
        </w:rPr>
        <w:tab/>
      </w:r>
    </w:p>
  </w:footnote>
  <w:footnote w:type="continuationSeparator" w:id="0">
    <w:p w:rsidR="00341021" w:rsidRPr="00AC3823" w:rsidRDefault="00341021" w:rsidP="00AC3823">
      <w:pPr>
        <w:pStyle w:val="Pieddepage"/>
        <w:tabs>
          <w:tab w:val="right" w:pos="2155"/>
        </w:tabs>
        <w:spacing w:after="80" w:line="240" w:lineRule="atLeast"/>
        <w:ind w:left="680"/>
        <w:rPr>
          <w:u w:val="single"/>
        </w:rPr>
      </w:pPr>
      <w:r>
        <w:rPr>
          <w:u w:val="single"/>
        </w:rPr>
        <w:tab/>
      </w:r>
    </w:p>
  </w:footnote>
  <w:footnote w:type="continuationNotice" w:id="1">
    <w:p w:rsidR="00341021" w:rsidRPr="00AC3823" w:rsidRDefault="00341021">
      <w:pPr>
        <w:spacing w:line="240" w:lineRule="auto"/>
        <w:rPr>
          <w:sz w:val="2"/>
          <w:szCs w:val="2"/>
        </w:rPr>
      </w:pPr>
    </w:p>
  </w:footnote>
  <w:footnote w:id="2">
    <w:p w:rsidR="00622051" w:rsidRPr="00A50896" w:rsidRDefault="00622051" w:rsidP="00622051">
      <w:pPr>
        <w:pStyle w:val="Notedebasdepage"/>
        <w:rPr>
          <w:lang w:val="fr-FR"/>
        </w:rPr>
      </w:pPr>
      <w:r w:rsidRPr="00A50896">
        <w:rPr>
          <w:lang w:val="fr-FR"/>
        </w:rPr>
        <w:tab/>
      </w:r>
      <w:r w:rsidRPr="00A50896">
        <w:rPr>
          <w:sz w:val="20"/>
          <w:lang w:val="fr-FR"/>
        </w:rPr>
        <w:t>*</w:t>
      </w:r>
      <w:r w:rsidRPr="00A50896">
        <w:rPr>
          <w:sz w:val="20"/>
          <w:lang w:val="fr-FR"/>
        </w:rPr>
        <w:tab/>
      </w:r>
      <w:r w:rsidRPr="00A50896">
        <w:rPr>
          <w:lang w:val="fr-FR"/>
        </w:rPr>
        <w:t xml:space="preserve">Conformément au programme de travail du Comité des transports </w:t>
      </w:r>
      <w:r>
        <w:rPr>
          <w:lang w:val="fr-FR"/>
        </w:rPr>
        <w:t>intérieurs pour la période 2014</w:t>
      </w:r>
      <w:r>
        <w:rPr>
          <w:lang w:val="fr-FR"/>
        </w:rPr>
        <w:noBreakHyphen/>
      </w:r>
      <w:r w:rsidRPr="00A50896">
        <w:rPr>
          <w:lang w:val="fr-FR"/>
        </w:rPr>
        <w:t>2018 (ECE/TRANS/240, par.105, et ECE/TRANS/2014/26</w:t>
      </w:r>
      <w:r w:rsidR="00EF0E45">
        <w:rPr>
          <w:lang w:val="fr-FR"/>
        </w:rPr>
        <w:t>,</w:t>
      </w:r>
      <w:r w:rsidRPr="00A50896">
        <w:rPr>
          <w:lang w:val="fr-FR"/>
        </w:rPr>
        <w:t xml:space="preserve"> activité 02.4), le Forum mondial élabore, harmonise et actualise les </w:t>
      </w:r>
      <w:r w:rsidR="00EF0E45">
        <w:rPr>
          <w:lang w:val="fr-FR"/>
        </w:rPr>
        <w:t>Règlements</w:t>
      </w:r>
      <w:r w:rsidRPr="00A50896">
        <w:rPr>
          <w:lang w:val="fr-FR"/>
        </w:rPr>
        <w:t xml:space="preserve"> afin d’améliorer les caractéristiques fonctionnelles des véhicules</w:t>
      </w:r>
      <w:r w:rsidRPr="00A50896">
        <w:rPr>
          <w:szCs w:val="18"/>
          <w:lang w:val="fr-FR"/>
        </w:rPr>
        <w:t xml:space="preserve">. </w:t>
      </w:r>
      <w:r w:rsidRPr="00A50896">
        <w:rPr>
          <w:lang w:val="fr-FR"/>
        </w:rPr>
        <w:t>Le présent document est soumis en vertu de ce mandat</w:t>
      </w:r>
      <w:r w:rsidRPr="00A50896">
        <w:rPr>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1" w:rsidRPr="00C07AF1" w:rsidRDefault="00C07AF1">
    <w:pPr>
      <w:pStyle w:val="En-tte"/>
    </w:pPr>
    <w:r>
      <w:t>ECE/TRANS/WP.29/GRPE/2016/11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1" w:rsidRPr="00C07AF1" w:rsidRDefault="00C07AF1" w:rsidP="00C07AF1">
    <w:pPr>
      <w:pStyle w:val="En-tte"/>
      <w:jc w:val="right"/>
    </w:pPr>
    <w:r>
      <w:t>ECE/TRANS/WP.29/GRPE/2016/11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4E"/>
    <w:rsid w:val="00017F94"/>
    <w:rsid w:val="00023842"/>
    <w:rsid w:val="000334F9"/>
    <w:rsid w:val="0007796D"/>
    <w:rsid w:val="000876BB"/>
    <w:rsid w:val="000B7790"/>
    <w:rsid w:val="00111F2F"/>
    <w:rsid w:val="00123A82"/>
    <w:rsid w:val="0014365E"/>
    <w:rsid w:val="00143C66"/>
    <w:rsid w:val="00176178"/>
    <w:rsid w:val="001F525A"/>
    <w:rsid w:val="00223272"/>
    <w:rsid w:val="00235F08"/>
    <w:rsid w:val="0024486B"/>
    <w:rsid w:val="0024779E"/>
    <w:rsid w:val="00257168"/>
    <w:rsid w:val="002744B8"/>
    <w:rsid w:val="002832AC"/>
    <w:rsid w:val="002A65A6"/>
    <w:rsid w:val="002D10F1"/>
    <w:rsid w:val="002D7C93"/>
    <w:rsid w:val="00305801"/>
    <w:rsid w:val="00332120"/>
    <w:rsid w:val="00341021"/>
    <w:rsid w:val="0034108F"/>
    <w:rsid w:val="003916DE"/>
    <w:rsid w:val="0039689C"/>
    <w:rsid w:val="00441C3B"/>
    <w:rsid w:val="00446FE5"/>
    <w:rsid w:val="00452396"/>
    <w:rsid w:val="00462090"/>
    <w:rsid w:val="004837D8"/>
    <w:rsid w:val="004E468C"/>
    <w:rsid w:val="005505B7"/>
    <w:rsid w:val="00573BE5"/>
    <w:rsid w:val="00586ED3"/>
    <w:rsid w:val="00596AA9"/>
    <w:rsid w:val="00622051"/>
    <w:rsid w:val="006D75D0"/>
    <w:rsid w:val="00702106"/>
    <w:rsid w:val="0071601D"/>
    <w:rsid w:val="007A62E6"/>
    <w:rsid w:val="007E26C8"/>
    <w:rsid w:val="007F20FA"/>
    <w:rsid w:val="0080684C"/>
    <w:rsid w:val="00866937"/>
    <w:rsid w:val="00871C75"/>
    <w:rsid w:val="008776DC"/>
    <w:rsid w:val="00937A78"/>
    <w:rsid w:val="009705C8"/>
    <w:rsid w:val="009C1CF4"/>
    <w:rsid w:val="009F6B74"/>
    <w:rsid w:val="00A30353"/>
    <w:rsid w:val="00A36DA0"/>
    <w:rsid w:val="00AC3823"/>
    <w:rsid w:val="00AE323C"/>
    <w:rsid w:val="00AF0CB5"/>
    <w:rsid w:val="00B00181"/>
    <w:rsid w:val="00B00B0D"/>
    <w:rsid w:val="00B765F7"/>
    <w:rsid w:val="00BA0CA9"/>
    <w:rsid w:val="00C02897"/>
    <w:rsid w:val="00C07AF1"/>
    <w:rsid w:val="00CF3E4E"/>
    <w:rsid w:val="00D3439C"/>
    <w:rsid w:val="00D57D79"/>
    <w:rsid w:val="00DB1831"/>
    <w:rsid w:val="00DB440A"/>
    <w:rsid w:val="00DD3BFD"/>
    <w:rsid w:val="00DF6678"/>
    <w:rsid w:val="00E06ED7"/>
    <w:rsid w:val="00E50435"/>
    <w:rsid w:val="00E85C74"/>
    <w:rsid w:val="00EA6547"/>
    <w:rsid w:val="00EF0E45"/>
    <w:rsid w:val="00EF2E22"/>
    <w:rsid w:val="00F35BAF"/>
    <w:rsid w:val="00F644E3"/>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80834-A30F-465E-A984-94605768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Pages>
  <Words>1924</Words>
  <Characters>10584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ECE/TRANS/WP.29/GRPE/2016/11</vt:lpstr>
    </vt:vector>
  </TitlesOfParts>
  <Company>DCM</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ECE/TRANS/WP.29/GRPE/2016/11</dc:title>
  <dc:subject>final</dc:subject>
  <dc:creator>Nath V.</dc:creator>
  <cp:keywords/>
  <dc:description/>
  <cp:lastModifiedBy>Bénédicte Boudol</cp:lastModifiedBy>
  <cp:revision>3</cp:revision>
  <cp:lastPrinted>2016-04-15T12:44:00Z</cp:lastPrinted>
  <dcterms:created xsi:type="dcterms:W3CDTF">2016-04-18T06:22:00Z</dcterms:created>
  <dcterms:modified xsi:type="dcterms:W3CDTF">2016-04-18T06:22:00Z</dcterms:modified>
</cp:coreProperties>
</file>