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235F72">
            <w:pPr>
              <w:jc w:val="right"/>
              <w:rPr>
                <w:highlight w:val="yellow"/>
              </w:rPr>
            </w:pPr>
            <w:r w:rsidRPr="00370AD8">
              <w:rPr>
                <w:sz w:val="40"/>
              </w:rPr>
              <w:t>ECE</w:t>
            </w:r>
            <w:r w:rsidRPr="00370AD8">
              <w:t>/TRANS/WP.29/GRE/</w:t>
            </w:r>
            <w:r w:rsidR="00A91E4C" w:rsidRPr="00370AD8">
              <w:t>201</w:t>
            </w:r>
            <w:r w:rsidR="00A16D8C" w:rsidRPr="00370AD8">
              <w:t>6</w:t>
            </w:r>
            <w:r w:rsidRPr="00370AD8">
              <w:t>/</w:t>
            </w:r>
            <w:r w:rsidR="00FF2BE9">
              <w:t>3</w:t>
            </w:r>
            <w:r w:rsidR="00235F72">
              <w:t>5</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en-GB"/>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B80F33" w:rsidP="006D66AF">
            <w:pPr>
              <w:spacing w:line="240" w:lineRule="exact"/>
            </w:pPr>
            <w:r>
              <w:t>11</w:t>
            </w:r>
            <w:r w:rsidR="005E1BC9">
              <w:t xml:space="preserve"> </w:t>
            </w:r>
            <w:r w:rsidR="0036599E">
              <w:t xml:space="preserve">August </w:t>
            </w:r>
            <w:r w:rsidR="00370AD8">
              <w:t>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36599E" w:rsidRPr="004D1FAA" w:rsidRDefault="0036599E" w:rsidP="0036599E">
      <w:pPr>
        <w:rPr>
          <w:b/>
        </w:rPr>
      </w:pPr>
      <w:r>
        <w:rPr>
          <w:b/>
        </w:rPr>
        <w:t>Seventy-sixth</w:t>
      </w:r>
      <w:r w:rsidRPr="004D1FAA">
        <w:rPr>
          <w:b/>
        </w:rPr>
        <w:t xml:space="preserve"> session</w:t>
      </w:r>
    </w:p>
    <w:p w:rsidR="0036599E" w:rsidRPr="004D1FAA" w:rsidRDefault="0036599E" w:rsidP="0036599E">
      <w:pPr>
        <w:rPr>
          <w:bCs/>
        </w:rPr>
      </w:pPr>
      <w:r w:rsidRPr="004D1FAA">
        <w:t>Geneva</w:t>
      </w:r>
      <w:r w:rsidRPr="004D1FAA">
        <w:rPr>
          <w:bCs/>
        </w:rPr>
        <w:t xml:space="preserve">, </w:t>
      </w:r>
      <w:r>
        <w:rPr>
          <w:bCs/>
        </w:rPr>
        <w:t xml:space="preserve">25–28 October </w:t>
      </w:r>
      <w:r w:rsidRPr="004D1FAA">
        <w:rPr>
          <w:bCs/>
        </w:rPr>
        <w:t>2016</w:t>
      </w:r>
    </w:p>
    <w:p w:rsidR="00235F72" w:rsidRDefault="0036599E" w:rsidP="0036599E">
      <w:pPr>
        <w:ind w:right="1134"/>
        <w:rPr>
          <w:b/>
          <w:bCs/>
        </w:rPr>
      </w:pPr>
      <w:r w:rsidRPr="004D1FAA">
        <w:rPr>
          <w:bCs/>
        </w:rPr>
        <w:t>Item</w:t>
      </w:r>
      <w:r>
        <w:rPr>
          <w:bCs/>
        </w:rPr>
        <w:t xml:space="preserve"> 7 (</w:t>
      </w:r>
      <w:r w:rsidR="00235F72">
        <w:rPr>
          <w:bCs/>
        </w:rPr>
        <w:t>e</w:t>
      </w:r>
      <w:r>
        <w:rPr>
          <w:bCs/>
        </w:rPr>
        <w:t>)</w:t>
      </w:r>
      <w:r w:rsidR="00275800">
        <w:rPr>
          <w:bCs/>
        </w:rPr>
        <w:t xml:space="preserve"> of the provisional agenda</w:t>
      </w:r>
      <w:r w:rsidRPr="004D1FAA">
        <w:rPr>
          <w:bCs/>
        </w:rPr>
        <w:br/>
      </w:r>
      <w:r w:rsidR="00275800" w:rsidRPr="00275800">
        <w:rPr>
          <w:b/>
          <w:bCs/>
        </w:rPr>
        <w:t>Other Regulations</w:t>
      </w:r>
      <w:r w:rsidR="00275800">
        <w:rPr>
          <w:b/>
          <w:bCs/>
        </w:rPr>
        <w:t xml:space="preserve">: </w:t>
      </w:r>
      <w:r w:rsidR="00275800" w:rsidRPr="00275800">
        <w:rPr>
          <w:b/>
          <w:bCs/>
        </w:rPr>
        <w:t xml:space="preserve">Regulation No. </w:t>
      </w:r>
      <w:r w:rsidR="00235F72">
        <w:rPr>
          <w:b/>
          <w:bCs/>
        </w:rPr>
        <w:t>53</w:t>
      </w:r>
      <w:r w:rsidR="00275800" w:rsidRPr="00275800">
        <w:rPr>
          <w:b/>
          <w:bCs/>
        </w:rPr>
        <w:t xml:space="preserve"> </w:t>
      </w:r>
    </w:p>
    <w:p w:rsidR="0036599E" w:rsidRDefault="00235F72" w:rsidP="0036599E">
      <w:pPr>
        <w:ind w:right="1134"/>
        <w:rPr>
          <w:b/>
          <w:bCs/>
        </w:rPr>
      </w:pPr>
      <w:r>
        <w:rPr>
          <w:b/>
          <w:bCs/>
        </w:rPr>
        <w:t>(</w:t>
      </w:r>
      <w:r w:rsidRPr="00235F72">
        <w:rPr>
          <w:b/>
          <w:bCs/>
        </w:rPr>
        <w:t>Installation of lighting and light-signalling devices for L</w:t>
      </w:r>
      <w:r w:rsidRPr="00235F72">
        <w:rPr>
          <w:b/>
          <w:bCs/>
          <w:vertAlign w:val="subscript"/>
        </w:rPr>
        <w:t>3</w:t>
      </w:r>
      <w:r w:rsidRPr="00235F72">
        <w:rPr>
          <w:b/>
          <w:bCs/>
        </w:rPr>
        <w:t xml:space="preserve"> vehicles</w:t>
      </w:r>
      <w:r>
        <w:rPr>
          <w:b/>
          <w:bCs/>
        </w:rPr>
        <w:t>)</w:t>
      </w:r>
    </w:p>
    <w:p w:rsidR="006D66AF" w:rsidRPr="00370AD8" w:rsidRDefault="006D66AF" w:rsidP="00FF2BE9">
      <w:pPr>
        <w:pStyle w:val="HChG"/>
        <w:rPr>
          <w:lang w:val="en-US"/>
        </w:rPr>
      </w:pPr>
      <w:r w:rsidRPr="00C970EE">
        <w:rPr>
          <w:lang w:val="en-US"/>
        </w:rPr>
        <w:tab/>
      </w:r>
      <w:r w:rsidRPr="00C970EE">
        <w:rPr>
          <w:lang w:val="en-US"/>
        </w:rPr>
        <w:tab/>
      </w:r>
      <w:r w:rsidR="00235F72" w:rsidRPr="00235F72">
        <w:rPr>
          <w:lang w:val="en-US"/>
        </w:rPr>
        <w:t>Proposal for the 03 series of amendments to Regulation No.</w:t>
      </w:r>
      <w:r w:rsidR="00235F72">
        <w:rPr>
          <w:lang w:val="en-US"/>
        </w:rPr>
        <w:t> </w:t>
      </w:r>
      <w:r w:rsidR="00235F72" w:rsidRPr="00235F72">
        <w:rPr>
          <w:lang w:val="en-US"/>
        </w:rPr>
        <w:t>53 (Installation of lighting and light-signalling devices for L</w:t>
      </w:r>
      <w:r w:rsidR="00235F72" w:rsidRPr="00235F72">
        <w:rPr>
          <w:vertAlign w:val="subscript"/>
          <w:lang w:val="en-US"/>
        </w:rPr>
        <w:t>3</w:t>
      </w:r>
      <w:r w:rsidR="00235F72" w:rsidRPr="00235F72">
        <w:rPr>
          <w:lang w:val="en-US"/>
        </w:rPr>
        <w:t xml:space="preserve"> vehicles)</w:t>
      </w:r>
      <w:r w:rsidR="00235F72">
        <w:rPr>
          <w:lang w:val="en-US"/>
        </w:rPr>
        <w:t xml:space="preserve"> </w:t>
      </w:r>
    </w:p>
    <w:p w:rsidR="00F91276" w:rsidRPr="004D1FAA" w:rsidRDefault="00F91276" w:rsidP="00FF2BE9">
      <w:pPr>
        <w:pStyle w:val="H1G"/>
        <w:ind w:firstLine="0"/>
      </w:pPr>
      <w:r w:rsidRPr="004D1FAA">
        <w:t xml:space="preserve">Submitted by the expert from </w:t>
      </w:r>
      <w:r w:rsidR="00235F72">
        <w:t>Japan</w:t>
      </w:r>
      <w:r w:rsidRPr="004D1FAA">
        <w:rPr>
          <w:sz w:val="18"/>
          <w:vertAlign w:val="superscript"/>
        </w:rPr>
        <w:footnoteReference w:customMarkFollows="1" w:id="2"/>
        <w:t>*</w:t>
      </w:r>
    </w:p>
    <w:p w:rsidR="006D66AF" w:rsidRPr="00C970EE" w:rsidRDefault="00235F72" w:rsidP="00FF2BE9">
      <w:pPr>
        <w:tabs>
          <w:tab w:val="left" w:pos="8505"/>
        </w:tabs>
        <w:spacing w:after="120"/>
        <w:ind w:left="1134" w:right="1134" w:firstLine="567"/>
        <w:jc w:val="both"/>
        <w:rPr>
          <w:lang w:val="en-US"/>
        </w:rPr>
      </w:pPr>
      <w:r w:rsidRPr="00235F72">
        <w:rPr>
          <w:rFonts w:eastAsia="Calibri"/>
        </w:rPr>
        <w:t xml:space="preserve">The text reproduced below was prepared by the expert from Japan in accordance with discussions at the seventy-fifth session of the Working Party on Lighting and Light-Signalling (GRE) regarding </w:t>
      </w:r>
      <w:r>
        <w:rPr>
          <w:rFonts w:eastAsia="Calibri"/>
        </w:rPr>
        <w:t xml:space="preserve">a </w:t>
      </w:r>
      <w:r w:rsidRPr="00235F72">
        <w:rPr>
          <w:rFonts w:eastAsia="Calibri"/>
        </w:rPr>
        <w:t>new requirement f</w:t>
      </w:r>
      <w:r>
        <w:rPr>
          <w:rFonts w:eastAsia="Calibri"/>
        </w:rPr>
        <w:t>or</w:t>
      </w:r>
      <w:r w:rsidRPr="00235F72">
        <w:rPr>
          <w:rFonts w:eastAsia="Calibri"/>
        </w:rPr>
        <w:t xml:space="preserve"> automatic switching from the </w:t>
      </w:r>
      <w:r>
        <w:rPr>
          <w:rFonts w:eastAsia="Calibri"/>
        </w:rPr>
        <w:t>day</w:t>
      </w:r>
      <w:r w:rsidR="004E3D0B">
        <w:rPr>
          <w:rFonts w:eastAsia="Calibri"/>
        </w:rPr>
        <w:t>t</w:t>
      </w:r>
      <w:r>
        <w:rPr>
          <w:rFonts w:eastAsia="Calibri"/>
        </w:rPr>
        <w:t>ime running lamp (</w:t>
      </w:r>
      <w:r w:rsidRPr="00235F72">
        <w:rPr>
          <w:rFonts w:eastAsia="Calibri"/>
        </w:rPr>
        <w:t>DRL</w:t>
      </w:r>
      <w:r>
        <w:rPr>
          <w:rFonts w:eastAsia="Calibri"/>
        </w:rPr>
        <w:t>)</w:t>
      </w:r>
      <w:r w:rsidRPr="00235F72">
        <w:rPr>
          <w:rFonts w:eastAsia="Calibri"/>
        </w:rPr>
        <w:t xml:space="preserve"> to the headlamp. The text is based on </w:t>
      </w:r>
      <w:r>
        <w:rPr>
          <w:rFonts w:eastAsia="Calibri"/>
        </w:rPr>
        <w:t>I</w:t>
      </w:r>
      <w:r w:rsidRPr="00235F72">
        <w:rPr>
          <w:rFonts w:eastAsia="Calibri"/>
        </w:rPr>
        <w:t>nformal document GRE-75-08 distributed at the seventy-fifth session of GRE. The modifications to the existing text of the Regulation are marked in bold for new or strikethrough for deleted characters.</w:t>
      </w:r>
      <w:r w:rsidR="00275800" w:rsidRPr="00275800">
        <w:rPr>
          <w:rFonts w:eastAsia="Calibri"/>
        </w:rPr>
        <w:t xml:space="preserve"> </w:t>
      </w:r>
    </w:p>
    <w:p w:rsidR="006D66AF" w:rsidRPr="00C970EE" w:rsidRDefault="006D66AF" w:rsidP="006D66AF">
      <w:pPr>
        <w:tabs>
          <w:tab w:val="left" w:pos="8505"/>
        </w:tabs>
        <w:ind w:left="1134" w:right="1134" w:firstLine="567"/>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EF7551" w:rsidRPr="007E3F56" w:rsidRDefault="00EF7551" w:rsidP="00EF7551">
      <w:pPr>
        <w:pStyle w:val="SingleTxtG"/>
        <w:spacing w:line="240" w:lineRule="exact"/>
        <w:ind w:left="2268" w:hanging="1134"/>
        <w:rPr>
          <w:i/>
          <w:color w:val="FF0000"/>
        </w:rPr>
      </w:pPr>
      <w:r>
        <w:rPr>
          <w:i/>
          <w:iCs/>
        </w:rPr>
        <w:t>P</w:t>
      </w:r>
      <w:r w:rsidRPr="007E3F56">
        <w:rPr>
          <w:i/>
          <w:iCs/>
        </w:rPr>
        <w:t xml:space="preserve">aragraph </w:t>
      </w:r>
      <w:r w:rsidRPr="007E3F56">
        <w:rPr>
          <w:rFonts w:hint="eastAsia"/>
          <w:i/>
          <w:iCs/>
          <w:lang w:eastAsia="ja-JP"/>
        </w:rPr>
        <w:t>5</w:t>
      </w:r>
      <w:r w:rsidRPr="007E3F56">
        <w:rPr>
          <w:i/>
          <w:iCs/>
        </w:rPr>
        <w:t>.</w:t>
      </w:r>
      <w:r w:rsidRPr="007E3F56">
        <w:rPr>
          <w:rFonts w:hint="eastAsia"/>
          <w:i/>
          <w:iCs/>
          <w:lang w:eastAsia="ja-JP"/>
        </w:rPr>
        <w:t>11</w:t>
      </w:r>
      <w:r w:rsidRPr="007E3F56">
        <w:rPr>
          <w:i/>
          <w:iCs/>
        </w:rPr>
        <w:t>.</w:t>
      </w:r>
      <w:r>
        <w:rPr>
          <w:rFonts w:hint="eastAsia"/>
          <w:i/>
          <w:iCs/>
          <w:lang w:eastAsia="ja-JP"/>
        </w:rPr>
        <w:t>1</w:t>
      </w:r>
      <w:r w:rsidRPr="007E3F56">
        <w:rPr>
          <w:i/>
          <w:iCs/>
        </w:rPr>
        <w:t>.</w:t>
      </w:r>
      <w:r w:rsidRPr="007E3F56">
        <w:rPr>
          <w:i/>
        </w:rPr>
        <w:t xml:space="preserve">, </w:t>
      </w:r>
      <w:r>
        <w:rPr>
          <w:i/>
        </w:rPr>
        <w:t xml:space="preserve">amend </w:t>
      </w:r>
      <w:r w:rsidRPr="007E3F56">
        <w:rPr>
          <w:i/>
        </w:rPr>
        <w:t>to read:</w:t>
      </w:r>
    </w:p>
    <w:p w:rsidR="00EF7551" w:rsidRDefault="00EF7551" w:rsidP="00EF7551">
      <w:pPr>
        <w:pStyle w:val="NormalWeb"/>
        <w:spacing w:after="120" w:line="240" w:lineRule="exact"/>
        <w:ind w:left="2268" w:right="1134" w:hanging="1134"/>
        <w:jc w:val="both"/>
        <w:rPr>
          <w:rFonts w:eastAsia="MS PMincho"/>
          <w:b/>
          <w:sz w:val="20"/>
          <w:szCs w:val="20"/>
        </w:rPr>
      </w:pPr>
      <w:r w:rsidRPr="005D70F9">
        <w:rPr>
          <w:iCs/>
        </w:rPr>
        <w:t>"</w:t>
      </w:r>
      <w:r w:rsidRPr="000A2875">
        <w:rPr>
          <w:rFonts w:eastAsia="MS PMincho"/>
          <w:sz w:val="20"/>
          <w:szCs w:val="20"/>
        </w:rPr>
        <w:t>5.11.</w:t>
      </w:r>
      <w:r>
        <w:rPr>
          <w:rFonts w:eastAsia="MS PMincho"/>
          <w:sz w:val="20"/>
          <w:szCs w:val="20"/>
        </w:rPr>
        <w:t>1</w:t>
      </w:r>
      <w:r w:rsidRPr="000A2875">
        <w:rPr>
          <w:rFonts w:eastAsia="MS PMincho"/>
          <w:sz w:val="20"/>
          <w:szCs w:val="20"/>
        </w:rPr>
        <w:t>.</w:t>
      </w:r>
      <w:r w:rsidRPr="007E3F56">
        <w:rPr>
          <w:rFonts w:eastAsia="MS PMincho"/>
          <w:b/>
          <w:sz w:val="20"/>
          <w:szCs w:val="20"/>
        </w:rPr>
        <w:t xml:space="preserve"> </w:t>
      </w:r>
      <w:r w:rsidRPr="007E3F56">
        <w:rPr>
          <w:rFonts w:eastAsia="MS PMincho"/>
          <w:b/>
          <w:sz w:val="20"/>
          <w:szCs w:val="20"/>
        </w:rPr>
        <w:tab/>
      </w:r>
      <w:r w:rsidRPr="00287AC2">
        <w:rPr>
          <w:rFonts w:eastAsia="MS PMincho"/>
          <w:sz w:val="20"/>
          <w:szCs w:val="20"/>
        </w:rPr>
        <w:t>If installed, the daytime running lamp shall automatically be ON when the engine is running. If the headlamp is switched on, the daytime running lamp shall not come on when the engine is running.</w:t>
      </w:r>
      <w:r>
        <w:rPr>
          <w:rFonts w:eastAsia="MS PMincho"/>
          <w:b/>
          <w:sz w:val="20"/>
          <w:szCs w:val="20"/>
        </w:rPr>
        <w:t xml:space="preserve"> </w:t>
      </w:r>
      <w:r w:rsidRPr="007E3F56">
        <w:rPr>
          <w:rFonts w:eastAsia="MS PMincho"/>
          <w:b/>
          <w:sz w:val="20"/>
          <w:szCs w:val="20"/>
        </w:rPr>
        <w:t>The headlamp</w:t>
      </w:r>
      <w:r>
        <w:rPr>
          <w:rFonts w:eastAsia="MS PMincho"/>
          <w:b/>
          <w:sz w:val="20"/>
          <w:szCs w:val="20"/>
        </w:rPr>
        <w:t xml:space="preserve"> shall be switched ON automatically</w:t>
      </w:r>
      <w:r w:rsidRPr="007E3F56">
        <w:rPr>
          <w:rFonts w:eastAsia="MS PMincho" w:hint="eastAsia"/>
          <w:b/>
          <w:sz w:val="20"/>
          <w:szCs w:val="20"/>
        </w:rPr>
        <w:t xml:space="preserve"> within 2 seconds when the ambient light condition </w:t>
      </w:r>
      <w:r w:rsidRPr="007E3F56">
        <w:rPr>
          <w:rFonts w:eastAsia="MS PMincho"/>
          <w:b/>
          <w:snapToGrid w:val="0"/>
          <w:sz w:val="20"/>
          <w:szCs w:val="20"/>
        </w:rPr>
        <w:t>falls below</w:t>
      </w:r>
      <w:r w:rsidRPr="007E3F56">
        <w:rPr>
          <w:rFonts w:eastAsia="MS PMincho" w:hint="eastAsia"/>
          <w:b/>
          <w:sz w:val="20"/>
          <w:szCs w:val="20"/>
        </w:rPr>
        <w:t xml:space="preserve"> </w:t>
      </w:r>
      <w:r w:rsidRPr="007E3F56">
        <w:rPr>
          <w:rFonts w:eastAsia="MS PMincho"/>
          <w:b/>
          <w:sz w:val="20"/>
          <w:szCs w:val="20"/>
        </w:rPr>
        <w:t>1,000</w:t>
      </w:r>
      <w:r w:rsidRPr="007E3F56">
        <w:rPr>
          <w:rFonts w:eastAsia="MS PMincho" w:hint="eastAsia"/>
          <w:b/>
          <w:sz w:val="20"/>
          <w:szCs w:val="20"/>
        </w:rPr>
        <w:t xml:space="preserve"> </w:t>
      </w:r>
      <w:r w:rsidRPr="007E3F56">
        <w:rPr>
          <w:rFonts w:eastAsia="MS PMincho"/>
          <w:b/>
          <w:sz w:val="20"/>
          <w:szCs w:val="20"/>
        </w:rPr>
        <w:t>lx</w:t>
      </w:r>
      <w:r w:rsidRPr="007E3F56">
        <w:rPr>
          <w:rFonts w:eastAsia="MS PMincho" w:hint="eastAsia"/>
          <w:b/>
          <w:sz w:val="20"/>
          <w:szCs w:val="20"/>
        </w:rPr>
        <w:t xml:space="preserve"> (e.g., under night</w:t>
      </w:r>
      <w:r>
        <w:rPr>
          <w:rFonts w:eastAsia="MS PMincho" w:hint="eastAsia"/>
          <w:b/>
          <w:sz w:val="20"/>
          <w:szCs w:val="20"/>
        </w:rPr>
        <w:t>-</w:t>
      </w:r>
      <w:r w:rsidRPr="007E3F56">
        <w:rPr>
          <w:rFonts w:eastAsia="MS PMincho" w:hint="eastAsia"/>
          <w:b/>
          <w:sz w:val="20"/>
          <w:szCs w:val="20"/>
        </w:rPr>
        <w:t xml:space="preserve">time driving conditions, in tunnels, etc.), after which the headlamp shall remain lit until the ambient light condition becomes </w:t>
      </w:r>
      <w:r w:rsidRPr="00E366F7">
        <w:rPr>
          <w:rFonts w:eastAsia="MS PMincho"/>
          <w:b/>
          <w:sz w:val="20"/>
          <w:szCs w:val="20"/>
        </w:rPr>
        <w:t xml:space="preserve">not less than </w:t>
      </w:r>
      <w:r w:rsidRPr="007E3F56">
        <w:rPr>
          <w:rFonts w:eastAsia="MS PMincho" w:hint="eastAsia"/>
          <w:b/>
          <w:sz w:val="20"/>
          <w:szCs w:val="20"/>
        </w:rPr>
        <w:t>1,000 lx.</w:t>
      </w:r>
    </w:p>
    <w:p w:rsidR="00EF7551" w:rsidRPr="000A3020" w:rsidRDefault="00EF7551" w:rsidP="00EF7551">
      <w:pPr>
        <w:pStyle w:val="NormalWeb"/>
        <w:spacing w:after="120" w:line="240" w:lineRule="exact"/>
        <w:ind w:left="2268" w:right="1134"/>
        <w:jc w:val="both"/>
        <w:rPr>
          <w:rFonts w:eastAsia="MS PMincho"/>
          <w:b/>
          <w:sz w:val="20"/>
          <w:szCs w:val="20"/>
        </w:rPr>
      </w:pPr>
      <w:r w:rsidRPr="00287AC2">
        <w:rPr>
          <w:rFonts w:eastAsia="MS PMincho"/>
          <w:sz w:val="20"/>
          <w:szCs w:val="20"/>
        </w:rPr>
        <w:t>If no daytime running lamp is installed, the headlamp shall automatically be on when the engine is running.</w:t>
      </w:r>
      <w:r w:rsidRPr="00287AC2">
        <w:rPr>
          <w:sz w:val="20"/>
          <w:szCs w:val="20"/>
        </w:rPr>
        <w:t xml:space="preserve"> </w:t>
      </w:r>
      <w:r w:rsidRPr="005D70F9">
        <w:rPr>
          <w:sz w:val="20"/>
          <w:szCs w:val="20"/>
        </w:rPr>
        <w:t>"</w:t>
      </w:r>
    </w:p>
    <w:p w:rsidR="00EF7551" w:rsidRPr="007E3F56" w:rsidRDefault="00EF7551" w:rsidP="00EF7551">
      <w:pPr>
        <w:pStyle w:val="SingleTxtG"/>
        <w:spacing w:line="240" w:lineRule="exact"/>
        <w:ind w:left="2268" w:hanging="1134"/>
        <w:rPr>
          <w:i/>
          <w:color w:val="FF0000"/>
          <w:lang w:eastAsia="ja-JP"/>
        </w:rPr>
      </w:pPr>
      <w:r w:rsidRPr="007E3F56">
        <w:rPr>
          <w:i/>
          <w:iCs/>
          <w:lang w:eastAsia="ja-JP"/>
        </w:rPr>
        <w:t xml:space="preserve">Insert new paragraphs </w:t>
      </w:r>
      <w:r w:rsidRPr="007E3F56">
        <w:rPr>
          <w:rFonts w:hint="eastAsia"/>
          <w:i/>
          <w:iCs/>
          <w:lang w:eastAsia="ja-JP"/>
        </w:rPr>
        <w:t>11</w:t>
      </w:r>
      <w:r w:rsidRPr="007E3F56">
        <w:rPr>
          <w:i/>
          <w:iCs/>
          <w:lang w:eastAsia="ja-JP"/>
        </w:rPr>
        <w:t>.</w:t>
      </w:r>
      <w:r w:rsidRPr="007E3F56">
        <w:rPr>
          <w:rFonts w:hint="eastAsia"/>
          <w:i/>
          <w:iCs/>
          <w:lang w:eastAsia="ja-JP"/>
        </w:rPr>
        <w:t>7</w:t>
      </w:r>
      <w:r w:rsidRPr="007E3F56">
        <w:rPr>
          <w:i/>
          <w:iCs/>
          <w:lang w:eastAsia="ja-JP"/>
        </w:rPr>
        <w:t xml:space="preserve">. to </w:t>
      </w:r>
      <w:r w:rsidRPr="007E3F56">
        <w:rPr>
          <w:rFonts w:hint="eastAsia"/>
          <w:i/>
          <w:iCs/>
          <w:lang w:eastAsia="ja-JP"/>
        </w:rPr>
        <w:t>11</w:t>
      </w:r>
      <w:r w:rsidRPr="007E3F56">
        <w:rPr>
          <w:i/>
          <w:iCs/>
          <w:lang w:eastAsia="ja-JP"/>
        </w:rPr>
        <w:t>.</w:t>
      </w:r>
      <w:r w:rsidRPr="007E3F56">
        <w:rPr>
          <w:rFonts w:hint="eastAsia"/>
          <w:i/>
          <w:iCs/>
          <w:lang w:eastAsia="ja-JP"/>
        </w:rPr>
        <w:t>11</w:t>
      </w:r>
      <w:r w:rsidRPr="007E3F56">
        <w:rPr>
          <w:i/>
          <w:iCs/>
          <w:lang w:eastAsia="ja-JP"/>
        </w:rPr>
        <w:t>.</w:t>
      </w:r>
      <w:r w:rsidRPr="007E3F56">
        <w:rPr>
          <w:i/>
          <w:lang w:eastAsia="ja-JP"/>
        </w:rPr>
        <w:t>, to read:</w:t>
      </w:r>
    </w:p>
    <w:p w:rsidR="00EF7551" w:rsidRPr="000A3020" w:rsidRDefault="00EF7551" w:rsidP="008E0334">
      <w:pPr>
        <w:adjustRightInd w:val="0"/>
        <w:spacing w:after="120" w:line="240" w:lineRule="exact"/>
        <w:ind w:left="2268" w:right="1134" w:hanging="1134"/>
        <w:jc w:val="both"/>
        <w:rPr>
          <w:b/>
        </w:rPr>
      </w:pPr>
      <w:r w:rsidRPr="005D70F9">
        <w:rPr>
          <w:iCs/>
        </w:rPr>
        <w:t>"</w:t>
      </w:r>
      <w:r w:rsidRPr="007E3F56">
        <w:rPr>
          <w:rFonts w:eastAsia="MS PMincho"/>
          <w:b/>
        </w:rPr>
        <w:t>11.</w:t>
      </w:r>
      <w:r w:rsidRPr="007E3F56">
        <w:rPr>
          <w:rFonts w:eastAsia="MS PMincho" w:hAnsi="MS PMincho" w:hint="eastAsia"/>
          <w:b/>
        </w:rPr>
        <w:t>7.</w:t>
      </w:r>
      <w:r w:rsidRPr="007E3F56">
        <w:rPr>
          <w:rFonts w:ascii="MS PMincho" w:eastAsia="MS PMincho" w:hAnsi="MS PMincho" w:hint="eastAsia"/>
          <w:b/>
        </w:rPr>
        <w:tab/>
      </w:r>
      <w:r w:rsidRPr="007E3F56">
        <w:rPr>
          <w:b/>
        </w:rPr>
        <w:t xml:space="preserve">As from the official date of entry into force of the </w:t>
      </w:r>
      <w:r w:rsidRPr="007E3F56">
        <w:rPr>
          <w:rFonts w:hint="eastAsia"/>
          <w:b/>
        </w:rPr>
        <w:t>03</w:t>
      </w:r>
      <w:r w:rsidRPr="007E3F56">
        <w:rPr>
          <w:b/>
        </w:rPr>
        <w:t xml:space="preserve"> series of amendments, no Contracting Party applying this Regulation shall refuse to grant or refuse to accept type approvals under this Regulation as amended by the </w:t>
      </w:r>
      <w:r w:rsidRPr="007E3F56">
        <w:rPr>
          <w:rFonts w:hint="eastAsia"/>
          <w:b/>
        </w:rPr>
        <w:t>03</w:t>
      </w:r>
      <w:r w:rsidRPr="007E3F56">
        <w:rPr>
          <w:b/>
        </w:rPr>
        <w:t xml:space="preserve"> series of amendments.</w:t>
      </w:r>
    </w:p>
    <w:p w:rsidR="00EF7551" w:rsidRPr="000A3020" w:rsidRDefault="00EF7551" w:rsidP="008E0334">
      <w:pPr>
        <w:adjustRightInd w:val="0"/>
        <w:spacing w:after="120" w:line="240" w:lineRule="exact"/>
        <w:ind w:left="2268" w:right="1134" w:hanging="1134"/>
        <w:jc w:val="both"/>
        <w:rPr>
          <w:b/>
        </w:rPr>
      </w:pPr>
      <w:r w:rsidRPr="007E3F56">
        <w:rPr>
          <w:rFonts w:eastAsia="MS PMincho"/>
          <w:b/>
        </w:rPr>
        <w:t>11.8.</w:t>
      </w:r>
      <w:r w:rsidRPr="007E3F56">
        <w:rPr>
          <w:rFonts w:ascii="MS PMincho" w:eastAsia="MS PMincho" w:hAnsi="MS PMincho" w:hint="eastAsia"/>
          <w:b/>
        </w:rPr>
        <w:tab/>
      </w:r>
      <w:r w:rsidRPr="007E3F56">
        <w:rPr>
          <w:b/>
        </w:rPr>
        <w:t>As from [48 months] after the date of entry into force of the 03 series of amendments, Contracting Parties applying this Regulation shall grant type approvals only if the vehicle type to be approved meets the requirements of this Regulation as amended by the 03 series of amendments.</w:t>
      </w:r>
    </w:p>
    <w:p w:rsidR="00EF7551" w:rsidRPr="000A3020" w:rsidRDefault="00EF7551" w:rsidP="008E0334">
      <w:pPr>
        <w:adjustRightInd w:val="0"/>
        <w:spacing w:after="120" w:line="240" w:lineRule="exact"/>
        <w:ind w:left="2268" w:right="1134" w:hanging="1134"/>
        <w:jc w:val="both"/>
        <w:rPr>
          <w:b/>
        </w:rPr>
      </w:pPr>
      <w:r w:rsidRPr="007E3F56">
        <w:rPr>
          <w:rFonts w:eastAsia="MS PMincho"/>
          <w:b/>
        </w:rPr>
        <w:t>11.9.</w:t>
      </w:r>
      <w:r w:rsidRPr="007E3F56">
        <w:rPr>
          <w:rFonts w:ascii="MS PMincho" w:eastAsia="MS PMincho" w:hAnsi="MS PMincho" w:hint="eastAsia"/>
          <w:b/>
        </w:rPr>
        <w:tab/>
      </w:r>
      <w:r w:rsidRPr="007E3F56">
        <w:rPr>
          <w:b/>
        </w:rPr>
        <w:t>Contracting Parties applying this Regulation shall not refuse to grant extensions of type approvals for existing types which have been granted according to the preceding series of amendments to this Regulation.</w:t>
      </w:r>
    </w:p>
    <w:p w:rsidR="00EF7551" w:rsidRPr="000A3020" w:rsidRDefault="00EF7551" w:rsidP="008E0334">
      <w:pPr>
        <w:tabs>
          <w:tab w:val="left" w:pos="709"/>
          <w:tab w:val="left" w:pos="1418"/>
        </w:tabs>
        <w:adjustRightInd w:val="0"/>
        <w:spacing w:after="120" w:line="240" w:lineRule="exact"/>
        <w:ind w:left="2268" w:right="1134" w:hanging="1134"/>
        <w:jc w:val="both"/>
        <w:rPr>
          <w:b/>
        </w:rPr>
      </w:pPr>
      <w:r w:rsidRPr="007E3F56">
        <w:rPr>
          <w:rFonts w:eastAsia="MS PMincho"/>
          <w:b/>
        </w:rPr>
        <w:t>11.10.</w:t>
      </w:r>
      <w:r w:rsidRPr="007E3F56">
        <w:rPr>
          <w:rFonts w:eastAsia="MS PMincho"/>
          <w:b/>
        </w:rPr>
        <w:tab/>
      </w:r>
      <w:r w:rsidRPr="007E3F56">
        <w:rPr>
          <w:b/>
          <w:iCs/>
        </w:rPr>
        <w:t>Even after the date of entry into force of the 03 series of amendments to this Regulation, type approvals to the preceding series of amendments to the Regulation shall remain valid. Contracting Parties applying this Regulation shall continue to accept them.</w:t>
      </w:r>
    </w:p>
    <w:p w:rsidR="00FF2BE9" w:rsidRDefault="00EF7551" w:rsidP="008E0334">
      <w:pPr>
        <w:tabs>
          <w:tab w:val="left" w:pos="1418"/>
        </w:tabs>
        <w:autoSpaceDE w:val="0"/>
        <w:autoSpaceDN w:val="0"/>
        <w:adjustRightInd w:val="0"/>
        <w:spacing w:after="120" w:line="240" w:lineRule="exact"/>
        <w:ind w:left="2268" w:right="1134" w:hanging="1134"/>
        <w:jc w:val="both"/>
        <w:rPr>
          <w:lang w:val="en-US"/>
        </w:rPr>
      </w:pPr>
      <w:r w:rsidRPr="007E3F56">
        <w:rPr>
          <w:rFonts w:eastAsia="MS PMincho"/>
          <w:b/>
        </w:rPr>
        <w:t>11.11.</w:t>
      </w:r>
      <w:r w:rsidRPr="007E3F56">
        <w:rPr>
          <w:rFonts w:ascii="MS PMincho" w:eastAsia="MS PMincho" w:hAnsi="MS PMincho" w:hint="eastAsia"/>
          <w:b/>
        </w:rPr>
        <w:tab/>
      </w:r>
      <w:r w:rsidRPr="007E3F56">
        <w:rPr>
          <w:b/>
        </w:rPr>
        <w:t>Notwithstanding the transitional provisions above, Contracting Parties whose</w:t>
      </w:r>
      <w:r w:rsidRPr="007E3F56">
        <w:rPr>
          <w:rFonts w:hint="eastAsia"/>
          <w:b/>
        </w:rPr>
        <w:t xml:space="preserve"> </w:t>
      </w:r>
      <w:r w:rsidRPr="007E3F56">
        <w:rPr>
          <w:b/>
        </w:rPr>
        <w:t xml:space="preserve">application of </w:t>
      </w:r>
      <w:r w:rsidRPr="007E3F56">
        <w:rPr>
          <w:rFonts w:hint="eastAsia"/>
          <w:b/>
        </w:rPr>
        <w:t xml:space="preserve">this </w:t>
      </w:r>
      <w:r w:rsidRPr="007E3F56">
        <w:rPr>
          <w:b/>
        </w:rPr>
        <w:t>Regulation comes into force after the date of entry into force of</w:t>
      </w:r>
      <w:r w:rsidRPr="007E3F56">
        <w:rPr>
          <w:rFonts w:hint="eastAsia"/>
          <w:b/>
        </w:rPr>
        <w:t xml:space="preserve"> </w:t>
      </w:r>
      <w:r w:rsidRPr="007E3F56">
        <w:rPr>
          <w:b/>
        </w:rPr>
        <w:t xml:space="preserve">the </w:t>
      </w:r>
      <w:r w:rsidRPr="007E3F56">
        <w:rPr>
          <w:rFonts w:hint="eastAsia"/>
          <w:b/>
        </w:rPr>
        <w:t>03</w:t>
      </w:r>
      <w:r w:rsidRPr="007E3F56">
        <w:rPr>
          <w:b/>
        </w:rPr>
        <w:t xml:space="preserve"> series of amendments are not obliged to accept type approvals which were granted in accordance with any of the preceding series of amendments to this Regulation.</w:t>
      </w:r>
      <w:r w:rsidRPr="005D70F9">
        <w:t>"</w:t>
      </w:r>
      <w:r>
        <w:t xml:space="preserve"> </w:t>
      </w:r>
    </w:p>
    <w:p w:rsidR="00A5414C" w:rsidRPr="00FA7728" w:rsidRDefault="00A5414C" w:rsidP="00A5414C">
      <w:pPr>
        <w:pStyle w:val="HChG"/>
        <w:rPr>
          <w:lang w:val="en-US"/>
        </w:rPr>
      </w:pPr>
      <w:r w:rsidRPr="00FA7728">
        <w:rPr>
          <w:lang w:val="en-US"/>
        </w:rPr>
        <w:tab/>
        <w:t>II.</w:t>
      </w:r>
      <w:r w:rsidRPr="00FA7728">
        <w:rPr>
          <w:lang w:val="en-US"/>
        </w:rPr>
        <w:tab/>
        <w:t>Justification</w:t>
      </w:r>
    </w:p>
    <w:p w:rsidR="00FA7728" w:rsidRDefault="0002092A" w:rsidP="00181D7F">
      <w:pPr>
        <w:spacing w:before="120"/>
        <w:ind w:left="1134" w:right="1134"/>
        <w:jc w:val="both"/>
        <w:rPr>
          <w:lang w:val="en-US"/>
        </w:rPr>
      </w:pPr>
      <w:r>
        <w:rPr>
          <w:lang w:val="en-US"/>
        </w:rPr>
        <w:tab/>
      </w:r>
      <w:r w:rsidR="00EF7551" w:rsidRPr="00EF7551">
        <w:rPr>
          <w:lang w:val="en-US"/>
        </w:rPr>
        <w:t>The daytime running lamp (</w:t>
      </w:r>
      <w:r w:rsidR="00F72AE8">
        <w:rPr>
          <w:lang w:val="en-US"/>
        </w:rPr>
        <w:t>"</w:t>
      </w:r>
      <w:r w:rsidR="00EF7551" w:rsidRPr="00EF7551">
        <w:rPr>
          <w:lang w:val="en-US"/>
        </w:rPr>
        <w:t>DRL</w:t>
      </w:r>
      <w:r w:rsidR="00F72AE8">
        <w:rPr>
          <w:lang w:val="en-US"/>
        </w:rPr>
        <w:t>"</w:t>
      </w:r>
      <w:r w:rsidR="00EF7551" w:rsidRPr="00EF7551">
        <w:rPr>
          <w:lang w:val="en-US"/>
        </w:rPr>
        <w:t>) of motorcycle causes the glare since there is no requirement that the DRL shall be switched automatically to the headlamp at night. Accordingly, Japan proposes that the new requirement regarding automatic switching from the DRL to the headlamp is introduced into the Regulation No. 53 as with the Regulation No.</w:t>
      </w:r>
      <w:r w:rsidR="00F72AE8">
        <w:rPr>
          <w:lang w:val="en-US"/>
        </w:rPr>
        <w:t> </w:t>
      </w:r>
      <w:r w:rsidR="00EF7551" w:rsidRPr="00EF7551">
        <w:rPr>
          <w:lang w:val="en-US"/>
        </w:rPr>
        <w:t>48.</w:t>
      </w:r>
      <w:r w:rsidR="00FF2BE9" w:rsidRPr="00FF2BE9">
        <w:rPr>
          <w:lang w:val="en-US"/>
        </w:rPr>
        <w:t xml:space="preserve"> </w:t>
      </w:r>
    </w:p>
    <w:p w:rsidR="00181D7F" w:rsidRPr="00181D7F" w:rsidRDefault="00181D7F" w:rsidP="00181D7F">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181D7F" w:rsidRPr="00181D7F"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C2" w:rsidRDefault="003146C2"/>
  </w:endnote>
  <w:endnote w:type="continuationSeparator" w:id="0">
    <w:p w:rsidR="003146C2" w:rsidRDefault="003146C2"/>
  </w:endnote>
  <w:endnote w:type="continuationNotice" w:id="1">
    <w:p w:rsidR="003146C2" w:rsidRDefault="00314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Mincho">
    <w:altName w:val="ＭＳ Ｐ明朝"/>
    <w:panose1 w:val="02020600040205080304"/>
    <w:charset w:val="80"/>
    <w:family w:val="roma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7341E4">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370AD8">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EF7551">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3" w:rsidRDefault="00682D33" w:rsidP="00682D33">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82D33" w:rsidRDefault="00682D33" w:rsidP="00682D33">
    <w:pPr>
      <w:pStyle w:val="Footer"/>
      <w:ind w:right="1134"/>
      <w:rPr>
        <w:sz w:val="20"/>
      </w:rPr>
    </w:pPr>
    <w:r>
      <w:rPr>
        <w:sz w:val="20"/>
      </w:rPr>
      <w:t>GE.16-13943(E)</w:t>
    </w:r>
  </w:p>
  <w:p w:rsidR="00682D33" w:rsidRPr="00682D33" w:rsidRDefault="00682D33" w:rsidP="00682D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2" name="Picture 1" descr="http://undocs.org/m2/QRCode.ashx?DS=ECE/TRANS/WP.29/GRE/2016/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3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C2" w:rsidRPr="000B175B" w:rsidRDefault="003146C2" w:rsidP="000B175B">
      <w:pPr>
        <w:tabs>
          <w:tab w:val="right" w:pos="2155"/>
        </w:tabs>
        <w:spacing w:after="80"/>
        <w:ind w:left="680"/>
        <w:rPr>
          <w:u w:val="single"/>
        </w:rPr>
      </w:pPr>
      <w:r>
        <w:rPr>
          <w:u w:val="single"/>
        </w:rPr>
        <w:tab/>
      </w:r>
    </w:p>
  </w:footnote>
  <w:footnote w:type="continuationSeparator" w:id="0">
    <w:p w:rsidR="003146C2" w:rsidRPr="00FC68B7" w:rsidRDefault="003146C2" w:rsidP="00FC68B7">
      <w:pPr>
        <w:tabs>
          <w:tab w:val="left" w:pos="2155"/>
        </w:tabs>
        <w:spacing w:after="80"/>
        <w:ind w:left="680"/>
        <w:rPr>
          <w:u w:val="single"/>
        </w:rPr>
      </w:pPr>
      <w:r>
        <w:rPr>
          <w:u w:val="single"/>
        </w:rPr>
        <w:tab/>
      </w:r>
    </w:p>
  </w:footnote>
  <w:footnote w:type="continuationNotice" w:id="1">
    <w:p w:rsidR="003146C2" w:rsidRDefault="003146C2"/>
  </w:footnote>
  <w:footnote w:id="2">
    <w:p w:rsidR="00F91276" w:rsidRPr="00253584" w:rsidRDefault="00F91276" w:rsidP="00F91276">
      <w:pPr>
        <w:pStyle w:val="FootnoteText"/>
        <w:rPr>
          <w:rStyle w:val="FootnoteReference"/>
          <w:szCs w:val="18"/>
          <w:vertAlign w:val="baseline"/>
          <w:lang w:val="en-US"/>
        </w:rPr>
      </w:pPr>
      <w:r w:rsidRPr="00253584">
        <w:rPr>
          <w:rStyle w:val="FootnoteReference"/>
          <w:szCs w:val="18"/>
          <w:vertAlign w:val="baseline"/>
          <w:lang w:val="en-US"/>
        </w:rPr>
        <w:tab/>
        <w:t>*</w:t>
      </w:r>
      <w:r w:rsidRPr="00253584">
        <w:rPr>
          <w:rStyle w:val="FootnoteReference"/>
          <w:szCs w:val="18"/>
          <w:vertAlign w:val="baseline"/>
          <w:lang w:val="en-US"/>
        </w:rPr>
        <w:tab/>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A16D8C">
      <w:t>6</w:t>
    </w:r>
    <w:r w:rsidR="00802922">
      <w:t>/</w:t>
    </w:r>
    <w:r w:rsidR="00FF2BE9">
      <w:t>3</w:t>
    </w:r>
    <w:r w:rsidR="00235F72">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370AD8">
    <w:pPr>
      <w:pStyle w:val="Header"/>
      <w:jc w:val="right"/>
    </w:pPr>
    <w:r w:rsidRPr="00370AD8">
      <w:t>ECE/TRANS/WP.29/GRE/</w:t>
    </w:r>
    <w:r w:rsidR="00802922">
      <w:t>2016/</w:t>
    </w:r>
    <w:r w:rsidR="00235F72">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8">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1"/>
  </w:num>
  <w:num w:numId="15">
    <w:abstractNumId w:val="22"/>
  </w:num>
  <w:num w:numId="16">
    <w:abstractNumId w:val="10"/>
  </w:num>
  <w:num w:numId="17">
    <w:abstractNumId w:val="15"/>
  </w:num>
  <w:num w:numId="18">
    <w:abstractNumId w:val="18"/>
  </w:num>
  <w:num w:numId="19">
    <w:abstractNumId w:val="11"/>
  </w:num>
  <w:num w:numId="20">
    <w:abstractNumId w:val="16"/>
  </w:num>
  <w:num w:numId="21">
    <w:abstractNumId w:val="23"/>
  </w:num>
  <w:num w:numId="22">
    <w:abstractNumId w:val="1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2092A"/>
    <w:rsid w:val="00023F66"/>
    <w:rsid w:val="0003056C"/>
    <w:rsid w:val="000348D3"/>
    <w:rsid w:val="0003791F"/>
    <w:rsid w:val="000444B6"/>
    <w:rsid w:val="00046B1F"/>
    <w:rsid w:val="00050F6B"/>
    <w:rsid w:val="00052635"/>
    <w:rsid w:val="00057E97"/>
    <w:rsid w:val="000646F4"/>
    <w:rsid w:val="00072C8C"/>
    <w:rsid w:val="000733B5"/>
    <w:rsid w:val="00081815"/>
    <w:rsid w:val="00092169"/>
    <w:rsid w:val="000931C0"/>
    <w:rsid w:val="00096FFF"/>
    <w:rsid w:val="0009718F"/>
    <w:rsid w:val="000B0595"/>
    <w:rsid w:val="000B144E"/>
    <w:rsid w:val="000B175B"/>
    <w:rsid w:val="000B2F02"/>
    <w:rsid w:val="000B3A0F"/>
    <w:rsid w:val="000B4EF7"/>
    <w:rsid w:val="000C2138"/>
    <w:rsid w:val="000C2C03"/>
    <w:rsid w:val="000C2D2E"/>
    <w:rsid w:val="000E0415"/>
    <w:rsid w:val="000F431B"/>
    <w:rsid w:val="001078D2"/>
    <w:rsid w:val="001103AA"/>
    <w:rsid w:val="0011666B"/>
    <w:rsid w:val="00124000"/>
    <w:rsid w:val="0013722F"/>
    <w:rsid w:val="0014380B"/>
    <w:rsid w:val="00150388"/>
    <w:rsid w:val="00157FE9"/>
    <w:rsid w:val="0016538B"/>
    <w:rsid w:val="00165F3A"/>
    <w:rsid w:val="00181198"/>
    <w:rsid w:val="00181D7F"/>
    <w:rsid w:val="00182290"/>
    <w:rsid w:val="001A3955"/>
    <w:rsid w:val="001B4B04"/>
    <w:rsid w:val="001C6663"/>
    <w:rsid w:val="001C7895"/>
    <w:rsid w:val="001D0C8C"/>
    <w:rsid w:val="001D10DE"/>
    <w:rsid w:val="001D1419"/>
    <w:rsid w:val="001D26DF"/>
    <w:rsid w:val="001D3A03"/>
    <w:rsid w:val="001E7B67"/>
    <w:rsid w:val="00202DA8"/>
    <w:rsid w:val="00204AD6"/>
    <w:rsid w:val="00210A69"/>
    <w:rsid w:val="00211E0B"/>
    <w:rsid w:val="00235F72"/>
    <w:rsid w:val="0024772E"/>
    <w:rsid w:val="00253714"/>
    <w:rsid w:val="002546AE"/>
    <w:rsid w:val="002608F3"/>
    <w:rsid w:val="00267F5F"/>
    <w:rsid w:val="00275800"/>
    <w:rsid w:val="00283697"/>
    <w:rsid w:val="00286B4D"/>
    <w:rsid w:val="0029109B"/>
    <w:rsid w:val="002A6754"/>
    <w:rsid w:val="002B1DCA"/>
    <w:rsid w:val="002D4643"/>
    <w:rsid w:val="002E4D76"/>
    <w:rsid w:val="002F175C"/>
    <w:rsid w:val="002F6994"/>
    <w:rsid w:val="002F7DE0"/>
    <w:rsid w:val="00302E18"/>
    <w:rsid w:val="003125E1"/>
    <w:rsid w:val="003146C2"/>
    <w:rsid w:val="003229D8"/>
    <w:rsid w:val="00340057"/>
    <w:rsid w:val="00346D03"/>
    <w:rsid w:val="00352709"/>
    <w:rsid w:val="00354371"/>
    <w:rsid w:val="003619B5"/>
    <w:rsid w:val="00361AC3"/>
    <w:rsid w:val="00365763"/>
    <w:rsid w:val="0036599E"/>
    <w:rsid w:val="00370AD8"/>
    <w:rsid w:val="00371178"/>
    <w:rsid w:val="00371CD4"/>
    <w:rsid w:val="00392E47"/>
    <w:rsid w:val="003936BC"/>
    <w:rsid w:val="003A3EE9"/>
    <w:rsid w:val="003A6810"/>
    <w:rsid w:val="003B7411"/>
    <w:rsid w:val="003C2CC4"/>
    <w:rsid w:val="003C534D"/>
    <w:rsid w:val="003D4B23"/>
    <w:rsid w:val="003D723C"/>
    <w:rsid w:val="003E130E"/>
    <w:rsid w:val="003E1EC6"/>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53556"/>
    <w:rsid w:val="0045495B"/>
    <w:rsid w:val="004561E5"/>
    <w:rsid w:val="00462DC9"/>
    <w:rsid w:val="00467628"/>
    <w:rsid w:val="004833EE"/>
    <w:rsid w:val="0048397A"/>
    <w:rsid w:val="00485CBB"/>
    <w:rsid w:val="004866B7"/>
    <w:rsid w:val="004A1587"/>
    <w:rsid w:val="004C0081"/>
    <w:rsid w:val="004C2461"/>
    <w:rsid w:val="004C7462"/>
    <w:rsid w:val="004D127C"/>
    <w:rsid w:val="004E3D0B"/>
    <w:rsid w:val="004E77B2"/>
    <w:rsid w:val="005000A9"/>
    <w:rsid w:val="00501DC3"/>
    <w:rsid w:val="0050237E"/>
    <w:rsid w:val="00504B2D"/>
    <w:rsid w:val="0052136D"/>
    <w:rsid w:val="0052775E"/>
    <w:rsid w:val="005369ED"/>
    <w:rsid w:val="005420F2"/>
    <w:rsid w:val="0056209A"/>
    <w:rsid w:val="005628B6"/>
    <w:rsid w:val="00585059"/>
    <w:rsid w:val="00590860"/>
    <w:rsid w:val="005908FB"/>
    <w:rsid w:val="005941EC"/>
    <w:rsid w:val="0059724D"/>
    <w:rsid w:val="005A4616"/>
    <w:rsid w:val="005B320C"/>
    <w:rsid w:val="005B3DB3"/>
    <w:rsid w:val="005B4E13"/>
    <w:rsid w:val="005C342F"/>
    <w:rsid w:val="005C7D1E"/>
    <w:rsid w:val="005D67C8"/>
    <w:rsid w:val="005E1BC9"/>
    <w:rsid w:val="005F1A80"/>
    <w:rsid w:val="005F5FE0"/>
    <w:rsid w:val="005F7B75"/>
    <w:rsid w:val="006001EE"/>
    <w:rsid w:val="00605042"/>
    <w:rsid w:val="00611FC4"/>
    <w:rsid w:val="00613812"/>
    <w:rsid w:val="006176FB"/>
    <w:rsid w:val="0062385B"/>
    <w:rsid w:val="00640B26"/>
    <w:rsid w:val="0065137A"/>
    <w:rsid w:val="00652D0A"/>
    <w:rsid w:val="00662BB6"/>
    <w:rsid w:val="00671B51"/>
    <w:rsid w:val="00672A48"/>
    <w:rsid w:val="00672F8A"/>
    <w:rsid w:val="0067362F"/>
    <w:rsid w:val="0067398C"/>
    <w:rsid w:val="00676606"/>
    <w:rsid w:val="00677A28"/>
    <w:rsid w:val="0068000A"/>
    <w:rsid w:val="006810B6"/>
    <w:rsid w:val="00682D33"/>
    <w:rsid w:val="00684C21"/>
    <w:rsid w:val="00695CEC"/>
    <w:rsid w:val="006A2530"/>
    <w:rsid w:val="006B1C59"/>
    <w:rsid w:val="006C3589"/>
    <w:rsid w:val="006C3888"/>
    <w:rsid w:val="006C79BC"/>
    <w:rsid w:val="006D37AF"/>
    <w:rsid w:val="006D51D0"/>
    <w:rsid w:val="006D5FB9"/>
    <w:rsid w:val="006D658E"/>
    <w:rsid w:val="006D66AF"/>
    <w:rsid w:val="006E564B"/>
    <w:rsid w:val="006E7191"/>
    <w:rsid w:val="00703577"/>
    <w:rsid w:val="00705894"/>
    <w:rsid w:val="007067AC"/>
    <w:rsid w:val="00724B93"/>
    <w:rsid w:val="00725A44"/>
    <w:rsid w:val="0072632A"/>
    <w:rsid w:val="007327D5"/>
    <w:rsid w:val="00733B05"/>
    <w:rsid w:val="007341E4"/>
    <w:rsid w:val="00753AF2"/>
    <w:rsid w:val="00761394"/>
    <w:rsid w:val="007629C8"/>
    <w:rsid w:val="0077047D"/>
    <w:rsid w:val="00775F3E"/>
    <w:rsid w:val="007874B5"/>
    <w:rsid w:val="00787EE8"/>
    <w:rsid w:val="0079032E"/>
    <w:rsid w:val="00796214"/>
    <w:rsid w:val="007A1E70"/>
    <w:rsid w:val="007A3977"/>
    <w:rsid w:val="007B6BA5"/>
    <w:rsid w:val="007C3390"/>
    <w:rsid w:val="007C3745"/>
    <w:rsid w:val="007C4F4B"/>
    <w:rsid w:val="007C5C67"/>
    <w:rsid w:val="007D25AB"/>
    <w:rsid w:val="007E01E9"/>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50150"/>
    <w:rsid w:val="0085595A"/>
    <w:rsid w:val="00864245"/>
    <w:rsid w:val="00865AB3"/>
    <w:rsid w:val="008679D9"/>
    <w:rsid w:val="00872E3B"/>
    <w:rsid w:val="008878DE"/>
    <w:rsid w:val="008928C6"/>
    <w:rsid w:val="00894E11"/>
    <w:rsid w:val="008979B1"/>
    <w:rsid w:val="008A1ED5"/>
    <w:rsid w:val="008A6B25"/>
    <w:rsid w:val="008A6C4F"/>
    <w:rsid w:val="008B0563"/>
    <w:rsid w:val="008B2335"/>
    <w:rsid w:val="008B2E36"/>
    <w:rsid w:val="008C2428"/>
    <w:rsid w:val="008C3247"/>
    <w:rsid w:val="008E0334"/>
    <w:rsid w:val="008E0678"/>
    <w:rsid w:val="008F31D2"/>
    <w:rsid w:val="008F3206"/>
    <w:rsid w:val="008F4D20"/>
    <w:rsid w:val="009130D3"/>
    <w:rsid w:val="00915EF6"/>
    <w:rsid w:val="00921D1C"/>
    <w:rsid w:val="009223CA"/>
    <w:rsid w:val="00930A10"/>
    <w:rsid w:val="00931395"/>
    <w:rsid w:val="00934631"/>
    <w:rsid w:val="00940F93"/>
    <w:rsid w:val="009448C3"/>
    <w:rsid w:val="00960F75"/>
    <w:rsid w:val="009760F3"/>
    <w:rsid w:val="00976CFB"/>
    <w:rsid w:val="00980087"/>
    <w:rsid w:val="009A0830"/>
    <w:rsid w:val="009A0E8D"/>
    <w:rsid w:val="009B26E7"/>
    <w:rsid w:val="009B2F79"/>
    <w:rsid w:val="009B3273"/>
    <w:rsid w:val="009B544C"/>
    <w:rsid w:val="009B6278"/>
    <w:rsid w:val="009B64BB"/>
    <w:rsid w:val="009E567A"/>
    <w:rsid w:val="009F5012"/>
    <w:rsid w:val="00A00697"/>
    <w:rsid w:val="00A00A3F"/>
    <w:rsid w:val="00A01205"/>
    <w:rsid w:val="00A01489"/>
    <w:rsid w:val="00A02FA2"/>
    <w:rsid w:val="00A14E80"/>
    <w:rsid w:val="00A16D8C"/>
    <w:rsid w:val="00A238BB"/>
    <w:rsid w:val="00A3026E"/>
    <w:rsid w:val="00A33778"/>
    <w:rsid w:val="00A338F1"/>
    <w:rsid w:val="00A35BE0"/>
    <w:rsid w:val="00A369D1"/>
    <w:rsid w:val="00A5414C"/>
    <w:rsid w:val="00A56580"/>
    <w:rsid w:val="00A6129C"/>
    <w:rsid w:val="00A72F22"/>
    <w:rsid w:val="00A7360F"/>
    <w:rsid w:val="00A7397C"/>
    <w:rsid w:val="00A748A6"/>
    <w:rsid w:val="00A7693C"/>
    <w:rsid w:val="00A769F4"/>
    <w:rsid w:val="00A776B4"/>
    <w:rsid w:val="00A85BCD"/>
    <w:rsid w:val="00A91E4C"/>
    <w:rsid w:val="00A94361"/>
    <w:rsid w:val="00AA11D6"/>
    <w:rsid w:val="00AA293C"/>
    <w:rsid w:val="00AC02C5"/>
    <w:rsid w:val="00AD74C4"/>
    <w:rsid w:val="00B049A8"/>
    <w:rsid w:val="00B1029C"/>
    <w:rsid w:val="00B226AA"/>
    <w:rsid w:val="00B30179"/>
    <w:rsid w:val="00B30622"/>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0F33"/>
    <w:rsid w:val="00B81206"/>
    <w:rsid w:val="00B81E12"/>
    <w:rsid w:val="00B82B24"/>
    <w:rsid w:val="00B92D66"/>
    <w:rsid w:val="00B9759F"/>
    <w:rsid w:val="00BB578F"/>
    <w:rsid w:val="00BC3F3B"/>
    <w:rsid w:val="00BC3FA0"/>
    <w:rsid w:val="00BC74E9"/>
    <w:rsid w:val="00BE48EA"/>
    <w:rsid w:val="00BF1E2C"/>
    <w:rsid w:val="00BF30B3"/>
    <w:rsid w:val="00BF43C8"/>
    <w:rsid w:val="00BF68A8"/>
    <w:rsid w:val="00C11A03"/>
    <w:rsid w:val="00C22C0C"/>
    <w:rsid w:val="00C37074"/>
    <w:rsid w:val="00C4527F"/>
    <w:rsid w:val="00C463DD"/>
    <w:rsid w:val="00C4724C"/>
    <w:rsid w:val="00C60646"/>
    <w:rsid w:val="00C629A0"/>
    <w:rsid w:val="00C64629"/>
    <w:rsid w:val="00C71096"/>
    <w:rsid w:val="00C745C3"/>
    <w:rsid w:val="00C91C1C"/>
    <w:rsid w:val="00C94F10"/>
    <w:rsid w:val="00C96DF2"/>
    <w:rsid w:val="00CA1B34"/>
    <w:rsid w:val="00CB3E03"/>
    <w:rsid w:val="00CD4AA6"/>
    <w:rsid w:val="00CE4A8F"/>
    <w:rsid w:val="00D041DD"/>
    <w:rsid w:val="00D0711A"/>
    <w:rsid w:val="00D149F6"/>
    <w:rsid w:val="00D2031B"/>
    <w:rsid w:val="00D248B6"/>
    <w:rsid w:val="00D25FE2"/>
    <w:rsid w:val="00D26E07"/>
    <w:rsid w:val="00D43252"/>
    <w:rsid w:val="00D44783"/>
    <w:rsid w:val="00D452D8"/>
    <w:rsid w:val="00D47EEA"/>
    <w:rsid w:val="00D57C02"/>
    <w:rsid w:val="00D611E6"/>
    <w:rsid w:val="00D70480"/>
    <w:rsid w:val="00D773DF"/>
    <w:rsid w:val="00D90E39"/>
    <w:rsid w:val="00D95303"/>
    <w:rsid w:val="00D978C6"/>
    <w:rsid w:val="00DA0640"/>
    <w:rsid w:val="00DA3C1C"/>
    <w:rsid w:val="00DB1EDC"/>
    <w:rsid w:val="00DC64E9"/>
    <w:rsid w:val="00DC6D39"/>
    <w:rsid w:val="00DE106E"/>
    <w:rsid w:val="00E00F5C"/>
    <w:rsid w:val="00E046DF"/>
    <w:rsid w:val="00E1086D"/>
    <w:rsid w:val="00E14EAE"/>
    <w:rsid w:val="00E22B0C"/>
    <w:rsid w:val="00E27346"/>
    <w:rsid w:val="00E3469A"/>
    <w:rsid w:val="00E40A45"/>
    <w:rsid w:val="00E465DB"/>
    <w:rsid w:val="00E560CA"/>
    <w:rsid w:val="00E71BC8"/>
    <w:rsid w:val="00E7260F"/>
    <w:rsid w:val="00E73F5D"/>
    <w:rsid w:val="00E77E4E"/>
    <w:rsid w:val="00E96630"/>
    <w:rsid w:val="00EA2A77"/>
    <w:rsid w:val="00EA5A18"/>
    <w:rsid w:val="00ED7A2A"/>
    <w:rsid w:val="00EE16EC"/>
    <w:rsid w:val="00EF1D7F"/>
    <w:rsid w:val="00EF7551"/>
    <w:rsid w:val="00F0093F"/>
    <w:rsid w:val="00F12AF0"/>
    <w:rsid w:val="00F16068"/>
    <w:rsid w:val="00F31E5F"/>
    <w:rsid w:val="00F36B56"/>
    <w:rsid w:val="00F6100A"/>
    <w:rsid w:val="00F72AE8"/>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F589F-FDF0-4F3D-AC17-0CA9F4CF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538</Words>
  <Characters>3071</Characters>
  <Application>Microsoft Office Word</Application>
  <DocSecurity>4</DocSecurity>
  <Lines>25</Lines>
  <Paragraphs>7</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1613943</vt:lpstr>
      <vt:lpstr>United Nations</vt:lpstr>
      <vt:lpstr>United Nations</vt:lpstr>
    </vt:vector>
  </TitlesOfParts>
  <Company>CSD</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1613943</dc:title>
  <dc:subject>ECE/TRANS/WP.29/GRE/2016/35</dc:subject>
  <dc:creator>GTB;Francois Guichard</dc:creator>
  <cp:lastModifiedBy>Benedicte Boudol</cp:lastModifiedBy>
  <cp:revision>2</cp:revision>
  <cp:lastPrinted>2016-08-08T15:46:00Z</cp:lastPrinted>
  <dcterms:created xsi:type="dcterms:W3CDTF">2016-09-07T07:11:00Z</dcterms:created>
  <dcterms:modified xsi:type="dcterms:W3CDTF">2016-09-07T07:11:00Z</dcterms:modified>
</cp:coreProperties>
</file>