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7A565F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65137A">
              <w:t>2</w:t>
            </w:r>
            <w:r w:rsidR="007A565F">
              <w:t>6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7A565F" w:rsidP="006D66AF">
            <w:pPr>
              <w:spacing w:line="240" w:lineRule="exact"/>
            </w:pPr>
            <w:r>
              <w:t>9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7A565F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7A565F">
        <w:rPr>
          <w:bCs/>
        </w:rPr>
        <w:t xml:space="preserve">5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7A565F" w:rsidRPr="007A565F">
        <w:rPr>
          <w:b/>
          <w:bCs/>
        </w:rPr>
        <w:t xml:space="preserve">Regulations Nos. 37 (Filament lamps), 99 (Gas discharge light sources) </w:t>
      </w:r>
    </w:p>
    <w:p w:rsidR="0036599E" w:rsidRDefault="007A565F" w:rsidP="0036599E">
      <w:pPr>
        <w:ind w:right="1134"/>
        <w:rPr>
          <w:b/>
          <w:bCs/>
        </w:rPr>
      </w:pPr>
      <w:r w:rsidRPr="007A565F">
        <w:rPr>
          <w:b/>
          <w:bCs/>
        </w:rPr>
        <w:t>and 128 (Light emitting diodes light sources)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7A565F" w:rsidRPr="007A565F">
        <w:rPr>
          <w:lang w:val="en-US"/>
        </w:rPr>
        <w:t xml:space="preserve">Proposal for Supplement 13 to the original series of amendments to Regulation No. 99 (Gas </w:t>
      </w:r>
      <w:r w:rsidR="007A565F">
        <w:rPr>
          <w:lang w:val="en-US"/>
        </w:rPr>
        <w:t>d</w:t>
      </w:r>
      <w:r w:rsidR="007A565F" w:rsidRPr="007A565F">
        <w:rPr>
          <w:lang w:val="en-US"/>
        </w:rPr>
        <w:t xml:space="preserve">ischarge </w:t>
      </w:r>
      <w:r w:rsidR="007A565F">
        <w:rPr>
          <w:lang w:val="en-US"/>
        </w:rPr>
        <w:t>l</w:t>
      </w:r>
      <w:r w:rsidR="007A565F" w:rsidRPr="007A565F">
        <w:rPr>
          <w:lang w:val="en-US"/>
        </w:rPr>
        <w:t xml:space="preserve">ight </w:t>
      </w:r>
      <w:r w:rsidR="007A565F">
        <w:rPr>
          <w:lang w:val="en-US"/>
        </w:rPr>
        <w:t>s</w:t>
      </w:r>
      <w:r w:rsidR="007A565F" w:rsidRPr="007A565F">
        <w:rPr>
          <w:lang w:val="en-US"/>
        </w:rPr>
        <w:t>ources)</w:t>
      </w:r>
      <w:r w:rsidR="007A565F">
        <w:rPr>
          <w:lang w:val="en-US"/>
        </w:rPr>
        <w:t xml:space="preserve"> </w:t>
      </w:r>
    </w:p>
    <w:p w:rsidR="00F91276" w:rsidRPr="004D1FAA" w:rsidRDefault="00F91276" w:rsidP="00FF2BE9">
      <w:pPr>
        <w:pStyle w:val="H1G"/>
        <w:ind w:firstLine="0"/>
      </w:pPr>
      <w:r w:rsidRPr="004D1FAA">
        <w:t>Submitted by the expert from the International Automotive Lighting and Light Signalling Expert Group (GTB)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275800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75800">
        <w:rPr>
          <w:rFonts w:eastAsia="Calibri"/>
        </w:rPr>
        <w:t xml:space="preserve">The text reproduced below was prepared by the expert from GTB to </w:t>
      </w:r>
      <w:r w:rsidR="007A565F" w:rsidRPr="007A565F">
        <w:rPr>
          <w:rFonts w:eastAsia="Calibri"/>
        </w:rPr>
        <w:t>clarify provisions in Regulation No. 99 for testing of the run-up of dual level gas-discharge light sources.</w:t>
      </w:r>
      <w:r w:rsidR="007A565F">
        <w:rPr>
          <w:rFonts w:eastAsia="Calibri"/>
        </w:rPr>
        <w:t xml:space="preserve"> </w:t>
      </w:r>
      <w:r w:rsidRPr="00275800">
        <w:rPr>
          <w:rFonts w:eastAsia="Calibri"/>
        </w:rPr>
        <w:t>The modifications to the existing text of the Regulation are marked in bold for new or strikethrough for deleted characters.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585059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9E5F77">
        <w:rPr>
          <w:lang w:val="en-US"/>
        </w:rPr>
        <w:t>Proposal</w:t>
      </w:r>
    </w:p>
    <w:p w:rsidR="007A565F" w:rsidRPr="003B52C4" w:rsidRDefault="007A565F" w:rsidP="007A565F">
      <w:pPr>
        <w:spacing w:after="120"/>
        <w:ind w:left="1134" w:right="1134"/>
        <w:jc w:val="both"/>
      </w:pPr>
      <w:r w:rsidRPr="003B52C4">
        <w:rPr>
          <w:i/>
        </w:rPr>
        <w:t>Paragraph 3.6.2.,</w:t>
      </w:r>
      <w:r w:rsidRPr="003B52C4">
        <w:t xml:space="preserve"> amend to read:</w:t>
      </w:r>
    </w:p>
    <w:p w:rsidR="007A565F" w:rsidRPr="003B52C4" w:rsidRDefault="007A565F" w:rsidP="007A565F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"3.6.2.</w:t>
      </w:r>
      <w:r w:rsidRPr="003B52C4">
        <w:rPr>
          <w:lang w:val="en-US" w:eastAsia="en-GB"/>
        </w:rPr>
        <w:tab/>
        <w:t>Run-up</w:t>
      </w:r>
    </w:p>
    <w:p w:rsidR="007A565F" w:rsidRPr="003B52C4" w:rsidRDefault="007A565F" w:rsidP="007A565F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3.6.2.1.</w:t>
      </w:r>
      <w:r w:rsidRPr="003B52C4">
        <w:rPr>
          <w:lang w:val="en-US" w:eastAsia="en-GB"/>
        </w:rPr>
        <w:tab/>
        <w:t>For gas-discharge light sources having an objective luminous flux which exceeds 2</w:t>
      </w:r>
      <w:r w:rsidR="009003AC">
        <w:rPr>
          <w:lang w:val="en-US" w:eastAsia="en-GB"/>
        </w:rPr>
        <w:t>,</w:t>
      </w:r>
      <w:r w:rsidRPr="003B52C4">
        <w:rPr>
          <w:lang w:val="en-US" w:eastAsia="en-GB"/>
        </w:rPr>
        <w:t>000 lm:</w:t>
      </w:r>
    </w:p>
    <w:p w:rsidR="007A565F" w:rsidRPr="003B52C4" w:rsidRDefault="007A565F" w:rsidP="007A565F">
      <w:pPr>
        <w:spacing w:after="120"/>
        <w:ind w:left="2259" w:right="1134"/>
        <w:jc w:val="both"/>
        <w:rPr>
          <w:lang w:val="en-US" w:eastAsia="en-GB"/>
        </w:rPr>
      </w:pPr>
      <w:r w:rsidRPr="003B52C4"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 shall emit at least:</w:t>
      </w:r>
    </w:p>
    <w:p w:rsidR="007A565F" w:rsidRPr="00516207" w:rsidRDefault="007A565F" w:rsidP="007A565F">
      <w:pPr>
        <w:spacing w:after="80"/>
        <w:ind w:left="2257" w:right="1134"/>
        <w:jc w:val="both"/>
        <w:rPr>
          <w:lang w:val="en-US"/>
        </w:rPr>
      </w:pPr>
      <w:r w:rsidRPr="00516207">
        <w:t>After</w:t>
      </w:r>
      <w:r w:rsidRPr="00516207">
        <w:rPr>
          <w:lang w:val="en-US"/>
        </w:rPr>
        <w:t xml:space="preserve"> 1 second: 25 per cent of its objective luminous flux;</w:t>
      </w:r>
    </w:p>
    <w:p w:rsidR="007A565F" w:rsidRPr="00516207" w:rsidRDefault="007A565F" w:rsidP="007A565F">
      <w:pPr>
        <w:spacing w:after="80"/>
        <w:ind w:left="2257" w:right="1134"/>
        <w:jc w:val="both"/>
        <w:rPr>
          <w:lang w:val="en-US"/>
        </w:rPr>
      </w:pPr>
      <w:r w:rsidRPr="00516207">
        <w:t>After</w:t>
      </w:r>
      <w:r w:rsidRPr="00516207">
        <w:rPr>
          <w:lang w:val="en-US"/>
        </w:rPr>
        <w:t xml:space="preserve"> 4 seconds: 80 per cent of its objective luminous flux.</w:t>
      </w:r>
    </w:p>
    <w:p w:rsidR="007A565F" w:rsidRPr="003B52C4" w:rsidRDefault="007A565F" w:rsidP="007A565F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 xml:space="preserve">The </w:t>
      </w:r>
      <w:r w:rsidRPr="003B52C4">
        <w:t>objective</w:t>
      </w:r>
      <w:r w:rsidRPr="003B52C4">
        <w:rPr>
          <w:lang w:val="en-US" w:eastAsia="en-GB"/>
        </w:rPr>
        <w:t xml:space="preserve"> luminous flux as indicated on the relevant data sheet.</w:t>
      </w:r>
    </w:p>
    <w:p w:rsidR="007A565F" w:rsidRPr="003B52C4" w:rsidRDefault="007A565F" w:rsidP="007A565F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3.6.2.2.</w:t>
      </w:r>
      <w:r w:rsidRPr="003B52C4">
        <w:rPr>
          <w:lang w:val="en-US" w:eastAsia="en-GB"/>
        </w:rPr>
        <w:tab/>
        <w:t>For gas-discharge light sources having an objective luminous flux which does not exceed 2</w:t>
      </w:r>
      <w:r w:rsidR="00031F39">
        <w:rPr>
          <w:lang w:val="en-US" w:eastAsia="en-GB"/>
        </w:rPr>
        <w:t>,</w:t>
      </w:r>
      <w:r w:rsidRPr="003B52C4">
        <w:rPr>
          <w:lang w:val="en-US" w:eastAsia="en-GB"/>
        </w:rPr>
        <w:t>000 lm and does not contain black stripes:</w:t>
      </w:r>
    </w:p>
    <w:p w:rsidR="007A565F" w:rsidRPr="003B52C4" w:rsidRDefault="007A565F" w:rsidP="007A565F">
      <w:pPr>
        <w:spacing w:after="80"/>
        <w:ind w:left="2257" w:right="1134"/>
        <w:jc w:val="both"/>
        <w:rPr>
          <w:lang w:val="en-US" w:eastAsia="en-GB"/>
        </w:rPr>
      </w:pPr>
      <w:r w:rsidRPr="003B52C4"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sources shall emit at least 800 lm after 1 second and at least 1</w:t>
      </w:r>
      <w:r w:rsidR="00031F39">
        <w:rPr>
          <w:lang w:val="en-US" w:eastAsia="en-GB"/>
        </w:rPr>
        <w:t>,</w:t>
      </w:r>
      <w:r w:rsidRPr="003B52C4">
        <w:rPr>
          <w:lang w:val="en-US" w:eastAsia="en-GB"/>
        </w:rPr>
        <w:t>000 lm after 4 seconds.</w:t>
      </w:r>
    </w:p>
    <w:p w:rsidR="007A565F" w:rsidRPr="003B52C4" w:rsidRDefault="007A565F" w:rsidP="007A565F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>The objective luminous flux as indicated on the relevant data sheet.</w:t>
      </w:r>
    </w:p>
    <w:p w:rsidR="007A565F" w:rsidRPr="003B52C4" w:rsidRDefault="007A565F" w:rsidP="007A565F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b/>
          <w:lang w:val="en-US" w:eastAsia="en-GB"/>
        </w:rPr>
        <w:t>3.6.2.3.</w:t>
      </w:r>
      <w:r w:rsidRPr="003B52C4">
        <w:rPr>
          <w:b/>
          <w:lang w:val="en-US" w:eastAsia="en-GB"/>
        </w:rPr>
        <w:tab/>
      </w:r>
      <w:r w:rsidRPr="003B52C4">
        <w:rPr>
          <w:lang w:val="en-US" w:eastAsia="en-GB"/>
        </w:rPr>
        <w:t>For gas-discharge light sources having an objective luminous flux which does not exceed 2</w:t>
      </w:r>
      <w:r w:rsidR="00031F39">
        <w:rPr>
          <w:lang w:val="en-US" w:eastAsia="en-GB"/>
        </w:rPr>
        <w:t>,</w:t>
      </w:r>
      <w:r w:rsidRPr="003B52C4">
        <w:rPr>
          <w:lang w:val="en-US" w:eastAsia="en-GB"/>
        </w:rPr>
        <w:t>000 lm but does contain black stripes:</w:t>
      </w:r>
    </w:p>
    <w:p w:rsidR="007A565F" w:rsidRPr="003B52C4" w:rsidRDefault="007A565F" w:rsidP="007A565F">
      <w:pPr>
        <w:spacing w:after="120"/>
        <w:ind w:left="2259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>When measured according to the conditions specified in Annex 4, the gas-discharge light sources shall emit at least 700</w:t>
      </w:r>
      <w:r w:rsidR="00031F39">
        <w:rPr>
          <w:lang w:val="en-US" w:eastAsia="en-GB"/>
        </w:rPr>
        <w:t xml:space="preserve"> </w:t>
      </w:r>
      <w:r w:rsidRPr="003B52C4">
        <w:rPr>
          <w:lang w:val="en-US" w:eastAsia="en-GB"/>
        </w:rPr>
        <w:t>lm after 1 second and at least 900</w:t>
      </w:r>
      <w:r w:rsidR="00031F39">
        <w:rPr>
          <w:lang w:val="en-US" w:eastAsia="en-GB"/>
        </w:rPr>
        <w:t xml:space="preserve"> </w:t>
      </w:r>
      <w:r w:rsidRPr="003B52C4">
        <w:rPr>
          <w:lang w:val="en-US" w:eastAsia="en-GB"/>
        </w:rPr>
        <w:t>lm after 4 seconds.</w:t>
      </w:r>
    </w:p>
    <w:p w:rsidR="007A565F" w:rsidRPr="003B52C4" w:rsidRDefault="007A565F" w:rsidP="007A565F">
      <w:pPr>
        <w:spacing w:after="120"/>
        <w:ind w:left="2259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>The objective luminous flux as indicated on the relevant data sheet</w:t>
      </w:r>
    </w:p>
    <w:p w:rsidR="007A565F" w:rsidRPr="003B52C4" w:rsidRDefault="007A565F" w:rsidP="007A565F">
      <w:pPr>
        <w:spacing w:after="120"/>
        <w:ind w:left="2259" w:right="1134" w:hanging="1125"/>
        <w:jc w:val="both"/>
        <w:rPr>
          <w:b/>
          <w:lang w:val="en-US" w:eastAsia="en-GB"/>
        </w:rPr>
      </w:pPr>
      <w:r w:rsidRPr="003B52C4">
        <w:rPr>
          <w:b/>
          <w:lang w:val="en-US" w:eastAsia="en-GB"/>
        </w:rPr>
        <w:t>3.6.2.4.</w:t>
      </w:r>
      <w:r w:rsidRPr="003B52C4">
        <w:rPr>
          <w:b/>
          <w:lang w:val="en-US" w:eastAsia="en-GB"/>
        </w:rPr>
        <w:tab/>
        <w:t xml:space="preserve">For gas-discharge light sources having more than one objective luminous </w:t>
      </w:r>
      <w:r>
        <w:rPr>
          <w:b/>
          <w:lang w:val="en-US" w:eastAsia="en-GB"/>
        </w:rPr>
        <w:t>f</w:t>
      </w:r>
      <w:r w:rsidRPr="003B52C4">
        <w:rPr>
          <w:b/>
          <w:lang w:val="en-US" w:eastAsia="en-GB"/>
        </w:rPr>
        <w:t>lux</w:t>
      </w:r>
      <w:r>
        <w:rPr>
          <w:b/>
          <w:lang w:val="en-US" w:eastAsia="en-GB"/>
        </w:rPr>
        <w:t>,</w:t>
      </w:r>
      <w:r w:rsidRPr="003B52C4">
        <w:rPr>
          <w:b/>
          <w:lang w:val="en-US" w:eastAsia="en-GB"/>
        </w:rPr>
        <w:t xml:space="preserve"> and at least one objective luminous flux</w:t>
      </w:r>
      <w:r>
        <w:rPr>
          <w:b/>
          <w:lang w:val="en-US" w:eastAsia="en-GB"/>
        </w:rPr>
        <w:t>,</w:t>
      </w:r>
      <w:r w:rsidRPr="003B52C4">
        <w:rPr>
          <w:b/>
          <w:lang w:val="en-US" w:eastAsia="en-GB"/>
        </w:rPr>
        <w:t xml:space="preserve"> does not exceed 2,000 lm:</w:t>
      </w:r>
    </w:p>
    <w:p w:rsidR="007A565F" w:rsidRPr="003B52C4" w:rsidRDefault="007A565F" w:rsidP="007A565F">
      <w:pPr>
        <w:spacing w:after="120"/>
        <w:ind w:left="2259" w:right="1134"/>
        <w:jc w:val="both"/>
        <w:rPr>
          <w:b/>
          <w:lang w:val="en-US" w:eastAsia="en-GB"/>
        </w:rPr>
      </w:pPr>
      <w:r w:rsidRPr="003B52C4">
        <w:rPr>
          <w:b/>
          <w:lang w:val="en-US" w:eastAsia="en-GB"/>
        </w:rPr>
        <w:t>When measured according to the conditions specified in Annex 4, the gas-discharge light sources shall emit at least 800 lm after 1 second and at least 1,000 lm after 4 seconds.</w:t>
      </w:r>
    </w:p>
    <w:p w:rsidR="007A565F" w:rsidRPr="003B52C4" w:rsidRDefault="007A565F" w:rsidP="007A565F">
      <w:pPr>
        <w:spacing w:after="120"/>
        <w:ind w:left="2259" w:right="1134"/>
        <w:jc w:val="both"/>
        <w:rPr>
          <w:b/>
          <w:lang w:val="en-US" w:eastAsia="en-GB"/>
        </w:rPr>
      </w:pPr>
      <w:r w:rsidRPr="003B52C4">
        <w:rPr>
          <w:b/>
          <w:lang w:val="en-US" w:eastAsia="en-GB"/>
        </w:rPr>
        <w:t>The objective luminous flux as indicated on the relevant data sheet.”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7A565F" w:rsidRPr="00516207" w:rsidRDefault="009003AC" w:rsidP="007A565F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A565F" w:rsidRPr="00516207">
        <w:rPr>
          <w:lang w:val="en-US"/>
        </w:rPr>
        <w:t>R</w:t>
      </w:r>
      <w:r>
        <w:rPr>
          <w:lang w:val="en-US"/>
        </w:rPr>
        <w:t xml:space="preserve">egulation No. </w:t>
      </w:r>
      <w:r w:rsidR="007A565F" w:rsidRPr="00516207">
        <w:rPr>
          <w:lang w:val="en-US"/>
        </w:rPr>
        <w:t xml:space="preserve">99 currently leaves room for interpretation on how to test the run-up of dual-level </w:t>
      </w:r>
      <w:r>
        <w:rPr>
          <w:lang w:val="en-US"/>
        </w:rPr>
        <w:t>high-intensity discharge (</w:t>
      </w:r>
      <w:r w:rsidR="007A565F" w:rsidRPr="00516207">
        <w:rPr>
          <w:lang w:val="en-US"/>
        </w:rPr>
        <w:t>HID</w:t>
      </w:r>
      <w:r>
        <w:rPr>
          <w:lang w:val="en-US"/>
        </w:rPr>
        <w:t>)</w:t>
      </w:r>
      <w:r w:rsidR="007A565F" w:rsidRPr="00516207">
        <w:rPr>
          <w:lang w:val="en-US"/>
        </w:rPr>
        <w:t xml:space="preserve"> light sources, as e.g. D9S, during type approval.</w:t>
      </w:r>
      <w:r>
        <w:rPr>
          <w:lang w:val="en-US"/>
        </w:rPr>
        <w:t xml:space="preserve"> Thus, i</w:t>
      </w:r>
      <w:r w:rsidR="007A565F" w:rsidRPr="00516207">
        <w:rPr>
          <w:lang w:val="en-US"/>
        </w:rPr>
        <w:t>t is proposed to add a new paragraph 3.6.2.4</w:t>
      </w:r>
      <w:r>
        <w:rPr>
          <w:lang w:val="en-US"/>
        </w:rPr>
        <w:t>.</w:t>
      </w:r>
      <w:r w:rsidR="007A565F" w:rsidRPr="00516207">
        <w:rPr>
          <w:lang w:val="en-US"/>
        </w:rPr>
        <w:t xml:space="preserve"> in </w:t>
      </w:r>
      <w:r>
        <w:rPr>
          <w:lang w:val="en-US"/>
        </w:rPr>
        <w:t xml:space="preserve">Regulation No. 99 </w:t>
      </w:r>
      <w:r w:rsidR="007A565F" w:rsidRPr="00516207">
        <w:rPr>
          <w:lang w:val="en-US"/>
        </w:rPr>
        <w:t>to clearly specify how the run-up of such dual-level HID light sources sh</w:t>
      </w:r>
      <w:r>
        <w:rPr>
          <w:lang w:val="en-US"/>
        </w:rPr>
        <w:t xml:space="preserve">ould </w:t>
      </w:r>
      <w:r w:rsidR="007A565F" w:rsidRPr="00516207">
        <w:rPr>
          <w:lang w:val="en-US"/>
        </w:rPr>
        <w:t xml:space="preserve">be tested. </w:t>
      </w:r>
    </w:p>
    <w:p w:rsidR="00FF2BE9" w:rsidRDefault="009003AC" w:rsidP="007A565F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A565F" w:rsidRPr="00516207">
        <w:rPr>
          <w:lang w:val="en-US"/>
        </w:rPr>
        <w:t>Along with the addition of the new paragraph the existing part of 3.6.2.2</w:t>
      </w:r>
      <w:r>
        <w:rPr>
          <w:lang w:val="en-US"/>
        </w:rPr>
        <w:t>.</w:t>
      </w:r>
      <w:r w:rsidR="007A565F" w:rsidRPr="00516207">
        <w:rPr>
          <w:lang w:val="en-US"/>
        </w:rPr>
        <w:t xml:space="preserve"> that applies to gas-discharge light sources containing black stripes was </w:t>
      </w:r>
      <w:r>
        <w:rPr>
          <w:lang w:val="en-US"/>
        </w:rPr>
        <w:t>re</w:t>
      </w:r>
      <w:r w:rsidR="007A565F" w:rsidRPr="00516207">
        <w:rPr>
          <w:lang w:val="en-US"/>
        </w:rPr>
        <w:t xml:space="preserve">numbered </w:t>
      </w:r>
      <w:r>
        <w:rPr>
          <w:lang w:val="en-US"/>
        </w:rPr>
        <w:t xml:space="preserve">to </w:t>
      </w:r>
      <w:r w:rsidR="007A565F" w:rsidRPr="00516207">
        <w:rPr>
          <w:lang w:val="en-US"/>
        </w:rPr>
        <w:t>3.6.2.3</w:t>
      </w:r>
      <w:r w:rsidR="00F346EA">
        <w:rPr>
          <w:lang w:val="en-US"/>
        </w:rPr>
        <w:t>.</w:t>
      </w:r>
      <w:r w:rsidR="007A565F" w:rsidRPr="00516207">
        <w:rPr>
          <w:lang w:val="en-US"/>
        </w:rPr>
        <w:t xml:space="preserve"> to make </w:t>
      </w:r>
      <w:r>
        <w:rPr>
          <w:lang w:val="en-US"/>
        </w:rPr>
        <w:t>a</w:t>
      </w:r>
      <w:r w:rsidR="007A565F" w:rsidRPr="00516207">
        <w:rPr>
          <w:lang w:val="en-US"/>
        </w:rPr>
        <w:t xml:space="preserve"> distinction with gas-discharge light sources not containing black stripes, thereby adding further structure and clarification. </w:t>
      </w:r>
    </w:p>
    <w:p w:rsidR="00FA7728" w:rsidRPr="00A238BB" w:rsidRDefault="00A369D1" w:rsidP="0002092A">
      <w:pPr>
        <w:pStyle w:val="SingleTxtG"/>
        <w:spacing w:before="240" w:after="0"/>
        <w:jc w:val="center"/>
      </w:pPr>
      <w:r>
        <w:t>___________________</w:t>
      </w:r>
    </w:p>
    <w:sectPr w:rsidR="00FA7728" w:rsidRPr="00A238BB" w:rsidSect="00F346E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45E6F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7A565F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2" w:rsidRDefault="000A17C2" w:rsidP="000A17C2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7C2" w:rsidRDefault="000A17C2" w:rsidP="000A17C2">
    <w:pPr>
      <w:pStyle w:val="Footer"/>
      <w:ind w:right="1134"/>
      <w:rPr>
        <w:sz w:val="20"/>
      </w:rPr>
    </w:pPr>
    <w:r>
      <w:rPr>
        <w:sz w:val="20"/>
      </w:rPr>
      <w:t>GE.16-13778(E)</w:t>
    </w:r>
  </w:p>
  <w:p w:rsidR="000A17C2" w:rsidRPr="000A17C2" w:rsidRDefault="000A17C2" w:rsidP="000A17C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4" cy="636105"/>
          <wp:effectExtent l="0" t="0" r="0" b="0"/>
          <wp:wrapNone/>
          <wp:docPr id="2" name="Picture 1" descr="http://undocs.org/m2/QRCode.ashx?DS=ECE/TRANS/WP.29/GRE/2016/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65137A">
      <w:t>2</w:t>
    </w:r>
    <w:r w:rsidR="007A565F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65137A">
      <w:t>2</w:t>
    </w:r>
    <w:r w:rsidR="007A565F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1F39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A17C2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0388"/>
    <w:rsid w:val="00157FE9"/>
    <w:rsid w:val="0016538B"/>
    <w:rsid w:val="00165F3A"/>
    <w:rsid w:val="00181198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0A69"/>
    <w:rsid w:val="00211E0B"/>
    <w:rsid w:val="0024772E"/>
    <w:rsid w:val="00253714"/>
    <w:rsid w:val="002546AE"/>
    <w:rsid w:val="002608F3"/>
    <w:rsid w:val="00267F5F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4575B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067AC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A565F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03216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003AC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45E6F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42EFB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3F3B"/>
    <w:rsid w:val="00BC3FA0"/>
    <w:rsid w:val="00BC7256"/>
    <w:rsid w:val="00BC74E9"/>
    <w:rsid w:val="00BE48EA"/>
    <w:rsid w:val="00BF1E2C"/>
    <w:rsid w:val="00BF30B3"/>
    <w:rsid w:val="00BF43C8"/>
    <w:rsid w:val="00BF68A8"/>
    <w:rsid w:val="00C11A03"/>
    <w:rsid w:val="00C22C0C"/>
    <w:rsid w:val="00C269CF"/>
    <w:rsid w:val="00C37074"/>
    <w:rsid w:val="00C4527F"/>
    <w:rsid w:val="00C463DD"/>
    <w:rsid w:val="00C4724C"/>
    <w:rsid w:val="00C60646"/>
    <w:rsid w:val="00C629A0"/>
    <w:rsid w:val="00C64629"/>
    <w:rsid w:val="00C71096"/>
    <w:rsid w:val="00C745C3"/>
    <w:rsid w:val="00C91C1C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3469A"/>
    <w:rsid w:val="00E40A45"/>
    <w:rsid w:val="00E465DB"/>
    <w:rsid w:val="00E560CA"/>
    <w:rsid w:val="00E71BC8"/>
    <w:rsid w:val="00E7260F"/>
    <w:rsid w:val="00E73F5D"/>
    <w:rsid w:val="00E77E4E"/>
    <w:rsid w:val="00E96630"/>
    <w:rsid w:val="00EA2A77"/>
    <w:rsid w:val="00EA5A18"/>
    <w:rsid w:val="00ED7A2A"/>
    <w:rsid w:val="00EE16EC"/>
    <w:rsid w:val="00EF1D7F"/>
    <w:rsid w:val="00F0093F"/>
    <w:rsid w:val="00F12AF0"/>
    <w:rsid w:val="00F16068"/>
    <w:rsid w:val="00F31E5F"/>
    <w:rsid w:val="00F346EA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03E3-B76A-440F-8334-BE13018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1613778</vt:lpstr>
      <vt:lpstr>United Nations</vt:lpstr>
      <vt:lpstr>United Nations</vt:lpstr>
    </vt:vector>
  </TitlesOfParts>
  <Company>CSD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1613778</dc:title>
  <dc:subject>ECE/TRANS/WP.29/GRE/2016/26</dc:subject>
  <dc:creator>GTB;Francois Guichard</dc:creator>
  <cp:lastModifiedBy>Benedicte Boudol</cp:lastModifiedBy>
  <cp:revision>2</cp:revision>
  <cp:lastPrinted>2016-08-09T13:09:00Z</cp:lastPrinted>
  <dcterms:created xsi:type="dcterms:W3CDTF">2016-09-07T13:17:00Z</dcterms:created>
  <dcterms:modified xsi:type="dcterms:W3CDTF">2016-09-07T13:17:00Z</dcterms:modified>
</cp:coreProperties>
</file>