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1D60A6">
            <w:pPr>
              <w:jc w:val="right"/>
              <w:rPr>
                <w:highlight w:val="yellow"/>
              </w:rPr>
            </w:pPr>
            <w:r w:rsidRPr="00370AD8">
              <w:rPr>
                <w:sz w:val="40"/>
              </w:rPr>
              <w:t>ECE</w:t>
            </w:r>
            <w:r w:rsidRPr="00370AD8">
              <w:t>/TRANS/WP.29/GRE/</w:t>
            </w:r>
            <w:r w:rsidR="00A91E4C" w:rsidRPr="00370AD8">
              <w:t>201</w:t>
            </w:r>
            <w:r w:rsidR="00A16D8C" w:rsidRPr="00370AD8">
              <w:t>6</w:t>
            </w:r>
            <w:r w:rsidRPr="00370AD8">
              <w:t>/</w:t>
            </w:r>
            <w:r w:rsidR="0065137A">
              <w:t>2</w:t>
            </w:r>
            <w:r w:rsidR="001D60A6">
              <w:t>5</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C31955" w:rsidP="006D66AF">
            <w:pPr>
              <w:spacing w:line="240" w:lineRule="exact"/>
            </w:pPr>
            <w:r>
              <w:t>1</w:t>
            </w:r>
            <w:r w:rsidR="00537565">
              <w:t>2</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w:t>
      </w:r>
      <w:r w:rsidR="001D60A6">
        <w:rPr>
          <w:bCs/>
        </w:rPr>
        <w:t xml:space="preserve">4 </w:t>
      </w:r>
      <w:r w:rsidR="00275800">
        <w:rPr>
          <w:bCs/>
        </w:rPr>
        <w:t>of the provisional agenda</w:t>
      </w:r>
      <w:r w:rsidRPr="004D1FAA">
        <w:rPr>
          <w:bCs/>
        </w:rPr>
        <w:br/>
      </w:r>
      <w:r w:rsidR="001D60A6">
        <w:rPr>
          <w:b/>
          <w:bCs/>
        </w:rPr>
        <w:t xml:space="preserve">Simplification of lighting and light-signalling </w:t>
      </w:r>
      <w:r w:rsidR="00275800" w:rsidRPr="00275800">
        <w:rPr>
          <w:b/>
          <w:bCs/>
        </w:rPr>
        <w:t>Regulations</w:t>
      </w:r>
    </w:p>
    <w:p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Proposal for a collective amendment to Regulations Nos. 98, 112 and 123</w:t>
      </w:r>
      <w:r w:rsidR="00275800">
        <w:rPr>
          <w:lang w:val="en-US"/>
        </w:rPr>
        <w:t xml:space="preserve"> </w:t>
      </w:r>
    </w:p>
    <w:p w:rsidR="00F91276" w:rsidRPr="004D1FAA" w:rsidRDefault="00F10ACC" w:rsidP="00F10ACC">
      <w:pPr>
        <w:pStyle w:val="H1G"/>
      </w:pPr>
      <w:r>
        <w:tab/>
      </w:r>
      <w:r>
        <w:tab/>
      </w:r>
      <w:r w:rsidR="00F91276" w:rsidRPr="004D1FAA">
        <w:t xml:space="preserve">Submitted by the expert from the International Automotive </w:t>
      </w:r>
      <w:r w:rsidR="00F91276" w:rsidRPr="00F10ACC">
        <w:t>Lighting</w:t>
      </w:r>
      <w:r w:rsidR="00F91276" w:rsidRPr="004D1FAA">
        <w:t xml:space="preserve"> and Light Signalling Expert Group (GTB)</w:t>
      </w:r>
      <w:r w:rsidR="00F91276" w:rsidRPr="004D1FAA">
        <w:rPr>
          <w:sz w:val="18"/>
          <w:vertAlign w:val="superscript"/>
        </w:rPr>
        <w:footnoteReference w:customMarkFollows="1" w:id="2"/>
        <w:t>*</w:t>
      </w:r>
    </w:p>
    <w:p w:rsidR="006D66AF" w:rsidRPr="00C970EE" w:rsidRDefault="001D60A6" w:rsidP="00FF2BE9">
      <w:pPr>
        <w:tabs>
          <w:tab w:val="left" w:pos="8505"/>
        </w:tabs>
        <w:spacing w:after="120"/>
        <w:ind w:left="1134" w:right="1134" w:firstLine="567"/>
        <w:jc w:val="both"/>
        <w:rPr>
          <w:lang w:val="en-US"/>
        </w:rPr>
      </w:pPr>
      <w:r w:rsidRPr="001D60A6">
        <w:rPr>
          <w:rFonts w:eastAsia="Calibri"/>
        </w:rPr>
        <w:t>The text reproduced below was prepared by the expert from GTB to delete the measurement at the point</w:t>
      </w:r>
      <w:r>
        <w:rPr>
          <w:rFonts w:eastAsia="Calibri"/>
        </w:rPr>
        <w:t xml:space="preserve"> of intersection (HV)</w:t>
      </w:r>
      <w:r w:rsidRPr="001D60A6">
        <w:rPr>
          <w:rFonts w:eastAsia="Calibri"/>
        </w:rPr>
        <w:t xml:space="preserve"> during the test for stability of photometric performance of the passing beam.</w:t>
      </w:r>
      <w:r w:rsidR="00275800" w:rsidRPr="00275800">
        <w:rPr>
          <w:rFonts w:eastAsia="Calibri"/>
        </w:rPr>
        <w:t xml:space="preserve"> 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1D60A6" w:rsidRPr="00F5726E" w:rsidRDefault="001D60A6" w:rsidP="001D60A6">
      <w:pPr>
        <w:pStyle w:val="HChG"/>
        <w:numPr>
          <w:ilvl w:val="0"/>
          <w:numId w:val="25"/>
        </w:numPr>
        <w:spacing w:line="260" w:lineRule="exact"/>
        <w:ind w:left="1134" w:right="1467" w:hanging="425"/>
        <w:rPr>
          <w:sz w:val="24"/>
          <w:szCs w:val="24"/>
        </w:rPr>
      </w:pPr>
      <w:r w:rsidRPr="004306AA">
        <w:rPr>
          <w:sz w:val="24"/>
          <w:szCs w:val="24"/>
        </w:rPr>
        <w:t xml:space="preserve">Supplement </w:t>
      </w:r>
      <w:r w:rsidR="001F652B">
        <w:rPr>
          <w:sz w:val="24"/>
          <w:szCs w:val="24"/>
        </w:rPr>
        <w:t>8</w:t>
      </w:r>
      <w:r w:rsidRPr="004306AA">
        <w:rPr>
          <w:sz w:val="24"/>
          <w:szCs w:val="24"/>
        </w:rPr>
        <w:t xml:space="preserve"> to the 0</w:t>
      </w:r>
      <w:r>
        <w:rPr>
          <w:sz w:val="24"/>
          <w:szCs w:val="24"/>
        </w:rPr>
        <w:t>1</w:t>
      </w:r>
      <w:r w:rsidRPr="004306AA">
        <w:rPr>
          <w:sz w:val="24"/>
          <w:szCs w:val="24"/>
        </w:rPr>
        <w:t xml:space="preserve"> series of amendments to Regulation No. </w:t>
      </w:r>
      <w:r>
        <w:rPr>
          <w:sz w:val="24"/>
          <w:szCs w:val="24"/>
        </w:rPr>
        <w:t xml:space="preserve">98 </w:t>
      </w:r>
      <w:r w:rsidRPr="00F5726E">
        <w:rPr>
          <w:sz w:val="24"/>
          <w:szCs w:val="24"/>
        </w:rPr>
        <w:t>(Headlamps with gas-discharge light sources)</w:t>
      </w:r>
    </w:p>
    <w:p w:rsidR="001D60A6" w:rsidRPr="004D1FAA" w:rsidRDefault="001D60A6" w:rsidP="001D60A6">
      <w:pPr>
        <w:spacing w:after="120"/>
        <w:ind w:left="2268" w:right="1467" w:hanging="1134"/>
      </w:pPr>
      <w:r w:rsidRPr="004D1FAA">
        <w:rPr>
          <w:i/>
        </w:rPr>
        <w:t xml:space="preserve">Paragraph </w:t>
      </w:r>
      <w:r>
        <w:rPr>
          <w:i/>
        </w:rPr>
        <w:t>6.4.2</w:t>
      </w:r>
      <w:r w:rsidRPr="004D1FAA">
        <w:rPr>
          <w:i/>
        </w:rPr>
        <w:t>.,</w:t>
      </w:r>
      <w:r w:rsidRPr="004D1FAA">
        <w:t xml:space="preserve"> amend to read:</w:t>
      </w:r>
    </w:p>
    <w:p w:rsidR="001D60A6" w:rsidRPr="00F5726E" w:rsidRDefault="00E07F0E" w:rsidP="001D60A6">
      <w:pPr>
        <w:pStyle w:val="SingleTxtG"/>
        <w:ind w:left="2268" w:hanging="1134"/>
      </w:pPr>
      <w:r>
        <w:t>"</w:t>
      </w:r>
      <w:r w:rsidR="001D60A6" w:rsidRPr="00F5726E">
        <w:t>6.4.2.</w:t>
      </w:r>
      <w:r w:rsidR="001D60A6" w:rsidRPr="00F5726E">
        <w:tab/>
        <w:t>Additional tests are made after the reflector has been tilted vertically upwards by the angle quoted in paragraph 2.1.4. or 2 degrees, whichever is smaller, by means of the headlamp aiming devices. The headlamp is then re-aimed downwards (by means of the goniometer), and the photometric specifications must be met at the following points:</w:t>
      </w:r>
    </w:p>
    <w:p w:rsidR="001D60A6" w:rsidRPr="00F5726E" w:rsidRDefault="001D60A6" w:rsidP="001F652B">
      <w:pPr>
        <w:spacing w:after="120"/>
        <w:ind w:left="4536" w:right="1134" w:hanging="2268"/>
      </w:pPr>
      <w:r w:rsidRPr="00F5726E">
        <w:t>Principal passing beam:</w:t>
      </w:r>
      <w:r w:rsidRPr="00F5726E">
        <w:tab/>
      </w:r>
      <w:r w:rsidRPr="00F5726E">
        <w:rPr>
          <w:strike/>
        </w:rPr>
        <w:t>HV</w:t>
      </w:r>
      <w:r w:rsidRPr="00F5726E">
        <w:t xml:space="preserve"> </w:t>
      </w:r>
      <w:r w:rsidRPr="00F5726E">
        <w:rPr>
          <w:b/>
        </w:rPr>
        <w:t>B50L</w:t>
      </w:r>
      <w:r w:rsidRPr="00F5726E">
        <w:t xml:space="preserve"> and 75 R (</w:t>
      </w:r>
      <w:r w:rsidRPr="00F5726E">
        <w:rPr>
          <w:b/>
        </w:rPr>
        <w:t>B 50 R and</w:t>
      </w:r>
      <w:r w:rsidRPr="00F5726E">
        <w:t xml:space="preserve"> 75 L</w:t>
      </w:r>
      <w:r w:rsidR="001F652B">
        <w:t xml:space="preserve">, </w:t>
      </w:r>
      <w:r w:rsidRPr="00F5726E">
        <w:t>respectively);</w:t>
      </w:r>
    </w:p>
    <w:p w:rsidR="001D60A6" w:rsidRPr="00F5726E" w:rsidRDefault="001D60A6" w:rsidP="001D60A6">
      <w:pPr>
        <w:spacing w:after="120"/>
        <w:ind w:left="2268" w:right="1134"/>
        <w:jc w:val="both"/>
      </w:pPr>
      <w:r w:rsidRPr="00F5726E">
        <w:t>D</w:t>
      </w:r>
      <w:r>
        <w:t>riving beam:</w:t>
      </w:r>
      <w:r>
        <w:tab/>
      </w:r>
      <w:r w:rsidR="001F652B">
        <w:tab/>
      </w:r>
      <w:r w:rsidRPr="00F5726E">
        <w:t>I</w:t>
      </w:r>
      <w:r w:rsidRPr="00F5726E">
        <w:rPr>
          <w:vertAlign w:val="subscript"/>
        </w:rPr>
        <w:t>M</w:t>
      </w:r>
      <w:r w:rsidRPr="00F5726E">
        <w:t xml:space="preserve"> and point HV (percentage of I</w:t>
      </w:r>
      <w:r w:rsidRPr="00F5726E">
        <w:rPr>
          <w:vertAlign w:val="subscript"/>
        </w:rPr>
        <w:t>M</w:t>
      </w:r>
      <w:r w:rsidRPr="00F5726E">
        <w:t>).</w:t>
      </w:r>
    </w:p>
    <w:p w:rsidR="001D60A6" w:rsidRDefault="001D60A6" w:rsidP="001D60A6">
      <w:pPr>
        <w:spacing w:after="120"/>
        <w:ind w:left="2268" w:right="1134"/>
        <w:jc w:val="both"/>
      </w:pPr>
      <w:r w:rsidRPr="00F5726E">
        <w:t>If the aiming devices do not allow a continuous movement, the position nearest to 2 degrees is chosen.</w:t>
      </w:r>
      <w:r w:rsidR="00E07F0E">
        <w:t>"</w:t>
      </w:r>
    </w:p>
    <w:p w:rsidR="001D60A6" w:rsidRDefault="001D60A6" w:rsidP="001D60A6">
      <w:pPr>
        <w:spacing w:after="120"/>
        <w:ind w:left="2268" w:right="1467" w:hanging="1134"/>
      </w:pPr>
      <w:r>
        <w:rPr>
          <w:i/>
        </w:rPr>
        <w:t>Annex 4</w:t>
      </w:r>
      <w:r w:rsidRPr="004D1FAA">
        <w:rPr>
          <w:i/>
        </w:rPr>
        <w:t>,</w:t>
      </w:r>
      <w:r w:rsidRPr="004D1FAA">
        <w:t xml:space="preserve"> amend to read:</w:t>
      </w:r>
    </w:p>
    <w:p w:rsidR="001D60A6" w:rsidRPr="001F652B" w:rsidRDefault="00E07F0E" w:rsidP="00E07F0E">
      <w:pPr>
        <w:pStyle w:val="HChG"/>
      </w:pPr>
      <w:r>
        <w:tab/>
      </w:r>
      <w:r>
        <w:tab/>
      </w:r>
      <w:r w:rsidR="001C6326">
        <w:t>"</w:t>
      </w:r>
      <w:r w:rsidR="001D60A6" w:rsidRPr="001F652B">
        <w:t>Tests for stability of photometric performance of headlamps in operation</w:t>
      </w:r>
    </w:p>
    <w:p w:rsidR="001D60A6" w:rsidRPr="00A63C06" w:rsidRDefault="001D60A6" w:rsidP="001D60A6">
      <w:pPr>
        <w:spacing w:after="120"/>
        <w:ind w:left="1843" w:right="1134" w:firstLine="284"/>
        <w:jc w:val="both"/>
      </w:pPr>
      <w:r w:rsidRPr="00A63C06">
        <w:t>Test on complete headlamps</w:t>
      </w:r>
    </w:p>
    <w:p w:rsidR="001D60A6" w:rsidRDefault="001D60A6" w:rsidP="001D60A6">
      <w:pPr>
        <w:tabs>
          <w:tab w:val="left" w:pos="1134"/>
        </w:tabs>
        <w:spacing w:after="120"/>
        <w:ind w:left="2127" w:right="1134"/>
        <w:jc w:val="both"/>
      </w:pPr>
      <w:r w:rsidRPr="00A63C06">
        <w:t>Once the photometric values have been measured according to the prescriptions of this Regulation, in the point for I</w:t>
      </w:r>
      <w:r w:rsidRPr="00A63C06">
        <w:rPr>
          <w:vertAlign w:val="subscript"/>
        </w:rPr>
        <w:t>max</w:t>
      </w:r>
      <w:r w:rsidRPr="00A63C06">
        <w:t xml:space="preserve"> for driving beam and in points </w:t>
      </w:r>
      <w:r w:rsidRPr="00A63C06">
        <w:rPr>
          <w:strike/>
        </w:rPr>
        <w:t>HV</w:t>
      </w:r>
      <w:r w:rsidRPr="00A63C06">
        <w:t xml:space="preserve"> </w:t>
      </w:r>
      <w:r w:rsidRPr="00A63C06">
        <w:rPr>
          <w:b/>
        </w:rPr>
        <w:t>25 L,</w:t>
      </w:r>
      <w:r w:rsidRPr="00A63C06">
        <w:t xml:space="preserve"> 50 R and B 50 L for passing beam (or </w:t>
      </w:r>
      <w:r w:rsidRPr="00A63C06">
        <w:rPr>
          <w:strike/>
        </w:rPr>
        <w:t>HV</w:t>
      </w:r>
      <w:r w:rsidRPr="00A63C06">
        <w:t xml:space="preserve"> </w:t>
      </w:r>
      <w:r w:rsidRPr="00A63C06">
        <w:rPr>
          <w:b/>
        </w:rPr>
        <w:t>25 R,</w:t>
      </w:r>
      <w:r w:rsidRPr="00A63C06">
        <w:t xml:space="preserve"> 50 L, B 50 R for headlamps designed for left-hand traffic) a complete headlamp sample shall be tested for stability of photometric performance in operation. "Complete headlamp" shall be understood to mean the complete lamp itself including ballast(s) and those surrounding body parts and lamps which could influence its thermal dissipation.</w:t>
      </w:r>
    </w:p>
    <w:p w:rsidR="001D60A6" w:rsidRPr="00A63C06" w:rsidRDefault="001D60A6" w:rsidP="001D60A6">
      <w:pPr>
        <w:tabs>
          <w:tab w:val="left" w:pos="1134"/>
        </w:tabs>
        <w:spacing w:after="120"/>
        <w:ind w:left="2127" w:right="1134"/>
        <w:jc w:val="both"/>
      </w:pPr>
      <w:r>
        <w:t>…</w:t>
      </w:r>
      <w:r w:rsidR="001C6326">
        <w:t xml:space="preserve">" </w:t>
      </w:r>
      <w:r>
        <w:t>(the remainder of the text is unchanged)</w:t>
      </w:r>
    </w:p>
    <w:p w:rsidR="001D60A6" w:rsidRDefault="001D60A6" w:rsidP="001D60A6">
      <w:pPr>
        <w:spacing w:after="120"/>
        <w:ind w:left="2268" w:right="1467" w:hanging="1134"/>
      </w:pPr>
      <w:r>
        <w:rPr>
          <w:i/>
        </w:rPr>
        <w:t xml:space="preserve">Annex 5, </w:t>
      </w:r>
      <w:r w:rsidR="001F652B">
        <w:rPr>
          <w:i/>
        </w:rPr>
        <w:t>p</w:t>
      </w:r>
      <w:r>
        <w:rPr>
          <w:i/>
        </w:rPr>
        <w:t>aragraph 2.6.1.2.,</w:t>
      </w:r>
      <w:r w:rsidRPr="004D1FAA">
        <w:t xml:space="preserve"> amend to read:</w:t>
      </w:r>
    </w:p>
    <w:p w:rsidR="00537565" w:rsidRPr="00F20213" w:rsidRDefault="00E07F0E" w:rsidP="00537565">
      <w:pPr>
        <w:pStyle w:val="SingleTxtG"/>
        <w:ind w:right="1467"/>
        <w:rPr>
          <w:i/>
        </w:rPr>
      </w:pPr>
      <w:r>
        <w:t>"</w:t>
      </w:r>
      <w:r w:rsidR="00537565" w:rsidRPr="00144D95">
        <w:t>2.6.1.2.</w:t>
      </w:r>
      <w:r w:rsidR="00537565" w:rsidRPr="00144D95">
        <w:tab/>
      </w:r>
      <w:r w:rsidR="00537565" w:rsidRPr="00D16CFA">
        <w:t>Results</w:t>
      </w:r>
    </w:p>
    <w:p w:rsidR="00537565" w:rsidRPr="00144D95" w:rsidRDefault="00537565" w:rsidP="00537565">
      <w:pPr>
        <w:pStyle w:val="SingleTxtG"/>
        <w:ind w:left="2259" w:right="1467"/>
      </w:pPr>
      <w:r w:rsidRPr="00144D95">
        <w:t>After the test, the results of photometric measurements carried out on the headlamp in accordance with this Regulation shall not exceed:</w:t>
      </w:r>
    </w:p>
    <w:p w:rsidR="00537565" w:rsidRPr="00144D95" w:rsidRDefault="00537565" w:rsidP="00537565">
      <w:pPr>
        <w:pStyle w:val="SingleTxtG"/>
        <w:ind w:left="2835" w:right="1467" w:hanging="567"/>
      </w:pPr>
      <w:r>
        <w:t>(</w:t>
      </w:r>
      <w:r w:rsidRPr="00144D95">
        <w:t>a)</w:t>
      </w:r>
      <w:r w:rsidRPr="00144D95">
        <w:tab/>
      </w:r>
      <w:r>
        <w:t>B</w:t>
      </w:r>
      <w:r w:rsidRPr="00144D95">
        <w:t>y more than 30 per cent the maxi</w:t>
      </w:r>
      <w:r>
        <w:t xml:space="preserve">mum values prescribed at points </w:t>
      </w:r>
      <w:r w:rsidRPr="00144D95">
        <w:t>B</w:t>
      </w:r>
      <w:r>
        <w:t> </w:t>
      </w:r>
      <w:r w:rsidRPr="00144D95">
        <w:t>50</w:t>
      </w:r>
      <w:r>
        <w:t xml:space="preserve"> </w:t>
      </w:r>
      <w:r w:rsidRPr="00144D95">
        <w:t xml:space="preserve">L </w:t>
      </w:r>
      <w:r w:rsidRPr="00E960A5">
        <w:rPr>
          <w:strike/>
        </w:rPr>
        <w:t>and HV</w:t>
      </w:r>
      <w:r w:rsidRPr="00144D95">
        <w:t xml:space="preserve"> and by more than 10 per cent below the minimum values prescribed at point 75 R (in the case of headlamps intended for left-hand traffic, the points to be considered are B</w:t>
      </w:r>
      <w:r>
        <w:t xml:space="preserve"> </w:t>
      </w:r>
      <w:r w:rsidRPr="00144D95">
        <w:t>50</w:t>
      </w:r>
      <w:r>
        <w:t xml:space="preserve"> </w:t>
      </w:r>
      <w:r w:rsidRPr="00144D95">
        <w:t>R</w:t>
      </w:r>
      <w:r w:rsidRPr="00E960A5">
        <w:rPr>
          <w:strike/>
        </w:rPr>
        <w:t>, HV</w:t>
      </w:r>
      <w:r w:rsidRPr="00144D95">
        <w:t xml:space="preserve"> and 75  L) </w:t>
      </w:r>
    </w:p>
    <w:p w:rsidR="00537565" w:rsidRPr="00144D95" w:rsidRDefault="00537565" w:rsidP="00537565">
      <w:pPr>
        <w:pStyle w:val="SingleTxtG"/>
        <w:ind w:left="1692" w:right="1467" w:firstLine="567"/>
      </w:pPr>
      <w:r w:rsidRPr="00144D95">
        <w:t>or</w:t>
      </w:r>
    </w:p>
    <w:p w:rsidR="00537565" w:rsidRPr="00144D95" w:rsidRDefault="00537565" w:rsidP="00537565">
      <w:pPr>
        <w:pStyle w:val="SingleTxtG"/>
        <w:ind w:left="2835" w:right="1467" w:hanging="576"/>
      </w:pPr>
      <w:r>
        <w:t>(</w:t>
      </w:r>
      <w:r w:rsidRPr="00144D95">
        <w:t>b)</w:t>
      </w:r>
      <w:r w:rsidRPr="00144D95">
        <w:tab/>
      </w:r>
      <w:r>
        <w:t>B</w:t>
      </w:r>
      <w:r w:rsidRPr="00144D95">
        <w:t>y more than 10 per cent below the minimum values prescribed for HV in the case of a headla</w:t>
      </w:r>
      <w:r>
        <w:t>mp producing driving-beam only.</w:t>
      </w:r>
      <w:r w:rsidRPr="004F543B">
        <w:t>"</w:t>
      </w:r>
    </w:p>
    <w:p w:rsidR="005D0323" w:rsidRDefault="001D60A6" w:rsidP="001D60A6">
      <w:pPr>
        <w:spacing w:after="120"/>
        <w:ind w:left="2268" w:right="1467" w:hanging="1134"/>
        <w:rPr>
          <w:i/>
        </w:rPr>
      </w:pPr>
      <w:r>
        <w:rPr>
          <w:i/>
        </w:rPr>
        <w:lastRenderedPageBreak/>
        <w:t xml:space="preserve">Annex 8, </w:t>
      </w:r>
    </w:p>
    <w:p w:rsidR="001D60A6" w:rsidRDefault="005D0323" w:rsidP="001D60A6">
      <w:pPr>
        <w:spacing w:after="120"/>
        <w:ind w:left="2268" w:right="1467" w:hanging="1134"/>
      </w:pPr>
      <w:r>
        <w:rPr>
          <w:i/>
        </w:rPr>
        <w:t>P</w:t>
      </w:r>
      <w:r w:rsidR="001D60A6">
        <w:rPr>
          <w:i/>
        </w:rPr>
        <w:t>aragraph 1.2.2.1.,</w:t>
      </w:r>
      <w:r w:rsidR="001D60A6" w:rsidRPr="004D1FAA">
        <w:t xml:space="preserve"> amend to read:</w:t>
      </w:r>
    </w:p>
    <w:p w:rsidR="001D60A6" w:rsidRDefault="00E07F0E" w:rsidP="00E07F0E">
      <w:pPr>
        <w:autoSpaceDE w:val="0"/>
        <w:autoSpaceDN w:val="0"/>
        <w:adjustRightInd w:val="0"/>
        <w:spacing w:after="120"/>
        <w:ind w:left="2126" w:right="1134" w:hanging="992"/>
        <w:jc w:val="both"/>
        <w:rPr>
          <w:lang w:eastAsia="en-GB"/>
        </w:rPr>
      </w:pPr>
      <w:r>
        <w:rPr>
          <w:lang w:eastAsia="en-GB"/>
        </w:rPr>
        <w:t>"</w:t>
      </w:r>
      <w:r w:rsidR="001D60A6" w:rsidRPr="0073034A">
        <w:rPr>
          <w:lang w:eastAsia="en-GB"/>
        </w:rPr>
        <w:t xml:space="preserve">1.2.2.1. </w:t>
      </w:r>
      <w:r w:rsidR="001D60A6" w:rsidRPr="0073034A">
        <w:rPr>
          <w:lang w:eastAsia="en-GB"/>
        </w:rPr>
        <w:tab/>
      </w:r>
      <w:r w:rsidR="005D0323">
        <w:rPr>
          <w:lang w:eastAsia="en-GB"/>
        </w:rPr>
        <w:t>F</w:t>
      </w:r>
      <w:r w:rsidR="001D60A6" w:rsidRPr="0073034A">
        <w:rPr>
          <w:lang w:eastAsia="en-GB"/>
        </w:rPr>
        <w:t xml:space="preserve">or the passing beam, the values prescribed in this Regulation are met </w:t>
      </w:r>
      <w:r w:rsidR="001D60A6" w:rsidRPr="00A63C06">
        <w:rPr>
          <w:strike/>
          <w:lang w:eastAsia="en-GB"/>
        </w:rPr>
        <w:t>at HV (with a tolerance of + 170cd) and</w:t>
      </w:r>
      <w:r w:rsidR="001D60A6" w:rsidRPr="00A63C06">
        <w:rPr>
          <w:lang w:eastAsia="en-GB"/>
        </w:rPr>
        <w:t xml:space="preserve"> </w:t>
      </w:r>
      <w:r w:rsidR="001D60A6" w:rsidRPr="00A63C06">
        <w:rPr>
          <w:strike/>
          <w:lang w:eastAsia="en-GB"/>
        </w:rPr>
        <w:t>related to that aiming</w:t>
      </w:r>
      <w:r w:rsidR="001D60A6" w:rsidRPr="0073034A">
        <w:rPr>
          <w:lang w:eastAsia="en-GB"/>
        </w:rPr>
        <w:t xml:space="preserve"> at one point within a circle of 0.35 degrees around points B 50 L (or R)</w:t>
      </w:r>
      <w:r w:rsidR="001D60A6" w:rsidRPr="000610F9">
        <w:rPr>
          <w:vertAlign w:val="superscript"/>
          <w:lang w:eastAsia="en-GB"/>
        </w:rPr>
        <w:t>1</w:t>
      </w:r>
      <w:r w:rsidR="001D60A6" w:rsidRPr="0073034A">
        <w:rPr>
          <w:lang w:eastAsia="en-GB"/>
        </w:rPr>
        <w:t xml:space="preserve"> (with a tolerance of 85 cd), 75 R (or L), 50 V, 25 R1, 25 L2, and on segment I;</w:t>
      </w:r>
      <w:r>
        <w:rPr>
          <w:lang w:eastAsia="en-GB"/>
        </w:rPr>
        <w:t>"</w:t>
      </w:r>
    </w:p>
    <w:p w:rsidR="001D60A6" w:rsidRDefault="005D0323" w:rsidP="001D60A6">
      <w:pPr>
        <w:spacing w:after="120"/>
        <w:ind w:left="2268" w:right="1467" w:hanging="1134"/>
      </w:pPr>
      <w:r>
        <w:rPr>
          <w:i/>
        </w:rPr>
        <w:t>P</w:t>
      </w:r>
      <w:r w:rsidR="001D60A6">
        <w:rPr>
          <w:i/>
        </w:rPr>
        <w:t>aragraph 2.4.,</w:t>
      </w:r>
      <w:r w:rsidR="001D60A6" w:rsidRPr="004D1FAA">
        <w:t xml:space="preserve"> amend to read:</w:t>
      </w:r>
    </w:p>
    <w:p w:rsidR="001D60A6" w:rsidRPr="00013166" w:rsidRDefault="00E07F0E" w:rsidP="001D60A6">
      <w:pPr>
        <w:spacing w:after="120"/>
        <w:ind w:left="2268" w:right="1134" w:hanging="1134"/>
        <w:jc w:val="both"/>
      </w:pPr>
      <w:r>
        <w:t>"</w:t>
      </w:r>
      <w:r w:rsidR="001D60A6" w:rsidRPr="00013166">
        <w:t>2.4.</w:t>
      </w:r>
      <w:r w:rsidR="001D60A6" w:rsidRPr="00013166">
        <w:tab/>
        <w:t>Measured and recorded photometric characteristics</w:t>
      </w:r>
    </w:p>
    <w:p w:rsidR="001D60A6" w:rsidRPr="00013166" w:rsidRDefault="001D60A6" w:rsidP="001D60A6">
      <w:pPr>
        <w:spacing w:after="120"/>
        <w:ind w:left="2268" w:right="1134" w:hanging="1134"/>
        <w:jc w:val="both"/>
      </w:pPr>
      <w:r w:rsidRPr="00013166">
        <w:tab/>
        <w:t>The sampled headlamps shall be subjected to photometric measurements at the points provided for in the Regulation, the reading being limited to points I</w:t>
      </w:r>
      <w:r w:rsidRPr="00013166">
        <w:rPr>
          <w:vertAlign w:val="subscript"/>
        </w:rPr>
        <w:t>max</w:t>
      </w:r>
      <w:r w:rsidRPr="00013166">
        <w:t>, HV</w:t>
      </w:r>
      <w:r w:rsidRPr="007E21C3">
        <w:rPr>
          <w:vertAlign w:val="superscript"/>
        </w:rPr>
        <w:t>1</w:t>
      </w:r>
      <w:r w:rsidRPr="00013166">
        <w:t>, HL, HR</w:t>
      </w:r>
      <w:r w:rsidRPr="007E21C3">
        <w:rPr>
          <w:vertAlign w:val="superscript"/>
        </w:rPr>
        <w:t>2</w:t>
      </w:r>
      <w:r w:rsidRPr="00013166">
        <w:t xml:space="preserve"> in the case of the driving beam, and to points B 50 L (or R)</w:t>
      </w:r>
      <w:r>
        <w:rPr>
          <w:vertAlign w:val="superscript"/>
        </w:rPr>
        <w:t>1</w:t>
      </w:r>
      <w:r w:rsidRPr="00013166">
        <w:t xml:space="preserve">, </w:t>
      </w:r>
      <w:r w:rsidRPr="00013166">
        <w:rPr>
          <w:strike/>
        </w:rPr>
        <w:t>HV,</w:t>
      </w:r>
      <w:r w:rsidRPr="00013166">
        <w:t xml:space="preserve"> </w:t>
      </w:r>
      <w:r w:rsidRPr="00013166">
        <w:rPr>
          <w:b/>
        </w:rPr>
        <w:t>50L</w:t>
      </w:r>
      <w:r>
        <w:rPr>
          <w:b/>
        </w:rPr>
        <w:t xml:space="preserve"> (or R)</w:t>
      </w:r>
      <w:r w:rsidRPr="00013166">
        <w:rPr>
          <w:b/>
        </w:rPr>
        <w:t>,</w:t>
      </w:r>
      <w:r w:rsidRPr="00013166">
        <w:t xml:space="preserve"> 50 V, 75 R (or L) and 25 L2 (or R2) in the case of the passing beam (see figure in Annex 3).</w:t>
      </w:r>
      <w:r w:rsidR="00E07F0E">
        <w:t>"</w:t>
      </w:r>
    </w:p>
    <w:p w:rsidR="001D60A6" w:rsidRDefault="001D60A6" w:rsidP="001D60A6">
      <w:pPr>
        <w:spacing w:after="120"/>
        <w:ind w:left="2268" w:right="1467" w:hanging="1134"/>
      </w:pPr>
      <w:r>
        <w:rPr>
          <w:i/>
        </w:rPr>
        <w:t xml:space="preserve">Annex 9, </w:t>
      </w:r>
      <w:r w:rsidR="001F652B">
        <w:rPr>
          <w:i/>
        </w:rPr>
        <w:t>p</w:t>
      </w:r>
      <w:r>
        <w:rPr>
          <w:i/>
        </w:rPr>
        <w:t>aragraph 1.2.2.1.,</w:t>
      </w:r>
      <w:r w:rsidRPr="004D1FAA">
        <w:t xml:space="preserve"> amend to read:</w:t>
      </w:r>
    </w:p>
    <w:p w:rsidR="001D60A6" w:rsidRDefault="00E07F0E" w:rsidP="001F652B">
      <w:pPr>
        <w:autoSpaceDE w:val="0"/>
        <w:autoSpaceDN w:val="0"/>
        <w:adjustRightInd w:val="0"/>
        <w:ind w:left="2268" w:right="1134" w:hanging="1134"/>
        <w:jc w:val="both"/>
        <w:rPr>
          <w:lang w:eastAsia="en-GB"/>
        </w:rPr>
      </w:pPr>
      <w:r>
        <w:t>"</w:t>
      </w:r>
      <w:r w:rsidR="001D60A6" w:rsidRPr="00013166">
        <w:rPr>
          <w:lang w:eastAsia="en-GB"/>
        </w:rPr>
        <w:t xml:space="preserve">1.2.2.1. </w:t>
      </w:r>
      <w:r w:rsidR="001D60A6" w:rsidRPr="00013166">
        <w:rPr>
          <w:lang w:eastAsia="en-GB"/>
        </w:rPr>
        <w:tab/>
      </w:r>
      <w:r w:rsidR="005D0323">
        <w:rPr>
          <w:lang w:eastAsia="en-GB"/>
        </w:rPr>
        <w:t>F</w:t>
      </w:r>
      <w:r w:rsidR="001D60A6" w:rsidRPr="00013166">
        <w:rPr>
          <w:lang w:eastAsia="en-GB"/>
        </w:rPr>
        <w:t xml:space="preserve">or the passing beam, the values prescribed in this Regulation are met </w:t>
      </w:r>
      <w:r w:rsidR="001D60A6" w:rsidRPr="00013166">
        <w:rPr>
          <w:strike/>
          <w:lang w:eastAsia="en-GB"/>
        </w:rPr>
        <w:t>at HV (with a tolerance of + 170cd) and</w:t>
      </w:r>
      <w:r w:rsidR="001D60A6" w:rsidRPr="00013166">
        <w:rPr>
          <w:lang w:eastAsia="en-GB"/>
        </w:rPr>
        <w:t xml:space="preserve"> </w:t>
      </w:r>
      <w:r w:rsidR="001D60A6" w:rsidRPr="00013166">
        <w:rPr>
          <w:strike/>
          <w:lang w:eastAsia="en-GB"/>
        </w:rPr>
        <w:t>related to that aiming</w:t>
      </w:r>
      <w:r w:rsidR="001D60A6" w:rsidRPr="00013166">
        <w:rPr>
          <w:b/>
          <w:strike/>
          <w:lang w:eastAsia="en-GB"/>
        </w:rPr>
        <w:t xml:space="preserve"> </w:t>
      </w:r>
      <w:r w:rsidR="001D60A6" w:rsidRPr="00013166">
        <w:rPr>
          <w:lang w:eastAsia="en-GB"/>
        </w:rPr>
        <w:t>at one point within a circle of 0.35 degrees around points B 50 L (or R) 1/ (with a tolerance of 85 cd), 75 R (or L), 50 V, 25 R1, 25 L2, and on segment I;</w:t>
      </w:r>
      <w:r>
        <w:rPr>
          <w:lang w:eastAsia="en-GB"/>
        </w:rPr>
        <w:t>"</w:t>
      </w:r>
    </w:p>
    <w:p w:rsidR="001D60A6" w:rsidRPr="00013166" w:rsidRDefault="001D60A6" w:rsidP="001F652B">
      <w:pPr>
        <w:pStyle w:val="HChG"/>
        <w:numPr>
          <w:ilvl w:val="0"/>
          <w:numId w:val="25"/>
        </w:numPr>
        <w:spacing w:line="260" w:lineRule="exact"/>
        <w:ind w:left="1134" w:right="1467" w:hanging="425"/>
        <w:rPr>
          <w:sz w:val="24"/>
          <w:szCs w:val="24"/>
        </w:rPr>
      </w:pPr>
      <w:r w:rsidRPr="00013166">
        <w:rPr>
          <w:sz w:val="24"/>
          <w:szCs w:val="24"/>
        </w:rPr>
        <w:t xml:space="preserve">Supplement </w:t>
      </w:r>
      <w:r w:rsidR="001F652B">
        <w:rPr>
          <w:sz w:val="24"/>
          <w:szCs w:val="24"/>
        </w:rPr>
        <w:t>7</w:t>
      </w:r>
      <w:r w:rsidRPr="00013166">
        <w:rPr>
          <w:sz w:val="24"/>
          <w:szCs w:val="24"/>
        </w:rPr>
        <w:t xml:space="preserve"> to the 01 series of amendments to Regulation No. 112 (</w:t>
      </w:r>
      <w:r w:rsidRPr="00013166">
        <w:rPr>
          <w:bCs/>
          <w:sz w:val="24"/>
          <w:szCs w:val="24"/>
        </w:rPr>
        <w:t>Headlamps emitting an asymmetrical passing-beam</w:t>
      </w:r>
      <w:r w:rsidRPr="00013166">
        <w:rPr>
          <w:sz w:val="24"/>
          <w:szCs w:val="24"/>
        </w:rPr>
        <w:t>)</w:t>
      </w:r>
    </w:p>
    <w:p w:rsidR="001D60A6" w:rsidRDefault="001D60A6" w:rsidP="001D60A6">
      <w:pPr>
        <w:tabs>
          <w:tab w:val="left" w:pos="8647"/>
        </w:tabs>
        <w:spacing w:after="120"/>
        <w:ind w:left="2268" w:right="1469" w:hanging="1134"/>
      </w:pPr>
      <w:r>
        <w:rPr>
          <w:i/>
        </w:rPr>
        <w:t>Paragraph 6.4</w:t>
      </w:r>
      <w:r w:rsidR="000610F9">
        <w:rPr>
          <w:i/>
        </w:rPr>
        <w:t>.</w:t>
      </w:r>
      <w:r>
        <w:rPr>
          <w:i/>
        </w:rPr>
        <w:t xml:space="preserve">3., </w:t>
      </w:r>
      <w:r w:rsidRPr="00E31C56">
        <w:t>amend to read:</w:t>
      </w:r>
    </w:p>
    <w:p w:rsidR="001D60A6" w:rsidRPr="00363123" w:rsidRDefault="00E07F0E" w:rsidP="001F652B">
      <w:pPr>
        <w:pStyle w:val="para"/>
        <w:tabs>
          <w:tab w:val="left" w:pos="8647"/>
        </w:tabs>
        <w:rPr>
          <w:lang w:val="en-US"/>
        </w:rPr>
      </w:pPr>
      <w:r>
        <w:rPr>
          <w:lang w:val="en-US"/>
        </w:rPr>
        <w:t>"</w:t>
      </w:r>
      <w:r w:rsidR="001D60A6" w:rsidRPr="00363123">
        <w:rPr>
          <w:lang w:val="en-US"/>
        </w:rPr>
        <w:t>6.4.3.</w:t>
      </w:r>
      <w:r w:rsidR="001D60A6" w:rsidRPr="00363123">
        <w:rPr>
          <w:lang w:val="en-US"/>
        </w:rPr>
        <w:tab/>
        <w:t xml:space="preserve">Additional tests are made after the reflector has been moved vertically </w:t>
      </w:r>
      <w:r w:rsidR="001D60A6" w:rsidRPr="00AC68F7">
        <w:sym w:font="Symbol" w:char="F0B1"/>
      </w:r>
      <w:r w:rsidR="001F652B">
        <w:t> </w:t>
      </w:r>
      <w:r w:rsidR="001D60A6" w:rsidRPr="00363123">
        <w:rPr>
          <w:lang w:val="en-US"/>
        </w:rPr>
        <w:t>2° or at least into the maximum position, if less than 2°, from its initial position by means of the headlamps adjusting device. Having re-aimed the headlamp as a whole (by means of the goniometer for example) in the corresponding opposite direction the light output in the following directions shall be controlled and lie within the required limits:</w:t>
      </w:r>
    </w:p>
    <w:p w:rsidR="001D60A6" w:rsidRPr="00363123" w:rsidRDefault="001D60A6" w:rsidP="001F652B">
      <w:pPr>
        <w:pStyle w:val="para"/>
        <w:tabs>
          <w:tab w:val="left" w:pos="8647"/>
        </w:tabs>
        <w:rPr>
          <w:lang w:val="en-US"/>
        </w:rPr>
      </w:pPr>
      <w:r w:rsidRPr="00363123">
        <w:rPr>
          <w:lang w:val="en-US"/>
        </w:rPr>
        <w:tab/>
      </w:r>
      <w:r>
        <w:rPr>
          <w:lang w:val="en-US"/>
        </w:rPr>
        <w:t xml:space="preserve">Passing-beam: </w:t>
      </w:r>
      <w:r w:rsidRPr="00363123">
        <w:rPr>
          <w:lang w:val="en-US"/>
        </w:rPr>
        <w:t xml:space="preserve">points </w:t>
      </w:r>
      <w:r w:rsidRPr="00363123">
        <w:rPr>
          <w:strike/>
          <w:lang w:val="en-US"/>
        </w:rPr>
        <w:t>HV</w:t>
      </w:r>
      <w:r w:rsidRPr="00363123">
        <w:rPr>
          <w:lang w:val="en-US"/>
        </w:rPr>
        <w:t xml:space="preserve"> </w:t>
      </w:r>
      <w:r w:rsidRPr="00363123">
        <w:rPr>
          <w:b/>
          <w:lang w:val="en-US"/>
        </w:rPr>
        <w:t>B50L</w:t>
      </w:r>
      <w:r>
        <w:rPr>
          <w:lang w:val="en-US"/>
        </w:rPr>
        <w:t xml:space="preserve"> </w:t>
      </w:r>
      <w:r w:rsidRPr="00363123">
        <w:rPr>
          <w:lang w:val="en-US"/>
        </w:rPr>
        <w:t>and 75 R (</w:t>
      </w:r>
      <w:r w:rsidRPr="00363123">
        <w:rPr>
          <w:b/>
          <w:lang w:val="en-US"/>
        </w:rPr>
        <w:t>B50R and</w:t>
      </w:r>
      <w:r>
        <w:rPr>
          <w:lang w:val="en-US"/>
        </w:rPr>
        <w:t xml:space="preserve"> </w:t>
      </w:r>
      <w:r w:rsidRPr="00363123">
        <w:rPr>
          <w:lang w:val="en-US"/>
        </w:rPr>
        <w:t>75 L</w:t>
      </w:r>
      <w:r w:rsidR="001F652B">
        <w:rPr>
          <w:lang w:val="en-US"/>
        </w:rPr>
        <w:t>,</w:t>
      </w:r>
      <w:r w:rsidRPr="00363123">
        <w:rPr>
          <w:lang w:val="en-US"/>
        </w:rPr>
        <w:t xml:space="preserve"> respectively);</w:t>
      </w:r>
    </w:p>
    <w:p w:rsidR="001D60A6" w:rsidRDefault="001D60A6" w:rsidP="001F652B">
      <w:pPr>
        <w:pStyle w:val="StyleSingleTxtGLeft2cmHanging206cm"/>
        <w:tabs>
          <w:tab w:val="left" w:pos="8647"/>
        </w:tabs>
      </w:pPr>
      <w:r w:rsidRPr="00AC68F7">
        <w:tab/>
      </w:r>
      <w:r>
        <w:t xml:space="preserve">Driving-beam: </w:t>
      </w:r>
      <w:r w:rsidRPr="00AC68F7">
        <w:t>I</w:t>
      </w:r>
      <w:r w:rsidRPr="00AC68F7">
        <w:rPr>
          <w:vertAlign w:val="subscript"/>
        </w:rPr>
        <w:t>M</w:t>
      </w:r>
      <w:r w:rsidRPr="00AC68F7">
        <w:t xml:space="preserve"> and point HV (percentage of I</w:t>
      </w:r>
      <w:r w:rsidRPr="00AC68F7">
        <w:rPr>
          <w:vertAlign w:val="subscript"/>
        </w:rPr>
        <w:t>M</w:t>
      </w:r>
      <w:r w:rsidRPr="00AC68F7">
        <w:t>).</w:t>
      </w:r>
      <w:r w:rsidR="00E07F0E">
        <w:t>"</w:t>
      </w:r>
    </w:p>
    <w:p w:rsidR="001D60A6" w:rsidRDefault="001D60A6" w:rsidP="001F652B">
      <w:pPr>
        <w:tabs>
          <w:tab w:val="left" w:pos="8647"/>
        </w:tabs>
        <w:spacing w:after="120"/>
        <w:ind w:left="2268" w:right="1134" w:hanging="1134"/>
      </w:pPr>
      <w:r>
        <w:rPr>
          <w:i/>
        </w:rPr>
        <w:t xml:space="preserve">Annex 4, </w:t>
      </w:r>
      <w:r w:rsidRPr="004550FA">
        <w:t>amend to read:</w:t>
      </w:r>
    </w:p>
    <w:p w:rsidR="000610F9" w:rsidRPr="000610F9" w:rsidRDefault="00E07F0E" w:rsidP="005D0323">
      <w:pPr>
        <w:pStyle w:val="HChG"/>
        <w:spacing w:before="240" w:after="120"/>
      </w:pPr>
      <w:r>
        <w:tab/>
      </w:r>
      <w:r>
        <w:tab/>
      </w:r>
      <w:r w:rsidR="007A2CFB">
        <w:t>"</w:t>
      </w:r>
      <w:r w:rsidR="000610F9">
        <w:t>Tests for stability of photometric performance of headlamps in operation</w:t>
      </w:r>
    </w:p>
    <w:p w:rsidR="001D60A6" w:rsidRDefault="001D60A6" w:rsidP="007A2CFB">
      <w:pPr>
        <w:pStyle w:val="SingleTxtG"/>
        <w:ind w:left="1854" w:firstLine="414"/>
      </w:pPr>
      <w:r>
        <w:t>Tests on complete headlamps</w:t>
      </w:r>
    </w:p>
    <w:p w:rsidR="007A2CFB" w:rsidRDefault="001D60A6" w:rsidP="001F652B">
      <w:pPr>
        <w:pStyle w:val="StyleSingleTxtGLeft2cmHanging206cm"/>
        <w:tabs>
          <w:tab w:val="left" w:pos="8647"/>
        </w:tabs>
        <w:ind w:firstLine="0"/>
      </w:pPr>
      <w:r w:rsidRPr="00AC68F7">
        <w:t>Once the photometric values have been measured according to the prescriptions of this Regulation, in the point for I</w:t>
      </w:r>
      <w:r w:rsidRPr="00AC68F7">
        <w:rPr>
          <w:vertAlign w:val="subscript"/>
        </w:rPr>
        <w:t>max</w:t>
      </w:r>
      <w:r w:rsidRPr="00AC68F7">
        <w:t xml:space="preserve"> for </w:t>
      </w:r>
      <w:r>
        <w:t>driving-beam</w:t>
      </w:r>
      <w:r w:rsidRPr="00AC68F7">
        <w:t xml:space="preserve"> and in points </w:t>
      </w:r>
      <w:r w:rsidRPr="00363123">
        <w:rPr>
          <w:strike/>
        </w:rPr>
        <w:t>HV</w:t>
      </w:r>
      <w:r>
        <w:rPr>
          <w:strike/>
        </w:rPr>
        <w:t xml:space="preserve"> </w:t>
      </w:r>
      <w:r w:rsidRPr="00363123">
        <w:rPr>
          <w:b/>
        </w:rPr>
        <w:t>25L</w:t>
      </w:r>
      <w:r w:rsidRPr="00AC68F7">
        <w:t xml:space="preserve">, 50 R, B 50 L for </w:t>
      </w:r>
      <w:r>
        <w:t>passing-beam</w:t>
      </w:r>
      <w:r w:rsidRPr="00AC68F7">
        <w:t xml:space="preserve"> (or </w:t>
      </w:r>
      <w:r w:rsidRPr="00363123">
        <w:rPr>
          <w:strike/>
        </w:rPr>
        <w:t>HV</w:t>
      </w:r>
      <w:r>
        <w:t xml:space="preserve"> </w:t>
      </w:r>
      <w:r w:rsidRPr="00363123">
        <w:rPr>
          <w:b/>
        </w:rPr>
        <w:t>25R</w:t>
      </w:r>
      <w:r w:rsidRPr="00AC68F7">
        <w:t>, 50 L, B 50 R for headlamps designed for left-ha</w:t>
      </w:r>
      <w:r>
        <w:t xml:space="preserve">nd traffic) a complete headlamp sample shall be tested for stability of photometric performance in operation. "Complete headlamp" shall be understood to mean the complete lamp itself </w:t>
      </w:r>
      <w:r w:rsidRPr="00683F56">
        <w:t>including those surrounding body parts and lamps which could influence its thermal dissipation.</w:t>
      </w:r>
    </w:p>
    <w:p w:rsidR="007A2CFB" w:rsidRPr="00A63C06" w:rsidRDefault="007A2CFB" w:rsidP="007A2CFB">
      <w:pPr>
        <w:tabs>
          <w:tab w:val="left" w:pos="1134"/>
        </w:tabs>
        <w:spacing w:after="120"/>
        <w:ind w:left="2127" w:right="1134"/>
        <w:jc w:val="both"/>
      </w:pPr>
      <w:r>
        <w:tab/>
        <w:t>…" (the remainder of the text is unchanged)</w:t>
      </w:r>
    </w:p>
    <w:p w:rsidR="00E07F0E" w:rsidRDefault="001D60A6" w:rsidP="001F652B">
      <w:pPr>
        <w:tabs>
          <w:tab w:val="left" w:pos="8647"/>
        </w:tabs>
        <w:spacing w:after="120"/>
        <w:ind w:left="2268" w:right="1134" w:hanging="1134"/>
        <w:rPr>
          <w:i/>
          <w:lang w:val="en-US"/>
        </w:rPr>
      </w:pPr>
      <w:r w:rsidRPr="00C56DA7">
        <w:rPr>
          <w:i/>
          <w:lang w:val="en-US"/>
        </w:rPr>
        <w:lastRenderedPageBreak/>
        <w:t xml:space="preserve">Annex </w:t>
      </w:r>
      <w:r>
        <w:rPr>
          <w:i/>
        </w:rPr>
        <w:t>5</w:t>
      </w:r>
      <w:r w:rsidRPr="00C56DA7">
        <w:rPr>
          <w:i/>
          <w:lang w:val="en-US"/>
        </w:rPr>
        <w:t xml:space="preserve">, </w:t>
      </w:r>
    </w:p>
    <w:p w:rsidR="001D60A6" w:rsidRPr="00C56DA7" w:rsidRDefault="00E07F0E" w:rsidP="001F652B">
      <w:pPr>
        <w:tabs>
          <w:tab w:val="left" w:pos="8647"/>
        </w:tabs>
        <w:spacing w:after="120"/>
        <w:ind w:left="2268" w:right="1134" w:hanging="1134"/>
        <w:rPr>
          <w:lang w:val="en-US"/>
        </w:rPr>
      </w:pPr>
      <w:r>
        <w:rPr>
          <w:i/>
        </w:rPr>
        <w:t>P</w:t>
      </w:r>
      <w:r w:rsidR="001D60A6" w:rsidRPr="002053D7">
        <w:rPr>
          <w:i/>
        </w:rPr>
        <w:t>aragraph 1.2</w:t>
      </w:r>
      <w:r w:rsidR="001D60A6" w:rsidRPr="002053D7">
        <w:rPr>
          <w:i/>
          <w:lang w:val="en-US"/>
        </w:rPr>
        <w:t xml:space="preserve">.2.1., </w:t>
      </w:r>
      <w:r w:rsidR="001D60A6" w:rsidRPr="002053D7">
        <w:rPr>
          <w:lang w:val="en-US"/>
        </w:rPr>
        <w:t>amend</w:t>
      </w:r>
      <w:r w:rsidR="001D60A6" w:rsidRPr="00C56DA7">
        <w:rPr>
          <w:lang w:val="en-US"/>
        </w:rPr>
        <w:t xml:space="preserve"> to read:</w:t>
      </w:r>
    </w:p>
    <w:p w:rsidR="001D60A6" w:rsidRPr="0058622B" w:rsidRDefault="00E07F0E" w:rsidP="001F652B">
      <w:pPr>
        <w:pStyle w:val="para"/>
        <w:tabs>
          <w:tab w:val="left" w:pos="8505"/>
          <w:tab w:val="left" w:pos="8647"/>
        </w:tabs>
        <w:rPr>
          <w:b/>
          <w:szCs w:val="22"/>
          <w:lang w:val="en-US"/>
        </w:rPr>
      </w:pPr>
      <w:r>
        <w:rPr>
          <w:lang w:val="en-US"/>
        </w:rPr>
        <w:t>"</w:t>
      </w:r>
      <w:r w:rsidR="001D60A6" w:rsidRPr="0047199D">
        <w:rPr>
          <w:lang w:val="en-US"/>
        </w:rPr>
        <w:t>1.2</w:t>
      </w:r>
      <w:r w:rsidR="001D60A6">
        <w:rPr>
          <w:lang w:val="en-US"/>
        </w:rPr>
        <w:t>.2.1.</w:t>
      </w:r>
      <w:r w:rsidR="001D60A6" w:rsidRPr="0047199D">
        <w:rPr>
          <w:lang w:val="en-US"/>
        </w:rPr>
        <w:tab/>
      </w:r>
      <w:r w:rsidR="001D60A6" w:rsidRPr="002053D7">
        <w:rPr>
          <w:lang w:val="en-US"/>
        </w:rPr>
        <w:t xml:space="preserve">For the passing-beam, the values prescribed in this Regulation are met at </w:t>
      </w:r>
      <w:r w:rsidR="001D60A6" w:rsidRPr="002053D7">
        <w:rPr>
          <w:strike/>
          <w:lang w:val="en-US"/>
        </w:rPr>
        <w:t xml:space="preserve">HV (with a tolerance of +170 cd) and related to that aiming at least </w:t>
      </w:r>
      <w:r w:rsidR="001D60A6" w:rsidRPr="002053D7">
        <w:rPr>
          <w:lang w:val="en-US"/>
        </w:rPr>
        <w:t>one point within a circle of 0.35 degrees around points B 50 L (or R) (with a tolerance of 85 cd), 75 R (or L), 50 V, 25 R, 25 L, and in the entire area of zone IV which is not more than 0.52 degrees above line 25 R and 25 L;</w:t>
      </w:r>
      <w:r>
        <w:rPr>
          <w:lang w:val="en-US"/>
        </w:rPr>
        <w:t>"</w:t>
      </w:r>
    </w:p>
    <w:p w:rsidR="001D60A6" w:rsidRPr="00C56DA7" w:rsidRDefault="00E07F0E" w:rsidP="001D60A6">
      <w:pPr>
        <w:tabs>
          <w:tab w:val="left" w:pos="8647"/>
        </w:tabs>
        <w:spacing w:after="120"/>
        <w:ind w:left="2268" w:right="1469" w:hanging="1134"/>
        <w:rPr>
          <w:lang w:val="en-US"/>
        </w:rPr>
      </w:pPr>
      <w:r>
        <w:rPr>
          <w:i/>
          <w:lang w:val="en-US"/>
        </w:rPr>
        <w:t>P</w:t>
      </w:r>
      <w:r w:rsidR="001D60A6">
        <w:rPr>
          <w:i/>
        </w:rPr>
        <w:t xml:space="preserve">aragraph </w:t>
      </w:r>
      <w:r w:rsidR="001D60A6" w:rsidRPr="002053D7">
        <w:rPr>
          <w:i/>
        </w:rPr>
        <w:t>2</w:t>
      </w:r>
      <w:r w:rsidR="001D60A6" w:rsidRPr="002053D7">
        <w:rPr>
          <w:i/>
          <w:lang w:val="en-US"/>
        </w:rPr>
        <w:t>.4.,</w:t>
      </w:r>
      <w:r w:rsidR="001D60A6" w:rsidRPr="00C56DA7">
        <w:rPr>
          <w:i/>
          <w:lang w:val="en-US"/>
        </w:rPr>
        <w:t xml:space="preserve"> </w:t>
      </w:r>
      <w:r w:rsidR="001D60A6" w:rsidRPr="00C56DA7">
        <w:rPr>
          <w:lang w:val="en-US"/>
        </w:rPr>
        <w:t>amend to read:</w:t>
      </w:r>
    </w:p>
    <w:p w:rsidR="001D60A6" w:rsidRPr="002053D7" w:rsidRDefault="00E07F0E" w:rsidP="001F652B">
      <w:pPr>
        <w:pStyle w:val="para"/>
        <w:keepNext/>
        <w:keepLines/>
        <w:tabs>
          <w:tab w:val="left" w:pos="8647"/>
        </w:tabs>
        <w:rPr>
          <w:lang w:val="en-US"/>
        </w:rPr>
      </w:pPr>
      <w:r>
        <w:rPr>
          <w:lang w:val="en-US"/>
        </w:rPr>
        <w:t>"</w:t>
      </w:r>
      <w:r w:rsidR="001D60A6" w:rsidRPr="002053D7">
        <w:rPr>
          <w:lang w:val="en-US"/>
        </w:rPr>
        <w:t>2.4.</w:t>
      </w:r>
      <w:r w:rsidR="001D60A6" w:rsidRPr="002053D7">
        <w:rPr>
          <w:lang w:val="en-US"/>
        </w:rPr>
        <w:tab/>
        <w:t>Measured and recorded photometric characteristics</w:t>
      </w:r>
    </w:p>
    <w:p w:rsidR="001D60A6" w:rsidRPr="002053D7" w:rsidRDefault="001D60A6" w:rsidP="001F652B">
      <w:pPr>
        <w:pStyle w:val="para"/>
        <w:tabs>
          <w:tab w:val="left" w:pos="8647"/>
        </w:tabs>
        <w:ind w:firstLine="0"/>
        <w:rPr>
          <w:lang w:val="en-US"/>
        </w:rPr>
      </w:pPr>
      <w:r w:rsidRPr="002053D7">
        <w:rPr>
          <w:lang w:val="en-US"/>
        </w:rPr>
        <w:t>The sampled headlamps shall be subjected to photometric measurements at the points provided for in the Regulation, the reading being limited at the points I</w:t>
      </w:r>
      <w:r w:rsidRPr="002053D7">
        <w:rPr>
          <w:vertAlign w:val="subscript"/>
          <w:lang w:val="en-US"/>
        </w:rPr>
        <w:t>max</w:t>
      </w:r>
      <w:r w:rsidRPr="002053D7">
        <w:rPr>
          <w:lang w:val="en-US"/>
        </w:rPr>
        <w:t>, HV</w:t>
      </w:r>
      <w:r w:rsidRPr="007E21C3">
        <w:rPr>
          <w:vertAlign w:val="superscript"/>
          <w:lang w:val="en-US"/>
        </w:rPr>
        <w:t>1</w:t>
      </w:r>
      <w:r w:rsidRPr="002053D7">
        <w:rPr>
          <w:lang w:val="en-US"/>
        </w:rPr>
        <w:t>, HL, HR</w:t>
      </w:r>
      <w:r w:rsidRPr="007E21C3">
        <w:rPr>
          <w:vertAlign w:val="superscript"/>
          <w:lang w:val="en-US"/>
        </w:rPr>
        <w:t>2</w:t>
      </w:r>
      <w:r w:rsidRPr="002053D7">
        <w:rPr>
          <w:lang w:val="en-US"/>
        </w:rPr>
        <w:t xml:space="preserve"> in the case of a driving-beam, and to points B 50 L (or R), </w:t>
      </w:r>
      <w:r w:rsidRPr="002053D7">
        <w:rPr>
          <w:strike/>
          <w:lang w:val="en-US"/>
        </w:rPr>
        <w:t>HV</w:t>
      </w:r>
      <w:r>
        <w:rPr>
          <w:lang w:val="en-US"/>
        </w:rPr>
        <w:t xml:space="preserve"> </w:t>
      </w:r>
      <w:r w:rsidRPr="002053D7">
        <w:rPr>
          <w:b/>
          <w:lang w:val="en-US"/>
        </w:rPr>
        <w:t>50L</w:t>
      </w:r>
      <w:r w:rsidR="00E07F0E">
        <w:rPr>
          <w:b/>
          <w:lang w:val="en-US"/>
        </w:rPr>
        <w:t xml:space="preserve"> </w:t>
      </w:r>
      <w:r>
        <w:rPr>
          <w:b/>
          <w:lang w:val="en-US"/>
        </w:rPr>
        <w:t>(or R)</w:t>
      </w:r>
      <w:r w:rsidRPr="002053D7">
        <w:rPr>
          <w:lang w:val="en-US"/>
        </w:rPr>
        <w:t>, 50 V, 75 R (or L) and 25 L (or R) in the case of the passing-beam (see figure in Annex 3).</w:t>
      </w:r>
      <w:r w:rsidR="005D0323">
        <w:rPr>
          <w:lang w:val="en-US"/>
        </w:rPr>
        <w:t>"</w:t>
      </w:r>
    </w:p>
    <w:p w:rsidR="001D60A6" w:rsidRPr="00C56DA7" w:rsidRDefault="001D60A6" w:rsidP="001F652B">
      <w:pPr>
        <w:tabs>
          <w:tab w:val="left" w:pos="8647"/>
        </w:tabs>
        <w:spacing w:after="120"/>
        <w:ind w:left="2268" w:right="1134" w:hanging="1134"/>
        <w:rPr>
          <w:lang w:val="en-US"/>
        </w:rPr>
      </w:pPr>
      <w:r w:rsidRPr="00C56DA7">
        <w:rPr>
          <w:i/>
          <w:lang w:val="en-US"/>
        </w:rPr>
        <w:t xml:space="preserve">Annex </w:t>
      </w:r>
      <w:r>
        <w:rPr>
          <w:i/>
        </w:rPr>
        <w:t>6</w:t>
      </w:r>
      <w:r w:rsidRPr="00C56DA7">
        <w:rPr>
          <w:i/>
          <w:lang w:val="en-US"/>
        </w:rPr>
        <w:t xml:space="preserve">, </w:t>
      </w:r>
      <w:r>
        <w:rPr>
          <w:i/>
        </w:rPr>
        <w:t>paragraph 2.6.1.2</w:t>
      </w:r>
      <w:r w:rsidR="00537565">
        <w:rPr>
          <w:i/>
        </w:rPr>
        <w:t>.</w:t>
      </w:r>
      <w:r w:rsidRPr="00C56DA7">
        <w:rPr>
          <w:i/>
          <w:lang w:val="en-US"/>
        </w:rPr>
        <w:t xml:space="preserve">, </w:t>
      </w:r>
      <w:r w:rsidRPr="00C56DA7">
        <w:rPr>
          <w:lang w:val="en-US"/>
        </w:rPr>
        <w:t>amend to read:</w:t>
      </w:r>
    </w:p>
    <w:p w:rsidR="00537565" w:rsidRPr="00F20213" w:rsidRDefault="00E07F0E" w:rsidP="00537565">
      <w:pPr>
        <w:pStyle w:val="SingleTxtG"/>
        <w:ind w:right="1467"/>
        <w:rPr>
          <w:i/>
        </w:rPr>
      </w:pPr>
      <w:r>
        <w:t>"</w:t>
      </w:r>
      <w:r w:rsidR="00537565" w:rsidRPr="00144D95">
        <w:t>2.6.1.2.</w:t>
      </w:r>
      <w:r w:rsidR="00537565" w:rsidRPr="00144D95">
        <w:tab/>
      </w:r>
      <w:r w:rsidR="00537565" w:rsidRPr="00D16CFA">
        <w:t>Results</w:t>
      </w:r>
    </w:p>
    <w:p w:rsidR="00537565" w:rsidRPr="00144D95" w:rsidRDefault="00537565" w:rsidP="00537565">
      <w:pPr>
        <w:pStyle w:val="SingleTxtG"/>
        <w:ind w:left="2259" w:right="1467"/>
      </w:pPr>
      <w:r w:rsidRPr="00144D95">
        <w:t>After the test, the results of photometric measurements carried out on the headlamp in accordance with this Regulation shall not exceed:</w:t>
      </w:r>
    </w:p>
    <w:p w:rsidR="00537565" w:rsidRPr="00144D95" w:rsidRDefault="00537565" w:rsidP="00537565">
      <w:pPr>
        <w:pStyle w:val="SingleTxtG"/>
        <w:ind w:left="2835" w:right="1467" w:hanging="567"/>
      </w:pPr>
      <w:r>
        <w:t>(</w:t>
      </w:r>
      <w:r w:rsidRPr="00144D95">
        <w:t>a)</w:t>
      </w:r>
      <w:r w:rsidRPr="00144D95">
        <w:tab/>
      </w:r>
      <w:r>
        <w:t>B</w:t>
      </w:r>
      <w:r w:rsidRPr="00144D95">
        <w:t>y more than 30 per cent the maxi</w:t>
      </w:r>
      <w:r>
        <w:t xml:space="preserve">mum values prescribed at points </w:t>
      </w:r>
      <w:r w:rsidRPr="00144D95">
        <w:t>B</w:t>
      </w:r>
      <w:r>
        <w:t> </w:t>
      </w:r>
      <w:r w:rsidRPr="00144D95">
        <w:t>50</w:t>
      </w:r>
      <w:r>
        <w:t xml:space="preserve"> </w:t>
      </w:r>
      <w:r w:rsidRPr="00144D95">
        <w:t xml:space="preserve">L </w:t>
      </w:r>
      <w:r w:rsidRPr="00E960A5">
        <w:rPr>
          <w:strike/>
        </w:rPr>
        <w:t>and HV</w:t>
      </w:r>
      <w:r w:rsidRPr="00144D95">
        <w:t xml:space="preserve"> and by more than 10 per cent below the minimum values prescribed at point 75 R (in the case of headlamps intended for left-hand traffic, the points to be considered are B</w:t>
      </w:r>
      <w:r>
        <w:t xml:space="preserve"> </w:t>
      </w:r>
      <w:r w:rsidRPr="00144D95">
        <w:t>50</w:t>
      </w:r>
      <w:r>
        <w:t xml:space="preserve"> </w:t>
      </w:r>
      <w:r w:rsidRPr="00144D95">
        <w:t>R</w:t>
      </w:r>
      <w:r w:rsidRPr="00E960A5">
        <w:rPr>
          <w:strike/>
        </w:rPr>
        <w:t>, HV</w:t>
      </w:r>
      <w:r w:rsidRPr="00144D95">
        <w:t xml:space="preserve"> and 75  L)</w:t>
      </w:r>
      <w:r>
        <w:t>;</w:t>
      </w:r>
      <w:r w:rsidRPr="00144D95">
        <w:t xml:space="preserve"> </w:t>
      </w:r>
    </w:p>
    <w:p w:rsidR="00537565" w:rsidRPr="00144D95" w:rsidRDefault="00537565" w:rsidP="00537565">
      <w:pPr>
        <w:pStyle w:val="SingleTxtG"/>
        <w:ind w:left="1692" w:right="1467" w:firstLine="567"/>
      </w:pPr>
      <w:r w:rsidRPr="00144D95">
        <w:t>or</w:t>
      </w:r>
    </w:p>
    <w:p w:rsidR="00537565" w:rsidRPr="00144D95" w:rsidRDefault="00537565" w:rsidP="00537565">
      <w:pPr>
        <w:pStyle w:val="SingleTxtG"/>
        <w:ind w:left="2835" w:right="1467" w:hanging="576"/>
      </w:pPr>
      <w:r>
        <w:t>(</w:t>
      </w:r>
      <w:r w:rsidRPr="00144D95">
        <w:t>b)</w:t>
      </w:r>
      <w:r w:rsidRPr="00144D95">
        <w:tab/>
      </w:r>
      <w:r>
        <w:t>B</w:t>
      </w:r>
      <w:r w:rsidRPr="00144D95">
        <w:t>y more than 10 per cent below the minimum values prescribed for HV in the case of a headla</w:t>
      </w:r>
      <w:r>
        <w:t>mp producing driving-beam only.</w:t>
      </w:r>
      <w:r w:rsidRPr="004F543B">
        <w:t>"</w:t>
      </w:r>
    </w:p>
    <w:p w:rsidR="001D60A6" w:rsidRDefault="001D60A6" w:rsidP="001F652B">
      <w:pPr>
        <w:tabs>
          <w:tab w:val="left" w:pos="8647"/>
        </w:tabs>
        <w:spacing w:after="120"/>
        <w:ind w:left="2268" w:right="1134" w:hanging="1134"/>
      </w:pPr>
      <w:r w:rsidRPr="00C56DA7">
        <w:rPr>
          <w:i/>
          <w:lang w:val="en-US"/>
        </w:rPr>
        <w:t xml:space="preserve">Annex </w:t>
      </w:r>
      <w:r>
        <w:rPr>
          <w:i/>
        </w:rPr>
        <w:t>7</w:t>
      </w:r>
      <w:r w:rsidRPr="00C56DA7">
        <w:rPr>
          <w:i/>
          <w:lang w:val="en-US"/>
        </w:rPr>
        <w:t xml:space="preserve">, </w:t>
      </w:r>
      <w:r>
        <w:rPr>
          <w:i/>
        </w:rPr>
        <w:t>paragraph 1.2.2.1.,</w:t>
      </w:r>
      <w:r w:rsidRPr="00C56DA7">
        <w:rPr>
          <w:i/>
          <w:lang w:val="en-US"/>
        </w:rPr>
        <w:t xml:space="preserve"> </w:t>
      </w:r>
      <w:r w:rsidRPr="00C56DA7">
        <w:rPr>
          <w:lang w:val="en-US"/>
        </w:rPr>
        <w:t>amend to read:</w:t>
      </w:r>
    </w:p>
    <w:p w:rsidR="001D60A6" w:rsidRDefault="00E07F0E" w:rsidP="001F652B">
      <w:pPr>
        <w:pStyle w:val="para"/>
        <w:tabs>
          <w:tab w:val="left" w:pos="8647"/>
        </w:tabs>
        <w:rPr>
          <w:lang w:val="en-US"/>
        </w:rPr>
      </w:pPr>
      <w:r>
        <w:rPr>
          <w:lang w:val="en-US"/>
        </w:rPr>
        <w:t>"</w:t>
      </w:r>
      <w:r w:rsidR="001D60A6" w:rsidRPr="006E5F59">
        <w:rPr>
          <w:lang w:val="en-US"/>
        </w:rPr>
        <w:t>1.2.2.1.</w:t>
      </w:r>
      <w:r w:rsidR="001D60A6" w:rsidRPr="006E5F59">
        <w:rPr>
          <w:lang w:val="en-US"/>
        </w:rPr>
        <w:tab/>
      </w:r>
      <w:r w:rsidR="001D60A6" w:rsidRPr="009C53FD">
        <w:rPr>
          <w:lang w:val="en-US"/>
        </w:rPr>
        <w:t xml:space="preserve">For the passing-beam, the values prescribed in this Regulation are met at </w:t>
      </w:r>
      <w:r w:rsidR="001D60A6" w:rsidRPr="009C53FD">
        <w:rPr>
          <w:strike/>
          <w:lang w:val="en-US"/>
        </w:rPr>
        <w:t>HV (with a tolerance of +170 cd) and related to that aiming at least</w:t>
      </w:r>
      <w:r w:rsidR="001D60A6" w:rsidRPr="009C53FD">
        <w:rPr>
          <w:lang w:val="en-US"/>
        </w:rPr>
        <w:t xml:space="preserve"> one point of each area delimited on the measuring screen (at 25 m) by a circle 15 cm in radius around points B 50 L (or R)</w:t>
      </w:r>
      <w:r w:rsidR="001D60A6" w:rsidRPr="009C53FD">
        <w:rPr>
          <w:vertAlign w:val="superscript"/>
          <w:lang w:val="en-US"/>
        </w:rPr>
        <w:t>1</w:t>
      </w:r>
      <w:r w:rsidR="001D60A6" w:rsidRPr="009C53FD">
        <w:rPr>
          <w:lang w:val="en-US"/>
        </w:rPr>
        <w:t xml:space="preserve"> (with a tolerance of 85 cd), 75 R (or L), 50 V, 25 R, 25 L, and in the entire area of zone IV which is not more than 22.5 cm above line 25 R and 25 L;</w:t>
      </w:r>
      <w:r>
        <w:rPr>
          <w:lang w:val="en-US"/>
        </w:rPr>
        <w:t>"</w:t>
      </w:r>
    </w:p>
    <w:p w:rsidR="001D60A6" w:rsidRPr="00013166" w:rsidRDefault="001D60A6" w:rsidP="001D60A6">
      <w:pPr>
        <w:pStyle w:val="HChG"/>
        <w:numPr>
          <w:ilvl w:val="0"/>
          <w:numId w:val="25"/>
        </w:numPr>
        <w:spacing w:line="260" w:lineRule="exact"/>
        <w:ind w:left="1134" w:right="1467" w:hanging="425"/>
        <w:jc w:val="both"/>
        <w:rPr>
          <w:sz w:val="24"/>
          <w:szCs w:val="24"/>
        </w:rPr>
      </w:pPr>
      <w:r w:rsidRPr="00013166">
        <w:rPr>
          <w:sz w:val="24"/>
          <w:szCs w:val="24"/>
        </w:rPr>
        <w:t xml:space="preserve">Supplement </w:t>
      </w:r>
      <w:r w:rsidR="001F652B">
        <w:rPr>
          <w:sz w:val="24"/>
          <w:szCs w:val="24"/>
        </w:rPr>
        <w:t>8</w:t>
      </w:r>
      <w:r w:rsidRPr="00013166">
        <w:rPr>
          <w:sz w:val="24"/>
          <w:szCs w:val="24"/>
        </w:rPr>
        <w:t xml:space="preserve"> to the 01 series of amendments to Regulation No. 1</w:t>
      </w:r>
      <w:r>
        <w:rPr>
          <w:sz w:val="24"/>
          <w:szCs w:val="24"/>
        </w:rPr>
        <w:t>23</w:t>
      </w:r>
      <w:r w:rsidRPr="00013166">
        <w:rPr>
          <w:sz w:val="24"/>
          <w:szCs w:val="24"/>
        </w:rPr>
        <w:t xml:space="preserve"> (</w:t>
      </w:r>
      <w:r w:rsidRPr="00382837">
        <w:rPr>
          <w:bCs/>
          <w:sz w:val="24"/>
          <w:szCs w:val="24"/>
        </w:rPr>
        <w:t>Adaptive Front-Lighting Systems (AFS)</w:t>
      </w:r>
      <w:r w:rsidRPr="00013166">
        <w:rPr>
          <w:sz w:val="24"/>
          <w:szCs w:val="24"/>
        </w:rPr>
        <w:t>)</w:t>
      </w:r>
    </w:p>
    <w:p w:rsidR="001D60A6" w:rsidRDefault="001D60A6" w:rsidP="001F652B">
      <w:pPr>
        <w:spacing w:after="120"/>
        <w:ind w:left="2268" w:right="1134" w:hanging="1134"/>
      </w:pPr>
      <w:r>
        <w:rPr>
          <w:i/>
        </w:rPr>
        <w:t xml:space="preserve">Paragraph 6.4.3.1, </w:t>
      </w:r>
      <w:r w:rsidRPr="00E31C56">
        <w:t>amend to read:</w:t>
      </w:r>
    </w:p>
    <w:p w:rsidR="001D60A6" w:rsidRDefault="00E07F0E" w:rsidP="001F652B">
      <w:pPr>
        <w:pStyle w:val="Regelungneu2-0times"/>
        <w:spacing w:line="240" w:lineRule="atLeast"/>
        <w:ind w:left="2268" w:right="1134"/>
        <w:jc w:val="both"/>
        <w:rPr>
          <w:sz w:val="20"/>
        </w:rPr>
      </w:pPr>
      <w:r>
        <w:rPr>
          <w:sz w:val="20"/>
        </w:rPr>
        <w:t>"</w:t>
      </w:r>
      <w:smartTag w:uri="urn:schemas-microsoft-com:office:smarttags" w:element="chsdate">
        <w:smartTagPr>
          <w:attr w:name="IsROCDate" w:val="False"/>
          <w:attr w:name="IsLunarDate" w:val="False"/>
          <w:attr w:name="Day" w:val="30"/>
          <w:attr w:name="Month" w:val="12"/>
          <w:attr w:name="Year" w:val="1899"/>
        </w:smartTagPr>
        <w:r w:rsidR="001D60A6" w:rsidRPr="00332659">
          <w:rPr>
            <w:sz w:val="20"/>
          </w:rPr>
          <w:t>6.4.3</w:t>
        </w:r>
      </w:smartTag>
      <w:r w:rsidR="001D60A6" w:rsidRPr="00332659">
        <w:rPr>
          <w:sz w:val="20"/>
        </w:rPr>
        <w:t>.1.</w:t>
      </w:r>
      <w:r w:rsidR="001D60A6" w:rsidRPr="00332659">
        <w:rPr>
          <w:sz w:val="20"/>
        </w:rPr>
        <w:tab/>
      </w:r>
      <w:r w:rsidR="00A71A68">
        <w:rPr>
          <w:sz w:val="20"/>
        </w:rPr>
        <w:t>P</w:t>
      </w:r>
      <w:r w:rsidR="001D60A6" w:rsidRPr="00332659">
        <w:rPr>
          <w:sz w:val="20"/>
        </w:rPr>
        <w:t xml:space="preserve">assing beam: points </w:t>
      </w:r>
      <w:r w:rsidR="001D60A6" w:rsidRPr="00332659">
        <w:rPr>
          <w:strike/>
          <w:sz w:val="20"/>
          <w:lang w:val="en-US"/>
        </w:rPr>
        <w:t>HV</w:t>
      </w:r>
      <w:r w:rsidR="001D60A6" w:rsidRPr="00332659">
        <w:rPr>
          <w:sz w:val="20"/>
          <w:lang w:val="en-US"/>
        </w:rPr>
        <w:t xml:space="preserve"> </w:t>
      </w:r>
      <w:r w:rsidR="001D60A6" w:rsidRPr="00332659">
        <w:rPr>
          <w:b/>
          <w:sz w:val="20"/>
          <w:lang w:val="en-US"/>
        </w:rPr>
        <w:t>B50L</w:t>
      </w:r>
      <w:r w:rsidR="001D60A6" w:rsidRPr="00332659">
        <w:rPr>
          <w:sz w:val="20"/>
        </w:rPr>
        <w:t xml:space="preserve"> and 75R, </w:t>
      </w:r>
      <w:r w:rsidR="001D60A6" w:rsidRPr="007964EF">
        <w:rPr>
          <w:sz w:val="20"/>
        </w:rPr>
        <w:t>or 50R if applicable;</w:t>
      </w:r>
      <w:r w:rsidR="001D60A6" w:rsidRPr="00332659">
        <w:rPr>
          <w:sz w:val="20"/>
        </w:rPr>
        <w:t xml:space="preserve"> </w:t>
      </w:r>
    </w:p>
    <w:p w:rsidR="001D60A6" w:rsidRPr="00332659" w:rsidRDefault="001D60A6" w:rsidP="001F652B">
      <w:pPr>
        <w:pStyle w:val="Regelungneu2-0times"/>
        <w:spacing w:line="240" w:lineRule="atLeast"/>
        <w:ind w:left="2268" w:right="1134"/>
        <w:jc w:val="both"/>
        <w:rPr>
          <w:sz w:val="20"/>
        </w:rPr>
      </w:pPr>
      <w:r>
        <w:rPr>
          <w:sz w:val="20"/>
        </w:rPr>
        <w:tab/>
        <w:t>D</w:t>
      </w:r>
      <w:r w:rsidRPr="00332659">
        <w:rPr>
          <w:sz w:val="20"/>
        </w:rPr>
        <w:t>riving beam: I</w:t>
      </w:r>
      <w:r w:rsidRPr="00332659">
        <w:rPr>
          <w:sz w:val="20"/>
          <w:vertAlign w:val="subscript"/>
        </w:rPr>
        <w:t>M</w:t>
      </w:r>
      <w:r w:rsidRPr="00332659">
        <w:rPr>
          <w:sz w:val="20"/>
        </w:rPr>
        <w:t xml:space="preserve"> and point HV (percentage of I</w:t>
      </w:r>
      <w:r w:rsidRPr="00332659">
        <w:rPr>
          <w:sz w:val="20"/>
          <w:vertAlign w:val="subscript"/>
        </w:rPr>
        <w:t>M</w:t>
      </w:r>
      <w:r w:rsidRPr="00332659">
        <w:rPr>
          <w:sz w:val="20"/>
        </w:rPr>
        <w:t>);</w:t>
      </w:r>
      <w:r w:rsidR="00E07F0E">
        <w:rPr>
          <w:sz w:val="20"/>
        </w:rPr>
        <w:t>"</w:t>
      </w:r>
    </w:p>
    <w:p w:rsidR="001D60A6" w:rsidRDefault="001D60A6" w:rsidP="005D0323">
      <w:pPr>
        <w:keepNext/>
        <w:keepLines/>
        <w:tabs>
          <w:tab w:val="left" w:pos="8505"/>
        </w:tabs>
        <w:spacing w:after="120"/>
        <w:ind w:left="2268" w:right="1134" w:hanging="1134"/>
      </w:pPr>
      <w:r>
        <w:rPr>
          <w:i/>
        </w:rPr>
        <w:lastRenderedPageBreak/>
        <w:t xml:space="preserve">Annex 4, first paragraph, </w:t>
      </w:r>
      <w:r w:rsidRPr="004550FA">
        <w:t>amend to read:</w:t>
      </w:r>
    </w:p>
    <w:p w:rsidR="00A71A68" w:rsidRDefault="00E07F0E" w:rsidP="005D0323">
      <w:pPr>
        <w:pStyle w:val="HChG"/>
      </w:pPr>
      <w:r>
        <w:tab/>
      </w:r>
      <w:r>
        <w:tab/>
      </w:r>
      <w:r w:rsidR="00A71A68">
        <w:t>"</w:t>
      </w:r>
      <w:r w:rsidR="00A71A68" w:rsidRPr="00A71A68">
        <w:t>Tests for stability of photometric performance of systems in operation - Tests on complete systems</w:t>
      </w:r>
      <w:r w:rsidR="00A71A68">
        <w:tab/>
      </w:r>
    </w:p>
    <w:p w:rsidR="001D60A6" w:rsidRPr="00A71A68" w:rsidRDefault="001D60A6" w:rsidP="00A71A68">
      <w:pPr>
        <w:pStyle w:val="SingleTxtG"/>
        <w:ind w:left="1854" w:firstLine="414"/>
      </w:pPr>
      <w:r w:rsidRPr="00A71A68">
        <w:t>T</w:t>
      </w:r>
      <w:r w:rsidR="00A71A68">
        <w:t>ests on complete systems</w:t>
      </w:r>
    </w:p>
    <w:p w:rsidR="00A71A68" w:rsidRDefault="001D60A6" w:rsidP="001F652B">
      <w:pPr>
        <w:pStyle w:val="rxxxannex"/>
        <w:tabs>
          <w:tab w:val="left" w:pos="8505"/>
        </w:tabs>
        <w:spacing w:line="240" w:lineRule="atLeast"/>
        <w:ind w:left="2268" w:right="1134"/>
        <w:jc w:val="both"/>
        <w:rPr>
          <w:sz w:val="20"/>
        </w:rPr>
      </w:pPr>
      <w:r w:rsidRPr="00332659">
        <w:rPr>
          <w:sz w:val="20"/>
        </w:rPr>
        <w:t xml:space="preserve">Once the photometric values have been measured according to the prescriptions of this Regulation, in the point of Emax for driving beam and in points </w:t>
      </w:r>
      <w:r w:rsidRPr="00332659">
        <w:rPr>
          <w:strike/>
          <w:sz w:val="20"/>
        </w:rPr>
        <w:t>HV</w:t>
      </w:r>
      <w:r>
        <w:rPr>
          <w:sz w:val="20"/>
        </w:rPr>
        <w:t xml:space="preserve"> </w:t>
      </w:r>
      <w:r w:rsidRPr="00332659">
        <w:rPr>
          <w:b/>
          <w:sz w:val="20"/>
        </w:rPr>
        <w:t>25L</w:t>
      </w:r>
      <w:r w:rsidRPr="00332659">
        <w:rPr>
          <w:sz w:val="20"/>
        </w:rPr>
        <w:t>, 50V and B</w:t>
      </w:r>
      <w:smartTag w:uri="urn:schemas-microsoft-com:office:smarttags" w:element="chmetcnv">
        <w:smartTagPr>
          <w:attr w:name="UnitName" w:val="l"/>
          <w:attr w:name="SourceValue" w:val="50"/>
          <w:attr w:name="HasSpace" w:val="False"/>
          <w:attr w:name="Negative" w:val="False"/>
          <w:attr w:name="NumberType" w:val="1"/>
          <w:attr w:name="TCSC" w:val="0"/>
        </w:smartTagPr>
        <w:r w:rsidRPr="00332659">
          <w:rPr>
            <w:sz w:val="20"/>
          </w:rPr>
          <w:t>50L</w:t>
        </w:r>
      </w:smartTag>
      <w:r w:rsidRPr="00332659">
        <w:rPr>
          <w:sz w:val="20"/>
        </w:rPr>
        <w:t xml:space="preserve"> </w:t>
      </w:r>
      <w:r w:rsidRPr="007964EF">
        <w:rPr>
          <w:sz w:val="20"/>
        </w:rPr>
        <w:t>(or R),</w:t>
      </w:r>
      <w:r w:rsidRPr="00332659">
        <w:rPr>
          <w:sz w:val="20"/>
        </w:rPr>
        <w:t xml:space="preserve"> whichever applies for passing beam, a complete system sample shall be tested for stability of photometric performance in operation.</w:t>
      </w:r>
    </w:p>
    <w:p w:rsidR="00A71A68" w:rsidRPr="00A63C06" w:rsidRDefault="00A71A68" w:rsidP="00A71A68">
      <w:pPr>
        <w:tabs>
          <w:tab w:val="left" w:pos="1134"/>
        </w:tabs>
        <w:spacing w:after="120"/>
        <w:ind w:left="2127" w:right="1134"/>
        <w:jc w:val="both"/>
      </w:pPr>
      <w:r>
        <w:t>…" (the remainder of the text is unchanged)</w:t>
      </w:r>
    </w:p>
    <w:p w:rsidR="00E07F0E" w:rsidRDefault="001D60A6" w:rsidP="001F652B">
      <w:pPr>
        <w:tabs>
          <w:tab w:val="left" w:pos="8505"/>
        </w:tabs>
        <w:spacing w:after="120"/>
        <w:ind w:left="2268" w:right="1134" w:hanging="1134"/>
        <w:rPr>
          <w:i/>
          <w:lang w:val="en-US"/>
        </w:rPr>
      </w:pPr>
      <w:r w:rsidRPr="007964EF">
        <w:rPr>
          <w:i/>
          <w:lang w:val="en-US"/>
        </w:rPr>
        <w:t xml:space="preserve">Annex </w:t>
      </w:r>
      <w:r w:rsidRPr="007964EF">
        <w:rPr>
          <w:i/>
        </w:rPr>
        <w:t>5</w:t>
      </w:r>
      <w:r w:rsidRPr="007964EF">
        <w:rPr>
          <w:i/>
          <w:lang w:val="en-US"/>
        </w:rPr>
        <w:t xml:space="preserve">, </w:t>
      </w:r>
    </w:p>
    <w:p w:rsidR="001D60A6" w:rsidRPr="00E07F0E" w:rsidRDefault="00E07F0E" w:rsidP="001F652B">
      <w:pPr>
        <w:tabs>
          <w:tab w:val="left" w:pos="8505"/>
        </w:tabs>
        <w:spacing w:after="120"/>
        <w:ind w:left="2268" w:right="1134" w:hanging="1134"/>
        <w:rPr>
          <w:lang w:val="en-US"/>
        </w:rPr>
      </w:pPr>
      <w:r>
        <w:rPr>
          <w:i/>
        </w:rPr>
        <w:t>P</w:t>
      </w:r>
      <w:r w:rsidR="001D60A6" w:rsidRPr="007964EF">
        <w:rPr>
          <w:i/>
        </w:rPr>
        <w:t>aragraph 1.2</w:t>
      </w:r>
      <w:r w:rsidR="001D60A6" w:rsidRPr="007964EF">
        <w:rPr>
          <w:i/>
          <w:lang w:val="en-US"/>
        </w:rPr>
        <w:t xml:space="preserve">.1.1., </w:t>
      </w:r>
      <w:r w:rsidR="001D60A6" w:rsidRPr="007964EF">
        <w:rPr>
          <w:lang w:val="en-US"/>
        </w:rPr>
        <w:t>amend to read:</w:t>
      </w:r>
      <w:r w:rsidR="00867C99">
        <w:rPr>
          <w:rStyle w:val="FootnoteReference"/>
          <w:lang w:val="en-US"/>
        </w:rPr>
        <w:footnoteReference w:id="3"/>
      </w:r>
      <w:r w:rsidR="001D60A6">
        <w:rPr>
          <w:color w:val="FF0000"/>
          <w:lang w:val="en-US"/>
        </w:rPr>
        <w:t xml:space="preserve"> </w:t>
      </w:r>
    </w:p>
    <w:p w:rsidR="001D60A6" w:rsidRPr="007964EF" w:rsidRDefault="00E07F0E" w:rsidP="001F652B">
      <w:pPr>
        <w:pStyle w:val="rxxxannex1"/>
        <w:tabs>
          <w:tab w:val="left" w:pos="8505"/>
        </w:tabs>
        <w:spacing w:line="240" w:lineRule="atLeast"/>
        <w:ind w:left="2268" w:right="1134" w:hanging="1134"/>
        <w:jc w:val="both"/>
        <w:rPr>
          <w:i/>
          <w:sz w:val="20"/>
        </w:rPr>
      </w:pPr>
      <w:r>
        <w:rPr>
          <w:sz w:val="20"/>
          <w:lang w:val="en-US"/>
        </w:rPr>
        <w:t>"</w:t>
      </w:r>
      <w:r w:rsidR="001D60A6" w:rsidRPr="007964EF">
        <w:rPr>
          <w:sz w:val="20"/>
          <w:lang w:val="en-US"/>
        </w:rPr>
        <w:t>1.2.1.1.</w:t>
      </w:r>
      <w:r w:rsidR="001D60A6" w:rsidRPr="007964EF">
        <w:rPr>
          <w:sz w:val="20"/>
          <w:lang w:val="en-US"/>
        </w:rPr>
        <w:tab/>
      </w:r>
      <w:r w:rsidR="001D60A6" w:rsidRPr="007964EF">
        <w:rPr>
          <w:sz w:val="20"/>
        </w:rPr>
        <w:t xml:space="preserve">For the following values </w:t>
      </w:r>
      <w:r w:rsidR="001D60A6" w:rsidRPr="007964EF">
        <w:rPr>
          <w:rFonts w:hint="eastAsia"/>
          <w:sz w:val="20"/>
        </w:rPr>
        <w:t>of the passing beam</w:t>
      </w:r>
      <w:r w:rsidR="001D60A6" w:rsidRPr="007964EF">
        <w:rPr>
          <w:sz w:val="20"/>
        </w:rPr>
        <w:t xml:space="preserve"> and its modes, the maximum unfavourable deviation may be respectively:</w:t>
      </w:r>
      <w:r w:rsidR="001D60A6" w:rsidRPr="007964EF">
        <w:rPr>
          <w:i/>
          <w:sz w:val="20"/>
        </w:rPr>
        <w:t xml:space="preserve"> </w:t>
      </w:r>
    </w:p>
    <w:p w:rsidR="001D60A6" w:rsidRPr="007964EF" w:rsidRDefault="00A71A68" w:rsidP="00E07F0E">
      <w:pPr>
        <w:pStyle w:val="rxxxannex1"/>
        <w:numPr>
          <w:ilvl w:val="0"/>
          <w:numId w:val="27"/>
        </w:numPr>
        <w:tabs>
          <w:tab w:val="left" w:pos="8505"/>
        </w:tabs>
        <w:spacing w:line="240" w:lineRule="atLeast"/>
        <w:ind w:left="2835" w:right="1134" w:hanging="576"/>
        <w:jc w:val="both"/>
        <w:rPr>
          <w:sz w:val="20"/>
        </w:rPr>
      </w:pPr>
      <w:r>
        <w:rPr>
          <w:sz w:val="20"/>
        </w:rPr>
        <w:t>M</w:t>
      </w:r>
      <w:r w:rsidR="001D60A6" w:rsidRPr="007964EF">
        <w:rPr>
          <w:sz w:val="20"/>
        </w:rPr>
        <w:t xml:space="preserve">aximum values at point B50L </w:t>
      </w:r>
      <w:r w:rsidR="001D60A6" w:rsidRPr="007964EF">
        <w:rPr>
          <w:rFonts w:hint="eastAsia"/>
          <w:sz w:val="20"/>
          <w:lang w:eastAsia="zh-CN"/>
        </w:rPr>
        <w:t xml:space="preserve"> 170 cd</w:t>
      </w:r>
      <w:r w:rsidR="001D60A6" w:rsidRPr="007964EF">
        <w:rPr>
          <w:sz w:val="20"/>
        </w:rPr>
        <w:t xml:space="preserve"> equivalent 20 per cent and </w:t>
      </w:r>
      <w:r w:rsidR="001D60A6" w:rsidRPr="007964EF">
        <w:rPr>
          <w:rFonts w:hint="eastAsia"/>
          <w:sz w:val="20"/>
          <w:lang w:eastAsia="zh-CN"/>
        </w:rPr>
        <w:t xml:space="preserve">255 cd </w:t>
      </w:r>
      <w:r w:rsidR="001D60A6" w:rsidRPr="007964EF">
        <w:rPr>
          <w:sz w:val="20"/>
        </w:rPr>
        <w:t xml:space="preserve">equivalent 30 per cent; </w:t>
      </w:r>
    </w:p>
    <w:p w:rsidR="001D60A6" w:rsidRPr="007964EF" w:rsidRDefault="00A71A68" w:rsidP="00E07F0E">
      <w:pPr>
        <w:pStyle w:val="rxxxannex1"/>
        <w:numPr>
          <w:ilvl w:val="0"/>
          <w:numId w:val="27"/>
        </w:numPr>
        <w:tabs>
          <w:tab w:val="left" w:pos="8505"/>
        </w:tabs>
        <w:spacing w:line="240" w:lineRule="atLeast"/>
        <w:ind w:left="2835" w:right="1134" w:hanging="576"/>
        <w:jc w:val="both"/>
        <w:rPr>
          <w:sz w:val="20"/>
        </w:rPr>
      </w:pPr>
      <w:r>
        <w:rPr>
          <w:sz w:val="20"/>
        </w:rPr>
        <w:t>M</w:t>
      </w:r>
      <w:r w:rsidR="001D60A6" w:rsidRPr="007964EF">
        <w:rPr>
          <w:sz w:val="20"/>
        </w:rPr>
        <w:t>aximum values at zone III</w:t>
      </w:r>
      <w:r w:rsidR="001D60A6" w:rsidRPr="007964EF">
        <w:rPr>
          <w:strike/>
          <w:sz w:val="20"/>
        </w:rPr>
        <w:t>, HV</w:t>
      </w:r>
      <w:r w:rsidR="001D60A6" w:rsidRPr="007964EF">
        <w:rPr>
          <w:sz w:val="20"/>
        </w:rPr>
        <w:t xml:space="preserve"> and segment BLL: </w:t>
      </w:r>
      <w:r w:rsidR="001D60A6" w:rsidRPr="007964EF">
        <w:rPr>
          <w:rFonts w:hint="eastAsia"/>
          <w:sz w:val="20"/>
          <w:lang w:eastAsia="zh-CN"/>
        </w:rPr>
        <w:t xml:space="preserve"> 255 cd</w:t>
      </w:r>
      <w:r w:rsidR="001D60A6" w:rsidRPr="007964EF">
        <w:rPr>
          <w:sz w:val="20"/>
        </w:rPr>
        <w:t xml:space="preserve"> equivalent 20 per cent and </w:t>
      </w:r>
      <w:r w:rsidR="001D60A6" w:rsidRPr="007964EF">
        <w:rPr>
          <w:rFonts w:hint="eastAsia"/>
          <w:sz w:val="20"/>
          <w:lang w:eastAsia="zh-CN"/>
        </w:rPr>
        <w:t xml:space="preserve">  380 cd</w:t>
      </w:r>
      <w:r w:rsidR="001D60A6" w:rsidRPr="007964EF">
        <w:rPr>
          <w:sz w:val="20"/>
        </w:rPr>
        <w:t xml:space="preserve"> equivalent 30 per cent;</w:t>
      </w:r>
    </w:p>
    <w:p w:rsidR="001D60A6" w:rsidRPr="007964EF" w:rsidRDefault="00A71A68" w:rsidP="00E07F0E">
      <w:pPr>
        <w:pStyle w:val="rxxxannex1"/>
        <w:numPr>
          <w:ilvl w:val="0"/>
          <w:numId w:val="27"/>
        </w:numPr>
        <w:tabs>
          <w:tab w:val="left" w:pos="8505"/>
        </w:tabs>
        <w:spacing w:line="240" w:lineRule="atLeast"/>
        <w:ind w:left="2835" w:right="1134" w:hanging="576"/>
        <w:jc w:val="both"/>
        <w:rPr>
          <w:sz w:val="20"/>
        </w:rPr>
      </w:pPr>
      <w:r>
        <w:rPr>
          <w:sz w:val="20"/>
        </w:rPr>
        <w:t>M</w:t>
      </w:r>
      <w:r w:rsidR="001D60A6" w:rsidRPr="007964EF">
        <w:rPr>
          <w:sz w:val="20"/>
        </w:rPr>
        <w:t xml:space="preserve">aximum values at segments E, F1, F2 and F3: </w:t>
      </w:r>
      <w:r w:rsidR="001D60A6" w:rsidRPr="007964EF">
        <w:rPr>
          <w:rFonts w:hint="eastAsia"/>
          <w:sz w:val="20"/>
          <w:lang w:eastAsia="zh-CN"/>
        </w:rPr>
        <w:t xml:space="preserve"> 170 cd</w:t>
      </w:r>
      <w:r w:rsidR="001D60A6" w:rsidRPr="007964EF">
        <w:rPr>
          <w:sz w:val="20"/>
        </w:rPr>
        <w:t xml:space="preserve"> equivalent 20 per cent and </w:t>
      </w:r>
      <w:r w:rsidR="001D60A6" w:rsidRPr="007964EF">
        <w:rPr>
          <w:rFonts w:hint="eastAsia"/>
          <w:sz w:val="20"/>
          <w:lang w:eastAsia="zh-CN"/>
        </w:rPr>
        <w:t xml:space="preserve">255 cd </w:t>
      </w:r>
      <w:r w:rsidR="001D60A6" w:rsidRPr="007964EF">
        <w:rPr>
          <w:sz w:val="20"/>
        </w:rPr>
        <w:t>equivalent 30 per cent;</w:t>
      </w:r>
    </w:p>
    <w:p w:rsidR="001D60A6" w:rsidRPr="007964EF" w:rsidRDefault="00A71A68" w:rsidP="00E07F0E">
      <w:pPr>
        <w:pStyle w:val="para"/>
        <w:numPr>
          <w:ilvl w:val="0"/>
          <w:numId w:val="27"/>
        </w:numPr>
        <w:tabs>
          <w:tab w:val="left" w:pos="8505"/>
        </w:tabs>
        <w:ind w:left="2835" w:hanging="576"/>
        <w:rPr>
          <w:b/>
          <w:lang w:val="en-US"/>
        </w:rPr>
      </w:pPr>
      <w:r>
        <w:rPr>
          <w:lang w:val="en-US"/>
        </w:rPr>
        <w:t>M</w:t>
      </w:r>
      <w:r w:rsidR="001D60A6" w:rsidRPr="007964EF">
        <w:rPr>
          <w:lang w:val="en-US"/>
        </w:rPr>
        <w:t xml:space="preserve">inimum values at BR, P, </w:t>
      </w:r>
      <w:r w:rsidR="001D60A6" w:rsidRPr="007964EF">
        <w:rPr>
          <w:rFonts w:hint="eastAsia"/>
          <w:lang w:val="en-US" w:eastAsia="zh-CN"/>
        </w:rPr>
        <w:t xml:space="preserve">at the groups </w:t>
      </w:r>
      <w:r w:rsidR="001D60A6" w:rsidRPr="007964EF">
        <w:rPr>
          <w:lang w:val="en-US"/>
        </w:rPr>
        <w:t>S 50</w:t>
      </w:r>
      <w:r w:rsidR="001D60A6" w:rsidRPr="007964EF">
        <w:rPr>
          <w:rFonts w:hint="eastAsia"/>
          <w:lang w:val="en-US" w:eastAsia="zh-CN"/>
        </w:rPr>
        <w:t>+</w:t>
      </w:r>
      <w:r w:rsidR="001D60A6" w:rsidRPr="007964EF">
        <w:rPr>
          <w:lang w:val="en-US"/>
        </w:rPr>
        <w:t xml:space="preserve"> S 50LL</w:t>
      </w:r>
      <w:r w:rsidR="001D60A6" w:rsidRPr="007964EF">
        <w:rPr>
          <w:rFonts w:hint="eastAsia"/>
          <w:lang w:val="en-US" w:eastAsia="zh-CN"/>
        </w:rPr>
        <w:t>+</w:t>
      </w:r>
      <w:r w:rsidR="001D60A6" w:rsidRPr="007964EF">
        <w:rPr>
          <w:lang w:val="en-US"/>
        </w:rPr>
        <w:t xml:space="preserve"> S 50RR, S 100</w:t>
      </w:r>
      <w:r w:rsidR="001D60A6" w:rsidRPr="007964EF">
        <w:rPr>
          <w:rFonts w:hint="eastAsia"/>
          <w:lang w:val="en-US" w:eastAsia="zh-CN"/>
        </w:rPr>
        <w:t>+</w:t>
      </w:r>
      <w:r w:rsidR="001D60A6" w:rsidRPr="007964EF">
        <w:rPr>
          <w:lang w:val="en-US"/>
        </w:rPr>
        <w:t xml:space="preserve"> S 100LL</w:t>
      </w:r>
      <w:r w:rsidR="001D60A6" w:rsidRPr="007964EF">
        <w:rPr>
          <w:rFonts w:hint="eastAsia"/>
          <w:lang w:val="en-US" w:eastAsia="zh-CN"/>
        </w:rPr>
        <w:t>+</w:t>
      </w:r>
      <w:r w:rsidR="001D60A6" w:rsidRPr="007964EF">
        <w:rPr>
          <w:lang w:val="en-US"/>
        </w:rPr>
        <w:t xml:space="preserve"> S 100RR, and those required by footnote </w:t>
      </w:r>
      <w:r w:rsidR="001D60A6" w:rsidRPr="007964EF">
        <w:rPr>
          <w:u w:val="single"/>
          <w:lang w:val="en-US"/>
        </w:rPr>
        <w:t>4</w:t>
      </w:r>
      <w:r w:rsidR="001D60A6" w:rsidRPr="007964EF">
        <w:rPr>
          <w:lang w:val="en-US"/>
        </w:rPr>
        <w:t>/ of Table 1 in Annex 3 of this Regulation (B50L</w:t>
      </w:r>
      <w:r w:rsidR="001D60A6" w:rsidRPr="007964EF">
        <w:rPr>
          <w:strike/>
          <w:lang w:val="en-US"/>
        </w:rPr>
        <w:t>, HV</w:t>
      </w:r>
      <w:r w:rsidR="001D60A6" w:rsidRPr="007964EF">
        <w:rPr>
          <w:lang w:val="en-US"/>
        </w:rPr>
        <w:t>, BR, BRR, BLL): half of the required value equivalent 20 per cent and three quarter of the required value equivalent 30 per cent</w:t>
      </w:r>
      <w:r>
        <w:rPr>
          <w:lang w:val="en-US"/>
        </w:rPr>
        <w:t>.</w:t>
      </w:r>
      <w:r w:rsidR="00E07F0E">
        <w:rPr>
          <w:lang w:val="en-US"/>
        </w:rPr>
        <w:t>"</w:t>
      </w:r>
    </w:p>
    <w:p w:rsidR="001D60A6" w:rsidRPr="00C56DA7" w:rsidRDefault="00E07F0E" w:rsidP="001F652B">
      <w:pPr>
        <w:tabs>
          <w:tab w:val="left" w:pos="8505"/>
        </w:tabs>
        <w:spacing w:after="120"/>
        <w:ind w:left="2268" w:right="1134" w:hanging="1134"/>
        <w:rPr>
          <w:lang w:val="en-US"/>
        </w:rPr>
      </w:pPr>
      <w:r>
        <w:rPr>
          <w:i/>
          <w:lang w:val="en-US"/>
        </w:rPr>
        <w:t>P</w:t>
      </w:r>
      <w:r w:rsidR="001D60A6">
        <w:rPr>
          <w:i/>
        </w:rPr>
        <w:t xml:space="preserve">aragraph </w:t>
      </w:r>
      <w:r w:rsidR="001D60A6" w:rsidRPr="002053D7">
        <w:rPr>
          <w:i/>
        </w:rPr>
        <w:t>2</w:t>
      </w:r>
      <w:r w:rsidR="001D60A6" w:rsidRPr="002053D7">
        <w:rPr>
          <w:i/>
          <w:lang w:val="en-US"/>
        </w:rPr>
        <w:t>.4.,</w:t>
      </w:r>
      <w:r w:rsidR="001D60A6" w:rsidRPr="00C56DA7">
        <w:rPr>
          <w:i/>
          <w:lang w:val="en-US"/>
        </w:rPr>
        <w:t xml:space="preserve"> </w:t>
      </w:r>
      <w:r w:rsidR="001D60A6" w:rsidRPr="00C56DA7">
        <w:rPr>
          <w:lang w:val="en-US"/>
        </w:rPr>
        <w:t>amend to read:</w:t>
      </w:r>
    </w:p>
    <w:p w:rsidR="001D60A6" w:rsidRPr="002053D7" w:rsidRDefault="00A520BF" w:rsidP="001F652B">
      <w:pPr>
        <w:pStyle w:val="para"/>
        <w:keepNext/>
        <w:keepLines/>
        <w:tabs>
          <w:tab w:val="left" w:pos="8505"/>
        </w:tabs>
        <w:rPr>
          <w:lang w:val="en-US"/>
        </w:rPr>
      </w:pPr>
      <w:r>
        <w:rPr>
          <w:lang w:val="en-US"/>
        </w:rPr>
        <w:t>"</w:t>
      </w:r>
      <w:r w:rsidR="001D60A6" w:rsidRPr="002053D7">
        <w:rPr>
          <w:lang w:val="en-US"/>
        </w:rPr>
        <w:t>2.4.</w:t>
      </w:r>
      <w:r w:rsidR="001D60A6" w:rsidRPr="002053D7">
        <w:rPr>
          <w:lang w:val="en-US"/>
        </w:rPr>
        <w:tab/>
        <w:t>Measured and recorded photometric characteristics</w:t>
      </w:r>
    </w:p>
    <w:p w:rsidR="001D60A6" w:rsidRPr="005F4295" w:rsidRDefault="001D60A6" w:rsidP="001F652B">
      <w:pPr>
        <w:pStyle w:val="rxxxannex1"/>
        <w:tabs>
          <w:tab w:val="left" w:pos="8505"/>
        </w:tabs>
        <w:spacing w:line="240" w:lineRule="atLeast"/>
        <w:ind w:left="2268" w:right="1134" w:firstLine="0"/>
        <w:jc w:val="both"/>
        <w:rPr>
          <w:sz w:val="20"/>
        </w:rPr>
      </w:pPr>
      <w:r w:rsidRPr="005F4295">
        <w:rPr>
          <w:sz w:val="20"/>
        </w:rPr>
        <w:t>The sampled headlamps shall be subjected to photometric measurements at the points provided for in the Regulation, the reading being limited:</w:t>
      </w:r>
    </w:p>
    <w:p w:rsidR="001D60A6" w:rsidRPr="005F4295" w:rsidRDefault="00A71A68" w:rsidP="001F652B">
      <w:pPr>
        <w:pStyle w:val="rxxxannex1"/>
        <w:tabs>
          <w:tab w:val="left" w:pos="8505"/>
        </w:tabs>
        <w:spacing w:line="240" w:lineRule="atLeast"/>
        <w:ind w:left="2268" w:right="1134" w:firstLine="0"/>
        <w:jc w:val="both"/>
        <w:rPr>
          <w:sz w:val="20"/>
        </w:rPr>
      </w:pPr>
      <w:r>
        <w:rPr>
          <w:sz w:val="20"/>
        </w:rPr>
        <w:t>T</w:t>
      </w:r>
      <w:r w:rsidR="001D60A6" w:rsidRPr="005F4295">
        <w:rPr>
          <w:rFonts w:hint="eastAsia"/>
          <w:sz w:val="20"/>
        </w:rPr>
        <w:t xml:space="preserve">o </w:t>
      </w:r>
      <w:r w:rsidR="001D60A6" w:rsidRPr="005F4295">
        <w:rPr>
          <w:sz w:val="20"/>
        </w:rPr>
        <w:t>points Emax, HV </w:t>
      </w:r>
      <w:r w:rsidR="001D60A6" w:rsidRPr="005F4295">
        <w:rPr>
          <w:sz w:val="20"/>
          <w:u w:val="single"/>
          <w:vertAlign w:val="superscript"/>
        </w:rPr>
        <w:t>1</w:t>
      </w:r>
      <w:r w:rsidR="001D60A6" w:rsidRPr="005F4295">
        <w:rPr>
          <w:sz w:val="20"/>
        </w:rPr>
        <w:t>/, "HL" and "HR" </w:t>
      </w:r>
      <w:r w:rsidR="001D60A6" w:rsidRPr="005F4295">
        <w:rPr>
          <w:sz w:val="20"/>
          <w:u w:val="single"/>
          <w:vertAlign w:val="superscript"/>
        </w:rPr>
        <w:t>2</w:t>
      </w:r>
      <w:r w:rsidR="001D60A6" w:rsidRPr="005F4295">
        <w:rPr>
          <w:sz w:val="20"/>
        </w:rPr>
        <w:t xml:space="preserve">/ in the case of a </w:t>
      </w:r>
      <w:r w:rsidR="001D60A6" w:rsidRPr="005F4295">
        <w:rPr>
          <w:rFonts w:hint="eastAsia"/>
          <w:sz w:val="20"/>
        </w:rPr>
        <w:t>driving beam</w:t>
      </w:r>
      <w:r w:rsidR="001D60A6" w:rsidRPr="005F4295">
        <w:rPr>
          <w:sz w:val="20"/>
        </w:rPr>
        <w:t>,</w:t>
      </w:r>
    </w:p>
    <w:p w:rsidR="001D60A6" w:rsidRPr="007964EF" w:rsidRDefault="00A71A68" w:rsidP="001F652B">
      <w:pPr>
        <w:pStyle w:val="para"/>
        <w:tabs>
          <w:tab w:val="left" w:pos="8505"/>
        </w:tabs>
        <w:ind w:firstLine="0"/>
        <w:rPr>
          <w:lang w:val="en-US"/>
        </w:rPr>
      </w:pPr>
      <w:r>
        <w:rPr>
          <w:lang w:val="en-US"/>
        </w:rPr>
        <w:t>T</w:t>
      </w:r>
      <w:r w:rsidR="001D60A6" w:rsidRPr="005F4295">
        <w:rPr>
          <w:lang w:val="en-US"/>
        </w:rPr>
        <w:t>o points B</w:t>
      </w:r>
      <w:smartTag w:uri="urn:schemas-microsoft-com:office:smarttags" w:element="chmetcnv">
        <w:smartTagPr>
          <w:attr w:name="TCSC" w:val="0"/>
          <w:attr w:name="NumberType" w:val="1"/>
          <w:attr w:name="Negative" w:val="False"/>
          <w:attr w:name="HasSpace" w:val="False"/>
          <w:attr w:name="SourceValue" w:val="50"/>
          <w:attr w:name="UnitName" w:val="l"/>
        </w:smartTagPr>
        <w:r w:rsidR="001D60A6" w:rsidRPr="005F4295">
          <w:rPr>
            <w:lang w:val="en-US"/>
          </w:rPr>
          <w:t>50L</w:t>
        </w:r>
      </w:smartTag>
      <w:r w:rsidR="001D60A6" w:rsidRPr="005F4295">
        <w:rPr>
          <w:lang w:val="en-US"/>
        </w:rPr>
        <w:t xml:space="preserve">, </w:t>
      </w:r>
      <w:r w:rsidR="001D60A6" w:rsidRPr="005F4295">
        <w:rPr>
          <w:strike/>
          <w:lang w:val="en-US"/>
        </w:rPr>
        <w:t>HV</w:t>
      </w:r>
      <w:r w:rsidR="001D60A6" w:rsidRPr="005F4295">
        <w:rPr>
          <w:rFonts w:hint="eastAsia"/>
          <w:strike/>
          <w:lang w:val="en-US"/>
        </w:rPr>
        <w:t xml:space="preserve"> if applicable</w:t>
      </w:r>
      <w:r w:rsidR="001D60A6">
        <w:rPr>
          <w:lang w:val="en-US"/>
        </w:rPr>
        <w:t xml:space="preserve"> </w:t>
      </w:r>
      <w:r w:rsidR="001D60A6" w:rsidRPr="005F4295">
        <w:rPr>
          <w:b/>
          <w:lang w:val="en-US"/>
        </w:rPr>
        <w:t>50L</w:t>
      </w:r>
      <w:r w:rsidR="001D60A6" w:rsidRPr="005F4295">
        <w:rPr>
          <w:lang w:val="en-US"/>
        </w:rPr>
        <w:t xml:space="preserve">, 50V, 75R </w:t>
      </w:r>
      <w:r w:rsidR="001D60A6" w:rsidRPr="005F4295">
        <w:rPr>
          <w:rFonts w:hint="eastAsia"/>
          <w:lang w:val="en-US"/>
        </w:rPr>
        <w:t>if applicable</w:t>
      </w:r>
      <w:r w:rsidR="001D60A6" w:rsidRPr="005F4295">
        <w:rPr>
          <w:lang w:val="en-US"/>
        </w:rPr>
        <w:t>, and 25LL in the case of the passing beam</w:t>
      </w:r>
      <w:r w:rsidR="001D60A6" w:rsidRPr="005F4295">
        <w:rPr>
          <w:iCs/>
          <w:lang w:val="en-US"/>
        </w:rPr>
        <w:t>(s)</w:t>
      </w:r>
      <w:r w:rsidR="001D60A6" w:rsidRPr="005F4295">
        <w:rPr>
          <w:lang w:val="en-US"/>
        </w:rPr>
        <w:t xml:space="preserve"> </w:t>
      </w:r>
      <w:r w:rsidR="001D60A6" w:rsidRPr="002053D7">
        <w:rPr>
          <w:lang w:val="en-US"/>
        </w:rPr>
        <w:t>(</w:t>
      </w:r>
      <w:r w:rsidR="001D60A6" w:rsidRPr="007964EF">
        <w:rPr>
          <w:lang w:val="en-US"/>
        </w:rPr>
        <w:t>see figure in Annex 3).</w:t>
      </w:r>
      <w:r w:rsidR="00E07F0E">
        <w:rPr>
          <w:lang w:val="en-US"/>
        </w:rPr>
        <w:t>"</w:t>
      </w:r>
    </w:p>
    <w:p w:rsidR="001D60A6" w:rsidRPr="00C56DA7" w:rsidRDefault="001D60A6" w:rsidP="001F652B">
      <w:pPr>
        <w:tabs>
          <w:tab w:val="left" w:pos="8505"/>
        </w:tabs>
        <w:spacing w:after="120"/>
        <w:ind w:left="2268" w:right="1134" w:hanging="1134"/>
        <w:rPr>
          <w:lang w:val="en-US"/>
        </w:rPr>
      </w:pPr>
      <w:r w:rsidRPr="007964EF">
        <w:rPr>
          <w:i/>
          <w:lang w:val="en-US"/>
        </w:rPr>
        <w:t xml:space="preserve">Annex </w:t>
      </w:r>
      <w:r w:rsidRPr="007964EF">
        <w:rPr>
          <w:i/>
        </w:rPr>
        <w:t>6</w:t>
      </w:r>
      <w:r w:rsidRPr="007964EF">
        <w:rPr>
          <w:i/>
          <w:lang w:val="en-US"/>
        </w:rPr>
        <w:t xml:space="preserve">, </w:t>
      </w:r>
      <w:r w:rsidRPr="007964EF">
        <w:rPr>
          <w:i/>
        </w:rPr>
        <w:t>paragraph 2.6</w:t>
      </w:r>
      <w:r w:rsidRPr="007964EF">
        <w:rPr>
          <w:i/>
          <w:lang w:val="en-US"/>
        </w:rPr>
        <w:t xml:space="preserve">.1.2, </w:t>
      </w:r>
      <w:r w:rsidRPr="007964EF">
        <w:rPr>
          <w:lang w:val="en-US"/>
        </w:rPr>
        <w:t>amend</w:t>
      </w:r>
      <w:r w:rsidRPr="00C56DA7">
        <w:rPr>
          <w:lang w:val="en-US"/>
        </w:rPr>
        <w:t xml:space="preserve"> to read:</w:t>
      </w:r>
    </w:p>
    <w:p w:rsidR="001D60A6" w:rsidRPr="005F4295" w:rsidRDefault="00E07F0E" w:rsidP="001F652B">
      <w:pPr>
        <w:pStyle w:val="rxxxannex1"/>
        <w:tabs>
          <w:tab w:val="left" w:pos="8505"/>
        </w:tabs>
        <w:spacing w:line="240" w:lineRule="atLeast"/>
        <w:ind w:left="2268" w:right="1134" w:hanging="1134"/>
        <w:jc w:val="both"/>
        <w:rPr>
          <w:sz w:val="20"/>
        </w:rPr>
      </w:pPr>
      <w:r>
        <w:rPr>
          <w:sz w:val="20"/>
        </w:rPr>
        <w:t>"</w:t>
      </w:r>
      <w:smartTag w:uri="urn:schemas-microsoft-com:office:smarttags" w:element="chsdate">
        <w:smartTagPr>
          <w:attr w:name="Year" w:val="1899"/>
          <w:attr w:name="Month" w:val="12"/>
          <w:attr w:name="Day" w:val="30"/>
          <w:attr w:name="IsLunarDate" w:val="False"/>
          <w:attr w:name="IsROCDate" w:val="False"/>
        </w:smartTagPr>
        <w:r w:rsidR="001D60A6" w:rsidRPr="005F4295">
          <w:rPr>
            <w:sz w:val="20"/>
          </w:rPr>
          <w:t>2.6.1</w:t>
        </w:r>
      </w:smartTag>
      <w:r w:rsidR="001D60A6" w:rsidRPr="005F4295">
        <w:rPr>
          <w:sz w:val="20"/>
        </w:rPr>
        <w:t>.2.</w:t>
      </w:r>
      <w:r w:rsidR="001D60A6" w:rsidRPr="005F4295">
        <w:rPr>
          <w:sz w:val="20"/>
        </w:rPr>
        <w:tab/>
      </w:r>
      <w:r w:rsidR="001D60A6" w:rsidRPr="00E07F0E">
        <w:rPr>
          <w:sz w:val="20"/>
        </w:rPr>
        <w:t>Results</w:t>
      </w:r>
    </w:p>
    <w:p w:rsidR="001D60A6" w:rsidRPr="005F4295" w:rsidRDefault="001D60A6" w:rsidP="001F652B">
      <w:pPr>
        <w:pStyle w:val="rxxxannex1"/>
        <w:tabs>
          <w:tab w:val="left" w:pos="8505"/>
        </w:tabs>
        <w:spacing w:line="240" w:lineRule="atLeast"/>
        <w:ind w:left="2268" w:right="1134" w:hanging="1134"/>
        <w:jc w:val="both"/>
        <w:rPr>
          <w:sz w:val="20"/>
        </w:rPr>
      </w:pPr>
      <w:r w:rsidRPr="005F4295">
        <w:rPr>
          <w:sz w:val="20"/>
        </w:rPr>
        <w:tab/>
        <w:t>After the test, the results of photometric measurements carried out on the system or part thereof</w:t>
      </w:r>
      <w:r w:rsidRPr="005F4295">
        <w:rPr>
          <w:i/>
          <w:sz w:val="20"/>
        </w:rPr>
        <w:t xml:space="preserve"> </w:t>
      </w:r>
      <w:r w:rsidRPr="005F4295">
        <w:rPr>
          <w:sz w:val="20"/>
        </w:rPr>
        <w:t>in accordance with this Regulation shall not exceed by more than 30 per cent the maximum values prescribed at point</w:t>
      </w:r>
      <w:r w:rsidRPr="005F4295">
        <w:rPr>
          <w:strike/>
          <w:sz w:val="20"/>
        </w:rPr>
        <w:t>s</w:t>
      </w:r>
      <w:r w:rsidRPr="005F4295">
        <w:rPr>
          <w:sz w:val="20"/>
        </w:rPr>
        <w:t xml:space="preserve"> B</w:t>
      </w:r>
      <w:smartTag w:uri="urn:schemas-microsoft-com:office:smarttags" w:element="chmetcnv">
        <w:smartTagPr>
          <w:attr w:name="UnitName" w:val="l"/>
          <w:attr w:name="SourceValue" w:val="50"/>
          <w:attr w:name="HasSpace" w:val="False"/>
          <w:attr w:name="Negative" w:val="False"/>
          <w:attr w:name="NumberType" w:val="1"/>
          <w:attr w:name="TCSC" w:val="0"/>
        </w:smartTagPr>
        <w:r w:rsidRPr="005F4295">
          <w:rPr>
            <w:sz w:val="20"/>
          </w:rPr>
          <w:t>50L</w:t>
        </w:r>
      </w:smartTag>
      <w:r w:rsidRPr="005F4295">
        <w:rPr>
          <w:sz w:val="20"/>
        </w:rPr>
        <w:t xml:space="preserve"> </w:t>
      </w:r>
      <w:r w:rsidRPr="005F4295">
        <w:rPr>
          <w:strike/>
          <w:sz w:val="20"/>
        </w:rPr>
        <w:t xml:space="preserve">and </w:t>
      </w:r>
      <w:r w:rsidRPr="005F4295">
        <w:rPr>
          <w:strike/>
          <w:sz w:val="20"/>
        </w:rPr>
        <w:lastRenderedPageBreak/>
        <w:t>HV</w:t>
      </w:r>
      <w:r w:rsidRPr="005F4295">
        <w:rPr>
          <w:sz w:val="20"/>
        </w:rPr>
        <w:t xml:space="preserve"> and not be more than 10 per cent below the minimum values prescribed at point 75R, if applicable.</w:t>
      </w:r>
      <w:r w:rsidR="00E07F0E">
        <w:rPr>
          <w:sz w:val="20"/>
        </w:rPr>
        <w:t>"</w:t>
      </w:r>
    </w:p>
    <w:p w:rsidR="001D60A6" w:rsidRPr="00E07F0E" w:rsidRDefault="001D60A6" w:rsidP="001F652B">
      <w:pPr>
        <w:tabs>
          <w:tab w:val="left" w:pos="8505"/>
        </w:tabs>
        <w:spacing w:after="120"/>
        <w:ind w:left="2268" w:right="1134" w:hanging="1134"/>
        <w:rPr>
          <w:lang w:val="en-US"/>
        </w:rPr>
      </w:pPr>
      <w:r w:rsidRPr="007964EF">
        <w:rPr>
          <w:i/>
          <w:lang w:val="en-US"/>
        </w:rPr>
        <w:t xml:space="preserve">Annex </w:t>
      </w:r>
      <w:r w:rsidRPr="007964EF">
        <w:rPr>
          <w:i/>
        </w:rPr>
        <w:t>7</w:t>
      </w:r>
      <w:r w:rsidRPr="007964EF">
        <w:rPr>
          <w:i/>
          <w:lang w:val="en-US"/>
        </w:rPr>
        <w:t xml:space="preserve">, </w:t>
      </w:r>
      <w:r w:rsidRPr="007964EF">
        <w:rPr>
          <w:i/>
        </w:rPr>
        <w:t>paragraph 1.2.1.1.,</w:t>
      </w:r>
      <w:r w:rsidRPr="007964EF">
        <w:rPr>
          <w:i/>
          <w:lang w:val="en-US"/>
        </w:rPr>
        <w:t xml:space="preserve"> </w:t>
      </w:r>
      <w:r w:rsidRPr="007964EF">
        <w:rPr>
          <w:lang w:val="en-US"/>
        </w:rPr>
        <w:t>amend to read</w:t>
      </w:r>
      <w:r w:rsidRPr="00E07F0E">
        <w:rPr>
          <w:lang w:val="en-US"/>
        </w:rPr>
        <w:t>:</w:t>
      </w:r>
      <w:r w:rsidR="00867C99" w:rsidRPr="00E07F0E">
        <w:rPr>
          <w:rStyle w:val="FootnoteReference"/>
          <w:lang w:val="en-US"/>
        </w:rPr>
        <w:footnoteReference w:id="4"/>
      </w:r>
      <w:r w:rsidRPr="00E07F0E">
        <w:rPr>
          <w:lang w:val="en-US"/>
        </w:rPr>
        <w:t xml:space="preserve"> </w:t>
      </w:r>
    </w:p>
    <w:p w:rsidR="001D60A6" w:rsidRPr="007964EF" w:rsidRDefault="00E07F0E" w:rsidP="001F652B">
      <w:pPr>
        <w:pStyle w:val="rxxxannex1"/>
        <w:tabs>
          <w:tab w:val="left" w:pos="8505"/>
        </w:tabs>
        <w:spacing w:line="240" w:lineRule="atLeast"/>
        <w:ind w:left="2268" w:right="1134" w:hanging="1134"/>
        <w:jc w:val="both"/>
        <w:rPr>
          <w:sz w:val="20"/>
        </w:rPr>
      </w:pPr>
      <w:r>
        <w:rPr>
          <w:sz w:val="20"/>
          <w:lang w:val="en-US"/>
        </w:rPr>
        <w:t>"</w:t>
      </w:r>
      <w:r w:rsidR="001D60A6" w:rsidRPr="007964EF">
        <w:rPr>
          <w:sz w:val="20"/>
        </w:rPr>
        <w:t>1.2.1.1.</w:t>
      </w:r>
      <w:r w:rsidR="001D60A6" w:rsidRPr="007964EF">
        <w:rPr>
          <w:sz w:val="20"/>
        </w:rPr>
        <w:tab/>
        <w:t xml:space="preserve">For the following values </w:t>
      </w:r>
      <w:r w:rsidR="001D60A6" w:rsidRPr="007964EF">
        <w:rPr>
          <w:rFonts w:hint="eastAsia"/>
          <w:sz w:val="20"/>
        </w:rPr>
        <w:t>of the passing beam</w:t>
      </w:r>
      <w:r w:rsidR="001D60A6" w:rsidRPr="007964EF">
        <w:rPr>
          <w:sz w:val="20"/>
        </w:rPr>
        <w:t xml:space="preserve"> and its modes, the maximum unfavourable deviation may be respectively: </w:t>
      </w:r>
    </w:p>
    <w:p w:rsidR="001D60A6" w:rsidRPr="007964EF" w:rsidRDefault="00A71A68" w:rsidP="00E07F0E">
      <w:pPr>
        <w:pStyle w:val="rxxxannex1"/>
        <w:numPr>
          <w:ilvl w:val="0"/>
          <w:numId w:val="28"/>
        </w:numPr>
        <w:tabs>
          <w:tab w:val="clear" w:pos="1134"/>
          <w:tab w:val="left" w:pos="851"/>
          <w:tab w:val="left" w:pos="8505"/>
        </w:tabs>
        <w:spacing w:line="240" w:lineRule="atLeast"/>
        <w:ind w:left="2835" w:right="1134" w:hanging="576"/>
        <w:jc w:val="both"/>
        <w:rPr>
          <w:sz w:val="20"/>
        </w:rPr>
      </w:pPr>
      <w:r>
        <w:rPr>
          <w:sz w:val="20"/>
        </w:rPr>
        <w:t>M</w:t>
      </w:r>
      <w:r w:rsidR="001D60A6" w:rsidRPr="007964EF">
        <w:rPr>
          <w:sz w:val="20"/>
        </w:rPr>
        <w:t xml:space="preserve">aximum values at point B50L </w:t>
      </w:r>
      <w:r w:rsidR="001D60A6" w:rsidRPr="007964EF">
        <w:rPr>
          <w:rFonts w:hint="eastAsia"/>
          <w:sz w:val="20"/>
          <w:lang w:eastAsia="zh-CN"/>
        </w:rPr>
        <w:t xml:space="preserve"> </w:t>
      </w:r>
      <w:r w:rsidR="001D60A6" w:rsidRPr="007964EF">
        <w:rPr>
          <w:sz w:val="20"/>
        </w:rPr>
        <w:t xml:space="preserve">170 cd equivalent 20 per cent and </w:t>
      </w:r>
      <w:r w:rsidR="001D60A6" w:rsidRPr="007964EF">
        <w:rPr>
          <w:rFonts w:hint="eastAsia"/>
          <w:sz w:val="20"/>
          <w:lang w:eastAsia="zh-CN"/>
        </w:rPr>
        <w:t xml:space="preserve">255 cd </w:t>
      </w:r>
      <w:r w:rsidR="001D60A6" w:rsidRPr="007964EF">
        <w:rPr>
          <w:sz w:val="20"/>
        </w:rPr>
        <w:t xml:space="preserve">equivalent 30 per cent; </w:t>
      </w:r>
    </w:p>
    <w:p w:rsidR="001D60A6" w:rsidRPr="007964EF" w:rsidRDefault="00A71A68" w:rsidP="00E07F0E">
      <w:pPr>
        <w:pStyle w:val="rxxxannex1"/>
        <w:numPr>
          <w:ilvl w:val="0"/>
          <w:numId w:val="28"/>
        </w:numPr>
        <w:tabs>
          <w:tab w:val="clear" w:pos="1134"/>
          <w:tab w:val="left" w:pos="851"/>
          <w:tab w:val="left" w:pos="8505"/>
        </w:tabs>
        <w:spacing w:line="240" w:lineRule="atLeast"/>
        <w:ind w:left="2835" w:right="1134" w:hanging="576"/>
        <w:jc w:val="both"/>
        <w:rPr>
          <w:sz w:val="20"/>
        </w:rPr>
      </w:pPr>
      <w:r>
        <w:rPr>
          <w:sz w:val="20"/>
        </w:rPr>
        <w:t>M</w:t>
      </w:r>
      <w:r w:rsidR="001D60A6" w:rsidRPr="007964EF">
        <w:rPr>
          <w:sz w:val="20"/>
        </w:rPr>
        <w:t>aximum values at zone III</w:t>
      </w:r>
      <w:r w:rsidR="001D60A6" w:rsidRPr="007964EF">
        <w:rPr>
          <w:strike/>
          <w:sz w:val="20"/>
        </w:rPr>
        <w:t xml:space="preserve">, HV </w:t>
      </w:r>
      <w:r w:rsidR="001D60A6" w:rsidRPr="007964EF">
        <w:rPr>
          <w:sz w:val="20"/>
        </w:rPr>
        <w:t xml:space="preserve">and segment BLL: </w:t>
      </w:r>
      <w:r w:rsidR="001D60A6" w:rsidRPr="007964EF">
        <w:rPr>
          <w:rFonts w:hint="eastAsia"/>
          <w:sz w:val="20"/>
          <w:lang w:eastAsia="zh-CN"/>
        </w:rPr>
        <w:t xml:space="preserve"> </w:t>
      </w:r>
      <w:r w:rsidR="001D60A6" w:rsidRPr="007964EF">
        <w:rPr>
          <w:sz w:val="20"/>
        </w:rPr>
        <w:t xml:space="preserve">255 cd equivalent 20 per cent and </w:t>
      </w:r>
      <w:r w:rsidR="001D60A6" w:rsidRPr="007964EF">
        <w:rPr>
          <w:rFonts w:hint="eastAsia"/>
          <w:sz w:val="20"/>
          <w:lang w:eastAsia="zh-CN"/>
        </w:rPr>
        <w:t xml:space="preserve">380 cd </w:t>
      </w:r>
      <w:r w:rsidR="001D60A6" w:rsidRPr="007964EF">
        <w:rPr>
          <w:sz w:val="20"/>
        </w:rPr>
        <w:t>equivalent 30 per cent;</w:t>
      </w:r>
    </w:p>
    <w:p w:rsidR="001D60A6" w:rsidRPr="007964EF" w:rsidRDefault="00A71A68" w:rsidP="00E07F0E">
      <w:pPr>
        <w:pStyle w:val="rxxxannex1"/>
        <w:numPr>
          <w:ilvl w:val="0"/>
          <w:numId w:val="28"/>
        </w:numPr>
        <w:tabs>
          <w:tab w:val="clear" w:pos="1134"/>
          <w:tab w:val="left" w:pos="851"/>
          <w:tab w:val="left" w:pos="8505"/>
        </w:tabs>
        <w:spacing w:line="240" w:lineRule="atLeast"/>
        <w:ind w:left="2835" w:right="1134" w:hanging="576"/>
        <w:jc w:val="both"/>
        <w:rPr>
          <w:sz w:val="20"/>
        </w:rPr>
      </w:pPr>
      <w:r>
        <w:rPr>
          <w:sz w:val="20"/>
        </w:rPr>
        <w:t>M</w:t>
      </w:r>
      <w:r w:rsidR="001D60A6" w:rsidRPr="007964EF">
        <w:rPr>
          <w:sz w:val="20"/>
        </w:rPr>
        <w:t xml:space="preserve">aximum values at segments E, F1, F2 and F3: </w:t>
      </w:r>
      <w:r w:rsidR="001D60A6" w:rsidRPr="007964EF">
        <w:rPr>
          <w:rFonts w:hint="eastAsia"/>
          <w:sz w:val="20"/>
          <w:lang w:eastAsia="zh-CN"/>
        </w:rPr>
        <w:t xml:space="preserve"> </w:t>
      </w:r>
      <w:r w:rsidR="001D60A6" w:rsidRPr="007964EF">
        <w:rPr>
          <w:sz w:val="20"/>
        </w:rPr>
        <w:t xml:space="preserve">170 cd equivalent 20 per cent and </w:t>
      </w:r>
      <w:r w:rsidR="001D60A6" w:rsidRPr="007964EF">
        <w:rPr>
          <w:rFonts w:hint="eastAsia"/>
          <w:sz w:val="20"/>
          <w:lang w:eastAsia="zh-CN"/>
        </w:rPr>
        <w:t xml:space="preserve"> </w:t>
      </w:r>
      <w:r w:rsidR="001D60A6" w:rsidRPr="007964EF">
        <w:rPr>
          <w:sz w:val="20"/>
        </w:rPr>
        <w:t>255 cd equivalent 30 per cent;</w:t>
      </w:r>
    </w:p>
    <w:p w:rsidR="001D60A6" w:rsidRPr="007964EF" w:rsidRDefault="00A71A68" w:rsidP="00E07F0E">
      <w:pPr>
        <w:pStyle w:val="rxxxannex1"/>
        <w:numPr>
          <w:ilvl w:val="0"/>
          <w:numId w:val="28"/>
        </w:numPr>
        <w:tabs>
          <w:tab w:val="clear" w:pos="1134"/>
          <w:tab w:val="left" w:pos="851"/>
          <w:tab w:val="left" w:pos="8505"/>
        </w:tabs>
        <w:spacing w:line="240" w:lineRule="atLeast"/>
        <w:ind w:left="2835" w:right="1134" w:hanging="576"/>
        <w:jc w:val="both"/>
        <w:rPr>
          <w:sz w:val="20"/>
        </w:rPr>
      </w:pPr>
      <w:r>
        <w:rPr>
          <w:sz w:val="20"/>
        </w:rPr>
        <w:t>M</w:t>
      </w:r>
      <w:r w:rsidR="001D60A6" w:rsidRPr="007964EF">
        <w:rPr>
          <w:sz w:val="20"/>
        </w:rPr>
        <w:t xml:space="preserve">inimum values at BR, P, </w:t>
      </w:r>
      <w:r w:rsidR="001D60A6" w:rsidRPr="007964EF">
        <w:rPr>
          <w:rFonts w:hint="eastAsia"/>
          <w:sz w:val="20"/>
          <w:lang w:eastAsia="zh-CN"/>
        </w:rPr>
        <w:t xml:space="preserve">at the groups </w:t>
      </w:r>
      <w:r w:rsidR="001D60A6" w:rsidRPr="007964EF">
        <w:rPr>
          <w:sz w:val="20"/>
        </w:rPr>
        <w:t>S50</w:t>
      </w:r>
      <w:r w:rsidR="001D60A6" w:rsidRPr="007964EF">
        <w:rPr>
          <w:rFonts w:hint="eastAsia"/>
          <w:sz w:val="20"/>
          <w:lang w:eastAsia="zh-CN"/>
        </w:rPr>
        <w:t>+</w:t>
      </w:r>
      <w:r w:rsidR="001D60A6" w:rsidRPr="007964EF">
        <w:rPr>
          <w:sz w:val="20"/>
        </w:rPr>
        <w:t>S50LL</w:t>
      </w:r>
      <w:r w:rsidR="001D60A6" w:rsidRPr="007964EF">
        <w:rPr>
          <w:rFonts w:hint="eastAsia"/>
          <w:sz w:val="20"/>
          <w:lang w:eastAsia="zh-CN"/>
        </w:rPr>
        <w:t>+</w:t>
      </w:r>
      <w:r w:rsidR="001D60A6" w:rsidRPr="007964EF">
        <w:rPr>
          <w:sz w:val="20"/>
        </w:rPr>
        <w:t>S50RR, S100</w:t>
      </w:r>
      <w:r w:rsidR="001D60A6" w:rsidRPr="007964EF">
        <w:rPr>
          <w:rFonts w:hint="eastAsia"/>
          <w:sz w:val="20"/>
          <w:lang w:eastAsia="zh-CN"/>
        </w:rPr>
        <w:t>+</w:t>
      </w:r>
      <w:r w:rsidR="001D60A6" w:rsidRPr="007964EF">
        <w:rPr>
          <w:sz w:val="20"/>
        </w:rPr>
        <w:t>S100LL</w:t>
      </w:r>
      <w:r w:rsidR="001D60A6" w:rsidRPr="007964EF">
        <w:rPr>
          <w:rFonts w:hint="eastAsia"/>
          <w:sz w:val="20"/>
          <w:lang w:eastAsia="zh-CN"/>
        </w:rPr>
        <w:t>+</w:t>
      </w:r>
      <w:r w:rsidR="001D60A6" w:rsidRPr="007964EF">
        <w:rPr>
          <w:sz w:val="20"/>
        </w:rPr>
        <w:t xml:space="preserve">S100RR,and those required by footnote </w:t>
      </w:r>
      <w:r w:rsidR="001D60A6" w:rsidRPr="007964EF">
        <w:rPr>
          <w:sz w:val="20"/>
          <w:u w:val="single"/>
        </w:rPr>
        <w:t>4</w:t>
      </w:r>
      <w:r w:rsidR="001D60A6" w:rsidRPr="007964EF">
        <w:rPr>
          <w:sz w:val="20"/>
        </w:rPr>
        <w:t>/ of Table 1 in Annex 3 of this Regulation (B50L</w:t>
      </w:r>
      <w:r w:rsidR="001D60A6" w:rsidRPr="007964EF">
        <w:rPr>
          <w:strike/>
          <w:sz w:val="20"/>
        </w:rPr>
        <w:t>, HV</w:t>
      </w:r>
      <w:r w:rsidR="001D60A6" w:rsidRPr="007964EF">
        <w:rPr>
          <w:sz w:val="20"/>
        </w:rPr>
        <w:t>, BR, BRR, BLL): half of the required value is equivalent to 20 per cent and three quarters of the required value equivalent to 30 per cent</w:t>
      </w:r>
      <w:r>
        <w:rPr>
          <w:sz w:val="20"/>
        </w:rPr>
        <w:t>.</w:t>
      </w:r>
      <w:r w:rsidR="00E07F0E">
        <w:rPr>
          <w:sz w:val="20"/>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537565" w:rsidRPr="00537565" w:rsidRDefault="00537565" w:rsidP="00537565">
      <w:pPr>
        <w:spacing w:before="240"/>
        <w:ind w:left="1134" w:right="1134"/>
        <w:jc w:val="both"/>
        <w:rPr>
          <w:lang w:val="en-US"/>
        </w:rPr>
      </w:pPr>
      <w:r>
        <w:rPr>
          <w:lang w:val="en-US"/>
        </w:rPr>
        <w:t>1.</w:t>
      </w:r>
      <w:r>
        <w:rPr>
          <w:lang w:val="en-US"/>
        </w:rPr>
        <w:tab/>
      </w:r>
      <w:r w:rsidRPr="00537565">
        <w:rPr>
          <w:lang w:val="en-US"/>
        </w:rPr>
        <w:t>The measurement point HV was deleted from the photometric requirement table for the passing beam by Supplement 3 to the 01 series of amendments to Regulation Nos. 98,</w:t>
      </w:r>
      <w:r>
        <w:rPr>
          <w:lang w:val="en-US"/>
        </w:rPr>
        <w:t xml:space="preserve"> </w:t>
      </w:r>
      <w:r w:rsidRPr="00537565">
        <w:rPr>
          <w:lang w:val="en-US"/>
        </w:rPr>
        <w:t>112 and 123, but remains as a requirement for checking photometric stability. This proposal removes the HV measurement point from the photometric stability requirements relating to the passing beam.</w:t>
      </w:r>
    </w:p>
    <w:p w:rsidR="00FA7728" w:rsidRDefault="00537565" w:rsidP="00E07F0E">
      <w:pPr>
        <w:spacing w:before="240"/>
        <w:ind w:left="1134" w:right="1134"/>
        <w:jc w:val="both"/>
        <w:rPr>
          <w:lang w:val="en-US"/>
        </w:rPr>
      </w:pPr>
      <w:r>
        <w:rPr>
          <w:lang w:val="en-US"/>
        </w:rPr>
        <w:t>2.</w:t>
      </w:r>
      <w:r>
        <w:rPr>
          <w:lang w:val="en-US"/>
        </w:rPr>
        <w:tab/>
      </w:r>
      <w:r w:rsidRPr="00537565">
        <w:rPr>
          <w:lang w:val="en-US"/>
        </w:rPr>
        <w:t xml:space="preserve">It should be noted that the deletion of the reference to the </w:t>
      </w:r>
      <w:r w:rsidR="00E07F0E">
        <w:rPr>
          <w:lang w:val="en-US"/>
        </w:rPr>
        <w:t>"</w:t>
      </w:r>
      <w:r w:rsidRPr="00537565">
        <w:rPr>
          <w:lang w:val="en-US"/>
        </w:rPr>
        <w:t>HV</w:t>
      </w:r>
      <w:r w:rsidR="00E07F0E">
        <w:rPr>
          <w:lang w:val="en-US"/>
        </w:rPr>
        <w:t>"</w:t>
      </w:r>
      <w:r w:rsidRPr="00537565">
        <w:rPr>
          <w:lang w:val="en-US"/>
        </w:rPr>
        <w:t xml:space="preserve"> measurement point only applies to the passing beam requirements; the reference to the </w:t>
      </w:r>
      <w:r w:rsidR="00E07F0E">
        <w:rPr>
          <w:lang w:val="en-US"/>
        </w:rPr>
        <w:t>"</w:t>
      </w:r>
      <w:r w:rsidRPr="00537565">
        <w:rPr>
          <w:lang w:val="en-US"/>
        </w:rPr>
        <w:t>HV</w:t>
      </w:r>
      <w:r w:rsidR="00E07F0E">
        <w:rPr>
          <w:lang w:val="en-US"/>
        </w:rPr>
        <w:t>"</w:t>
      </w:r>
      <w:r w:rsidRPr="00537565">
        <w:rPr>
          <w:lang w:val="en-US"/>
        </w:rPr>
        <w:t xml:space="preserve"> measurement point for the driving beam is not affected.</w:t>
      </w:r>
    </w:p>
    <w:p w:rsidR="00E07F0E" w:rsidRPr="00E07F0E" w:rsidRDefault="00E07F0E" w:rsidP="00E07F0E">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E07F0E" w:rsidRPr="00E07F0E"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2" w:rsidRDefault="003146C2"/>
  </w:endnote>
  <w:endnote w:type="continuationSeparator" w:id="0">
    <w:p w:rsidR="003146C2" w:rsidRDefault="003146C2"/>
  </w:endnote>
  <w:endnote w:type="continuationNotice" w:id="1">
    <w:p w:rsidR="003146C2" w:rsidRDefault="0031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5337E0">
      <w:rPr>
        <w:b/>
        <w:noProof/>
        <w:sz w:val="18"/>
      </w:rPr>
      <w:t>6</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5337E0">
      <w:rPr>
        <w:b/>
        <w:noProof/>
        <w:sz w:val="18"/>
      </w:rPr>
      <w:t>5</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C6" w:rsidRDefault="00B443C6" w:rsidP="00B443C6">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443C6" w:rsidRDefault="00B443C6" w:rsidP="00B443C6">
    <w:pPr>
      <w:pStyle w:val="Footer"/>
      <w:ind w:right="1134"/>
      <w:rPr>
        <w:sz w:val="20"/>
      </w:rPr>
    </w:pPr>
    <w:r>
      <w:rPr>
        <w:sz w:val="20"/>
      </w:rPr>
      <w:t>GE.16-14019(E)</w:t>
    </w:r>
  </w:p>
  <w:p w:rsidR="00B443C6" w:rsidRPr="00B443C6" w:rsidRDefault="00B443C6" w:rsidP="00B443C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29/GRE/2016/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2" w:rsidRPr="000B175B" w:rsidRDefault="003146C2" w:rsidP="000B175B">
      <w:pPr>
        <w:tabs>
          <w:tab w:val="right" w:pos="2155"/>
        </w:tabs>
        <w:spacing w:after="80"/>
        <w:ind w:left="680"/>
        <w:rPr>
          <w:u w:val="single"/>
        </w:rPr>
      </w:pPr>
      <w:r>
        <w:rPr>
          <w:u w:val="single"/>
        </w:rPr>
        <w:tab/>
      </w:r>
    </w:p>
  </w:footnote>
  <w:footnote w:type="continuationSeparator" w:id="0">
    <w:p w:rsidR="003146C2" w:rsidRPr="00FC68B7" w:rsidRDefault="003146C2" w:rsidP="00FC68B7">
      <w:pPr>
        <w:tabs>
          <w:tab w:val="left" w:pos="2155"/>
        </w:tabs>
        <w:spacing w:after="80"/>
        <w:ind w:left="680"/>
        <w:rPr>
          <w:u w:val="single"/>
        </w:rPr>
      </w:pPr>
      <w:r>
        <w:rPr>
          <w:u w:val="single"/>
        </w:rPr>
        <w:tab/>
      </w:r>
    </w:p>
  </w:footnote>
  <w:footnote w:type="continuationNotice" w:id="1">
    <w:p w:rsidR="003146C2" w:rsidRDefault="003146C2"/>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867C99" w:rsidRPr="00867C99" w:rsidRDefault="00867C99">
      <w:pPr>
        <w:pStyle w:val="FootnoteText"/>
        <w:rPr>
          <w:lang w:val="en-US"/>
        </w:rPr>
      </w:pPr>
      <w:r>
        <w:tab/>
      </w:r>
      <w:r>
        <w:rPr>
          <w:rStyle w:val="FootnoteReference"/>
        </w:rPr>
        <w:footnoteRef/>
      </w:r>
      <w:r>
        <w:t xml:space="preserve"> </w:t>
      </w:r>
      <w:r w:rsidR="00E07F0E">
        <w:tab/>
      </w:r>
      <w:r w:rsidRPr="00867C99">
        <w:t>This paragraph is subject to deletion according to ECE/TRANS/WP.29/GRE/2016/28</w:t>
      </w:r>
      <w:r>
        <w:t>.</w:t>
      </w:r>
    </w:p>
  </w:footnote>
  <w:footnote w:id="4">
    <w:p w:rsidR="00867C99" w:rsidRPr="00867C99" w:rsidRDefault="00867C99" w:rsidP="00867C99">
      <w:pPr>
        <w:pStyle w:val="FootnoteText"/>
        <w:rPr>
          <w:lang w:val="en-US"/>
        </w:rPr>
      </w:pPr>
      <w:r>
        <w:tab/>
      </w:r>
      <w:r>
        <w:rPr>
          <w:rStyle w:val="FootnoteReference"/>
        </w:rPr>
        <w:footnoteRef/>
      </w:r>
      <w:r>
        <w:t xml:space="preserve"> </w:t>
      </w:r>
      <w:r w:rsidR="005D0323">
        <w:tab/>
      </w:r>
      <w:r w:rsidRPr="00867C99">
        <w:t>This paragraph is subject to deletion according to ECE/TRANS/WP.29/GRE/2016/28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65137A">
      <w:t>2</w:t>
    </w:r>
    <w:r w:rsidR="001D60A6">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65137A">
      <w:t>2</w:t>
    </w:r>
    <w:r w:rsidR="001D60A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2">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2"/>
  </w:num>
  <w:num w:numId="14">
    <w:abstractNumId w:val="25"/>
  </w:num>
  <w:num w:numId="15">
    <w:abstractNumId w:val="26"/>
  </w:num>
  <w:num w:numId="16">
    <w:abstractNumId w:val="10"/>
  </w:num>
  <w:num w:numId="17">
    <w:abstractNumId w:val="17"/>
  </w:num>
  <w:num w:numId="18">
    <w:abstractNumId w:val="20"/>
  </w:num>
  <w:num w:numId="19">
    <w:abstractNumId w:val="11"/>
  </w:num>
  <w:num w:numId="20">
    <w:abstractNumId w:val="18"/>
  </w:num>
  <w:num w:numId="21">
    <w:abstractNumId w:val="27"/>
  </w:num>
  <w:num w:numId="22">
    <w:abstractNumId w:val="16"/>
  </w:num>
  <w:num w:numId="23">
    <w:abstractNumId w:val="23"/>
  </w:num>
  <w:num w:numId="24">
    <w:abstractNumId w:val="19"/>
  </w:num>
  <w:num w:numId="25">
    <w:abstractNumId w:val="14"/>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722F"/>
    <w:rsid w:val="0014380B"/>
    <w:rsid w:val="00150388"/>
    <w:rsid w:val="00157FE9"/>
    <w:rsid w:val="0016538B"/>
    <w:rsid w:val="00165F3A"/>
    <w:rsid w:val="00181198"/>
    <w:rsid w:val="00182290"/>
    <w:rsid w:val="001A3955"/>
    <w:rsid w:val="001B4B04"/>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4772E"/>
    <w:rsid w:val="00253714"/>
    <w:rsid w:val="002546AE"/>
    <w:rsid w:val="002608F3"/>
    <w:rsid w:val="00267F5F"/>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3556"/>
    <w:rsid w:val="0045495B"/>
    <w:rsid w:val="004561E5"/>
    <w:rsid w:val="00462DC9"/>
    <w:rsid w:val="00467628"/>
    <w:rsid w:val="004833EE"/>
    <w:rsid w:val="0048397A"/>
    <w:rsid w:val="00485CBB"/>
    <w:rsid w:val="004866B7"/>
    <w:rsid w:val="004A1587"/>
    <w:rsid w:val="004C0081"/>
    <w:rsid w:val="004C2461"/>
    <w:rsid w:val="004C7462"/>
    <w:rsid w:val="004D127C"/>
    <w:rsid w:val="004E77B2"/>
    <w:rsid w:val="005000A9"/>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C342F"/>
    <w:rsid w:val="005C7D1E"/>
    <w:rsid w:val="005D0323"/>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5CEC"/>
    <w:rsid w:val="006A2530"/>
    <w:rsid w:val="006B1C59"/>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53AF2"/>
    <w:rsid w:val="00761394"/>
    <w:rsid w:val="007629C8"/>
    <w:rsid w:val="0077047D"/>
    <w:rsid w:val="00775F3E"/>
    <w:rsid w:val="007874B5"/>
    <w:rsid w:val="00787EE8"/>
    <w:rsid w:val="0079032E"/>
    <w:rsid w:val="00796214"/>
    <w:rsid w:val="007A1E70"/>
    <w:rsid w:val="007A2CFB"/>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67C99"/>
    <w:rsid w:val="00872E3B"/>
    <w:rsid w:val="008878DE"/>
    <w:rsid w:val="008928C6"/>
    <w:rsid w:val="00894E11"/>
    <w:rsid w:val="008979B1"/>
    <w:rsid w:val="008A1ED5"/>
    <w:rsid w:val="008A6B25"/>
    <w:rsid w:val="008A6C4F"/>
    <w:rsid w:val="008B0563"/>
    <w:rsid w:val="008B2335"/>
    <w:rsid w:val="008B2E36"/>
    <w:rsid w:val="008C2428"/>
    <w:rsid w:val="008C3247"/>
    <w:rsid w:val="008E0678"/>
    <w:rsid w:val="008E5532"/>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B26E7"/>
    <w:rsid w:val="009B2F79"/>
    <w:rsid w:val="009B3273"/>
    <w:rsid w:val="009B544C"/>
    <w:rsid w:val="009B6278"/>
    <w:rsid w:val="009B64BB"/>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20BF"/>
    <w:rsid w:val="00A5414C"/>
    <w:rsid w:val="00A56580"/>
    <w:rsid w:val="00A6129C"/>
    <w:rsid w:val="00A71A68"/>
    <w:rsid w:val="00A72F22"/>
    <w:rsid w:val="00A7360F"/>
    <w:rsid w:val="00A7397C"/>
    <w:rsid w:val="00A748A6"/>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3F3B"/>
    <w:rsid w:val="00BC3FA0"/>
    <w:rsid w:val="00BC74E9"/>
    <w:rsid w:val="00BE48EA"/>
    <w:rsid w:val="00BF1E2C"/>
    <w:rsid w:val="00BF30B3"/>
    <w:rsid w:val="00BF43C8"/>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B3E03"/>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E00F5C"/>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9363-B27B-48A3-82FF-C1B14E82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1681</Words>
  <Characters>9582</Characters>
  <Application>Microsoft Office Word</Application>
  <DocSecurity>4</DocSecurity>
  <Lines>79</Lines>
  <Paragraphs>22</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1614019</vt:lpstr>
      <vt:lpstr>United Nations</vt:lpstr>
      <vt:lpstr>United Nations</vt:lpstr>
    </vt:vector>
  </TitlesOfParts>
  <Company>CSD</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1614019</dc:title>
  <dc:subject>ECE/TRANS/WP.29/GRE/2016/25</dc:subject>
  <dc:creator>GTB;Francois Guichard</dc:creator>
  <cp:lastModifiedBy>Benedicte Boudol</cp:lastModifiedBy>
  <cp:revision>2</cp:revision>
  <cp:lastPrinted>2016-08-08T15:46:00Z</cp:lastPrinted>
  <dcterms:created xsi:type="dcterms:W3CDTF">2016-09-06T14:42:00Z</dcterms:created>
  <dcterms:modified xsi:type="dcterms:W3CDTF">2016-09-06T14:42:00Z</dcterms:modified>
</cp:coreProperties>
</file>