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275800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A16D8C" w:rsidRPr="00370AD8">
              <w:t>6</w:t>
            </w:r>
            <w:r w:rsidRPr="00370AD8">
              <w:t>/</w:t>
            </w:r>
            <w:r w:rsidR="0065137A">
              <w:t>2</w:t>
            </w:r>
            <w:r w:rsidR="00275800">
              <w:t>2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D9494E" w:rsidP="006D66AF">
            <w:pPr>
              <w:spacing w:line="240" w:lineRule="exact"/>
            </w:pPr>
            <w:r>
              <w:t>9</w:t>
            </w:r>
            <w:r w:rsidR="005E1BC9">
              <w:t xml:space="preserve"> </w:t>
            </w:r>
            <w:r w:rsidR="0036599E">
              <w:t xml:space="preserve">August </w:t>
            </w:r>
            <w:r w:rsidR="00370AD8">
              <w:t>2016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36599E" w:rsidP="0036599E">
      <w:pPr>
        <w:rPr>
          <w:b/>
        </w:rPr>
      </w:pPr>
      <w:r>
        <w:rPr>
          <w:b/>
        </w:rPr>
        <w:t>Seventy-sixth</w:t>
      </w:r>
      <w:r w:rsidRPr="004D1FAA">
        <w:rPr>
          <w:b/>
        </w:rPr>
        <w:t xml:space="preserve"> session</w:t>
      </w:r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>
        <w:rPr>
          <w:bCs/>
        </w:rPr>
        <w:t xml:space="preserve">25–28 October </w:t>
      </w:r>
      <w:r w:rsidRPr="004D1FAA">
        <w:rPr>
          <w:bCs/>
        </w:rPr>
        <w:t>2016</w:t>
      </w:r>
    </w:p>
    <w:p w:rsidR="0036599E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7 (</w:t>
      </w:r>
      <w:r w:rsidR="00275800">
        <w:rPr>
          <w:bCs/>
        </w:rPr>
        <w:t>b</w:t>
      </w:r>
      <w:r>
        <w:rPr>
          <w:bCs/>
        </w:rPr>
        <w:t>)</w:t>
      </w:r>
      <w:r w:rsidR="00275800">
        <w:rPr>
          <w:bCs/>
        </w:rPr>
        <w:t xml:space="preserve"> of the provisional agenda</w:t>
      </w:r>
      <w:r w:rsidRPr="004D1FAA">
        <w:rPr>
          <w:bCs/>
        </w:rPr>
        <w:br/>
      </w:r>
      <w:r w:rsidR="00275800" w:rsidRPr="00275800">
        <w:rPr>
          <w:b/>
          <w:bCs/>
        </w:rPr>
        <w:t>Other Regulations</w:t>
      </w:r>
      <w:r w:rsidR="00275800">
        <w:rPr>
          <w:b/>
          <w:bCs/>
        </w:rPr>
        <w:t xml:space="preserve">: </w:t>
      </w:r>
      <w:r w:rsidR="00275800" w:rsidRPr="00275800">
        <w:rPr>
          <w:b/>
          <w:bCs/>
        </w:rPr>
        <w:t>Regulation No. 7 (Position, stop and end-outline lamps)</w:t>
      </w:r>
    </w:p>
    <w:p w:rsidR="006D66AF" w:rsidRPr="00370AD8" w:rsidRDefault="006D66AF" w:rsidP="0093146E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275800" w:rsidRPr="00275800">
        <w:rPr>
          <w:lang w:val="en-US"/>
        </w:rPr>
        <w:t>Proposal for Supplement 2</w:t>
      </w:r>
      <w:r w:rsidR="00275800">
        <w:rPr>
          <w:lang w:val="en-US"/>
        </w:rPr>
        <w:t>6</w:t>
      </w:r>
      <w:r w:rsidR="00275800" w:rsidRPr="00275800">
        <w:rPr>
          <w:lang w:val="en-US"/>
        </w:rPr>
        <w:t xml:space="preserve"> to the 02 series of amendments to Regulation No. 7 (Position, stop and end-outline lamps)</w:t>
      </w:r>
      <w:r w:rsidR="00275800">
        <w:rPr>
          <w:lang w:val="en-US"/>
        </w:rPr>
        <w:t xml:space="preserve"> </w:t>
      </w:r>
      <w:r w:rsidR="00003702" w:rsidRPr="00370AD8">
        <w:rPr>
          <w:lang w:val="en-US"/>
        </w:rPr>
        <w:t xml:space="preserve"> </w:t>
      </w:r>
    </w:p>
    <w:p w:rsidR="00F91276" w:rsidRPr="004D1FAA" w:rsidRDefault="00F91276" w:rsidP="0093146E">
      <w:pPr>
        <w:pStyle w:val="H1G"/>
        <w:ind w:firstLine="0"/>
      </w:pPr>
      <w:r w:rsidRPr="004D1FAA">
        <w:t>Submitted by the expert from the International Automotive Lighting and Light Signalling Expert Group (GTB)</w:t>
      </w:r>
      <w:r w:rsidRPr="004D1FAA">
        <w:rPr>
          <w:sz w:val="18"/>
          <w:vertAlign w:val="superscript"/>
        </w:rPr>
        <w:footnoteReference w:customMarkFollows="1" w:id="2"/>
        <w:t>*</w:t>
      </w:r>
    </w:p>
    <w:p w:rsidR="006D66AF" w:rsidRPr="00C970EE" w:rsidRDefault="00275800" w:rsidP="0093146E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275800">
        <w:rPr>
          <w:rFonts w:eastAsia="Calibri"/>
        </w:rPr>
        <w:t>The text reproduced below was prepared by the expert from GTB to align the text of the Regulation with the latest definition of “</w:t>
      </w:r>
      <w:r>
        <w:rPr>
          <w:rFonts w:eastAsia="Calibri"/>
        </w:rPr>
        <w:t>s</w:t>
      </w:r>
      <w:r w:rsidRPr="00275800">
        <w:rPr>
          <w:rFonts w:eastAsia="Calibri"/>
        </w:rPr>
        <w:t xml:space="preserve">ingle </w:t>
      </w:r>
      <w:r>
        <w:rPr>
          <w:rFonts w:eastAsia="Calibri"/>
        </w:rPr>
        <w:t>l</w:t>
      </w:r>
      <w:r w:rsidRPr="00275800">
        <w:rPr>
          <w:rFonts w:eastAsia="Calibri"/>
        </w:rPr>
        <w:t>amp”. The modifications to the existing text of the Regulation are marked in bold for new or strikethrough for deleted characters.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585059" w:rsidRPr="009E5F77" w:rsidRDefault="006D66AF" w:rsidP="00585059">
      <w:pPr>
        <w:pStyle w:val="HChG"/>
        <w:jc w:val="both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9E5F77">
        <w:rPr>
          <w:lang w:val="en-US"/>
        </w:rPr>
        <w:t>Proposal</w:t>
      </w:r>
    </w:p>
    <w:p w:rsidR="00275800" w:rsidRPr="00807132" w:rsidRDefault="00275800" w:rsidP="00275800">
      <w:pPr>
        <w:pStyle w:val="SingleTxtG"/>
        <w:tabs>
          <w:tab w:val="left" w:pos="8505"/>
        </w:tabs>
        <w:spacing w:line="240" w:lineRule="auto"/>
      </w:pPr>
      <w:r>
        <w:rPr>
          <w:i/>
          <w:iCs/>
        </w:rPr>
        <w:t>Paragraph 6</w:t>
      </w:r>
      <w:r w:rsidR="00EA5A18">
        <w:rPr>
          <w:i/>
          <w:iCs/>
        </w:rPr>
        <w:t>.1</w:t>
      </w:r>
      <w:r w:rsidR="006B1C59">
        <w:rPr>
          <w:i/>
          <w:iCs/>
        </w:rPr>
        <w:t>.</w:t>
      </w:r>
      <w:r>
        <w:rPr>
          <w:i/>
          <w:iCs/>
        </w:rPr>
        <w:t>, table, header row,</w:t>
      </w:r>
      <w:r w:rsidRPr="00807132">
        <w:t xml:space="preserve"> amend to read:</w:t>
      </w:r>
    </w:p>
    <w:p w:rsidR="00275800" w:rsidRPr="00807132" w:rsidRDefault="00275800" w:rsidP="00275800">
      <w:pPr>
        <w:pStyle w:val="SingleTxtG"/>
        <w:tabs>
          <w:tab w:val="left" w:pos="8505"/>
        </w:tabs>
        <w:spacing w:line="240" w:lineRule="auto"/>
        <w:ind w:left="2268" w:hanging="1134"/>
        <w:rPr>
          <w:bCs/>
          <w:lang w:eastAsia="zh-CN"/>
        </w:rPr>
      </w:pPr>
      <w:r w:rsidRPr="00807132">
        <w:t>"</w:t>
      </w:r>
    </w:p>
    <w:tbl>
      <w:tblPr>
        <w:tblW w:w="737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084"/>
        <w:gridCol w:w="1189"/>
        <w:gridCol w:w="1984"/>
      </w:tblGrid>
      <w:tr w:rsidR="00275800" w:rsidRPr="00A238BB" w:rsidTr="000C632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5800" w:rsidRPr="00A238BB" w:rsidRDefault="00275800" w:rsidP="000C632D">
            <w:pPr>
              <w:spacing w:before="60" w:after="60"/>
              <w:ind w:left="113" w:right="113"/>
              <w:rPr>
                <w:i/>
                <w:lang w:eastAsia="zh-CN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5800" w:rsidRPr="00590860" w:rsidRDefault="00275800" w:rsidP="000C632D">
            <w:pPr>
              <w:spacing w:before="60" w:after="60"/>
              <w:ind w:right="87"/>
              <w:jc w:val="right"/>
              <w:rPr>
                <w:i/>
                <w:sz w:val="16"/>
                <w:szCs w:val="16"/>
              </w:rPr>
            </w:pPr>
            <w:r w:rsidRPr="00590860">
              <w:rPr>
                <w:i/>
                <w:sz w:val="16"/>
                <w:szCs w:val="16"/>
              </w:rPr>
              <w:t>Minimum luminous intensity in cd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00" w:rsidRPr="00590860" w:rsidRDefault="00275800" w:rsidP="000C632D">
            <w:pPr>
              <w:spacing w:before="60" w:after="60"/>
              <w:ind w:left="197" w:right="113"/>
              <w:jc w:val="right"/>
              <w:rPr>
                <w:i/>
                <w:sz w:val="16"/>
                <w:szCs w:val="16"/>
              </w:rPr>
            </w:pPr>
            <w:r w:rsidRPr="00590860">
              <w:rPr>
                <w:i/>
                <w:sz w:val="16"/>
                <w:szCs w:val="16"/>
              </w:rPr>
              <w:t>Maximum luminous intensity in cd when used as</w:t>
            </w:r>
          </w:p>
        </w:tc>
      </w:tr>
      <w:tr w:rsidR="00275800" w:rsidRPr="00A238BB" w:rsidTr="000C632D">
        <w:trPr>
          <w:tblHeader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00" w:rsidRPr="00A238BB" w:rsidRDefault="00275800" w:rsidP="000C632D">
            <w:pPr>
              <w:spacing w:before="60" w:after="60"/>
              <w:ind w:left="113" w:right="113"/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00" w:rsidRPr="00A238BB" w:rsidRDefault="00275800" w:rsidP="000C632D">
            <w:pPr>
              <w:spacing w:before="60" w:after="60"/>
              <w:ind w:left="113" w:right="113"/>
              <w:jc w:val="right"/>
              <w:rPr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00" w:rsidRPr="00FF6F42" w:rsidRDefault="00275800" w:rsidP="000C632D">
            <w:pPr>
              <w:spacing w:before="60" w:after="60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FF6F42">
              <w:rPr>
                <w:bCs/>
                <w:i/>
                <w:sz w:val="16"/>
                <w:szCs w:val="16"/>
              </w:rPr>
              <w:t>A single lamp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00" w:rsidRPr="00FF6F42" w:rsidRDefault="00275800" w:rsidP="000C632D">
            <w:pPr>
              <w:spacing w:before="60" w:after="60"/>
              <w:ind w:left="113" w:right="113"/>
              <w:jc w:val="right"/>
              <w:rPr>
                <w:i/>
                <w:strike/>
                <w:sz w:val="16"/>
                <w:szCs w:val="16"/>
              </w:rPr>
            </w:pPr>
            <w:r w:rsidRPr="00FF6F42">
              <w:rPr>
                <w:bCs/>
                <w:i/>
                <w:sz w:val="16"/>
                <w:szCs w:val="16"/>
                <w:lang w:val="en-US"/>
              </w:rPr>
              <w:t xml:space="preserve">A lamp marked “D”(see paragraph </w:t>
            </w:r>
            <w:r w:rsidRPr="00FF6F42">
              <w:rPr>
                <w:bCs/>
                <w:i/>
                <w:strike/>
                <w:sz w:val="16"/>
                <w:szCs w:val="16"/>
                <w:lang w:val="en-US"/>
              </w:rPr>
              <w:t>4.2.2.6</w:t>
            </w:r>
            <w:r w:rsidRPr="00FF6F42">
              <w:rPr>
                <w:bCs/>
                <w:i/>
                <w:sz w:val="16"/>
                <w:szCs w:val="16"/>
                <w:lang w:val="en-US"/>
              </w:rPr>
              <w:t xml:space="preserve">. </w:t>
            </w:r>
            <w:r w:rsidRPr="00FF6F42">
              <w:rPr>
                <w:b/>
                <w:bCs/>
                <w:i/>
                <w:sz w:val="16"/>
                <w:szCs w:val="16"/>
                <w:lang w:val="en-US"/>
              </w:rPr>
              <w:t>4.2.2.8</w:t>
            </w:r>
            <w:r>
              <w:rPr>
                <w:bCs/>
                <w:i/>
                <w:sz w:val="16"/>
                <w:szCs w:val="16"/>
                <w:lang w:val="en-US"/>
              </w:rPr>
              <w:t>.</w:t>
            </w:r>
            <w:r w:rsidRPr="00FF6F42">
              <w:rPr>
                <w:bCs/>
                <w:i/>
                <w:sz w:val="16"/>
                <w:szCs w:val="16"/>
                <w:lang w:val="en-US"/>
              </w:rPr>
              <w:t>above)</w:t>
            </w:r>
          </w:p>
        </w:tc>
      </w:tr>
    </w:tbl>
    <w:p w:rsidR="00275800" w:rsidRDefault="00275800" w:rsidP="006B1C59">
      <w:pPr>
        <w:pStyle w:val="SingleTxtG"/>
        <w:spacing w:before="120"/>
        <w:ind w:left="2835" w:hanging="1701"/>
      </w:pPr>
      <w:r>
        <w:t>"</w:t>
      </w:r>
    </w:p>
    <w:p w:rsidR="006B1C59" w:rsidRPr="004D1FAA" w:rsidRDefault="006B1C59" w:rsidP="006B1C59">
      <w:pPr>
        <w:tabs>
          <w:tab w:val="left" w:pos="8505"/>
        </w:tabs>
        <w:spacing w:after="120"/>
        <w:ind w:left="2268" w:right="1134" w:hanging="1134"/>
      </w:pPr>
      <w:r w:rsidRPr="004D1FAA">
        <w:rPr>
          <w:i/>
        </w:rPr>
        <w:t xml:space="preserve">Paragraph </w:t>
      </w:r>
      <w:r>
        <w:rPr>
          <w:i/>
        </w:rPr>
        <w:t>6.1.6</w:t>
      </w:r>
      <w:r w:rsidRPr="004D1FAA">
        <w:rPr>
          <w:i/>
        </w:rPr>
        <w:t>.,</w:t>
      </w:r>
      <w:r w:rsidRPr="004D1FAA">
        <w:t xml:space="preserve"> amend to read:</w:t>
      </w:r>
    </w:p>
    <w:p w:rsidR="006B1C59" w:rsidRDefault="006B1C59" w:rsidP="006B1C59">
      <w:pPr>
        <w:pStyle w:val="SingleTxtG"/>
        <w:tabs>
          <w:tab w:val="left" w:pos="8505"/>
        </w:tabs>
        <w:ind w:left="2268" w:hanging="1134"/>
      </w:pPr>
      <w:r>
        <w:t>"6.1.6.</w:t>
      </w:r>
      <w:r>
        <w:tab/>
        <w:t xml:space="preserve">When an assembly of two independent lamps to be type approved as </w:t>
      </w:r>
      <w:r w:rsidRPr="00115B05">
        <w:rPr>
          <w:b/>
        </w:rPr>
        <w:t>lamps marked</w:t>
      </w:r>
      <w:r>
        <w:t xml:space="preserve"> "D" </w:t>
      </w:r>
      <w:r w:rsidRPr="00115B05">
        <w:rPr>
          <w:strike/>
        </w:rPr>
        <w:t>lamps</w:t>
      </w:r>
      <w:r>
        <w:t xml:space="preserve"> having the same function is deemed to be a single lamp, it shall comply with the requirements for:</w:t>
      </w:r>
    </w:p>
    <w:p w:rsidR="006B1C59" w:rsidRDefault="006B1C59" w:rsidP="006B1C59">
      <w:pPr>
        <w:pStyle w:val="SingleTxtG"/>
        <w:tabs>
          <w:tab w:val="left" w:pos="8505"/>
        </w:tabs>
        <w:ind w:left="2835" w:hanging="567"/>
      </w:pPr>
      <w:r>
        <w:t>(a)</w:t>
      </w:r>
      <w:r>
        <w:tab/>
        <w:t xml:space="preserve">Maximum intensity if all lamps together are lit; </w:t>
      </w:r>
    </w:p>
    <w:p w:rsidR="006B1C59" w:rsidRPr="00275800" w:rsidRDefault="006B1C59" w:rsidP="006B1C59">
      <w:pPr>
        <w:pStyle w:val="SingleTxtG"/>
        <w:tabs>
          <w:tab w:val="left" w:pos="8505"/>
        </w:tabs>
        <w:ind w:left="2835" w:hanging="567"/>
      </w:pPr>
      <w:r>
        <w:t>(b)</w:t>
      </w:r>
      <w:r>
        <w:tab/>
        <w:t>Minimum intensity if either lamp has failed."</w:t>
      </w:r>
    </w:p>
    <w:p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9F5012" w:rsidRDefault="0002092A" w:rsidP="009F5012">
      <w:pPr>
        <w:spacing w:before="12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275800" w:rsidRPr="00275800">
        <w:rPr>
          <w:lang w:val="en-US"/>
        </w:rPr>
        <w:t xml:space="preserve">This proposal aligns the text of </w:t>
      </w:r>
      <w:r w:rsidR="00275800">
        <w:rPr>
          <w:lang w:val="en-US"/>
        </w:rPr>
        <w:t>p</w:t>
      </w:r>
      <w:r w:rsidR="00275800" w:rsidRPr="00275800">
        <w:rPr>
          <w:lang w:val="en-US"/>
        </w:rPr>
        <w:t xml:space="preserve">aragraph 6.1.6. </w:t>
      </w:r>
      <w:r w:rsidR="00275800">
        <w:rPr>
          <w:lang w:val="en-US"/>
        </w:rPr>
        <w:t xml:space="preserve">with </w:t>
      </w:r>
      <w:r w:rsidR="00275800" w:rsidRPr="00275800">
        <w:rPr>
          <w:lang w:val="en-US"/>
        </w:rPr>
        <w:t xml:space="preserve">the definition of “single lamp” introduced by document </w:t>
      </w:r>
      <w:r w:rsidR="00275800">
        <w:rPr>
          <w:lang w:val="en-US"/>
        </w:rPr>
        <w:t>ECE/TRANS/WP.29/</w:t>
      </w:r>
      <w:r w:rsidR="00275800" w:rsidRPr="00275800">
        <w:rPr>
          <w:lang w:val="en-US"/>
        </w:rPr>
        <w:t xml:space="preserve">GRE/2014/6. </w:t>
      </w:r>
      <w:r w:rsidR="00EA5A18">
        <w:rPr>
          <w:lang w:val="en-US"/>
        </w:rPr>
        <w:t>T</w:t>
      </w:r>
      <w:r w:rsidR="00275800" w:rsidRPr="00275800">
        <w:rPr>
          <w:lang w:val="en-US"/>
        </w:rPr>
        <w:t>he reference to paragraph 4.2.2.6</w:t>
      </w:r>
      <w:r w:rsidR="006B1C59">
        <w:rPr>
          <w:lang w:val="en-US"/>
        </w:rPr>
        <w:t>.</w:t>
      </w:r>
      <w:r w:rsidR="00275800" w:rsidRPr="00275800">
        <w:rPr>
          <w:lang w:val="en-US"/>
        </w:rPr>
        <w:t xml:space="preserve"> in the header of the table </w:t>
      </w:r>
      <w:r w:rsidR="00EA5A18">
        <w:rPr>
          <w:lang w:val="en-US"/>
        </w:rPr>
        <w:t>in p</w:t>
      </w:r>
      <w:r w:rsidR="00275800" w:rsidRPr="00275800">
        <w:rPr>
          <w:lang w:val="en-US"/>
        </w:rPr>
        <w:t xml:space="preserve">aragraph 6.1. is also </w:t>
      </w:r>
      <w:r w:rsidR="00EA5A18">
        <w:rPr>
          <w:lang w:val="en-US"/>
        </w:rPr>
        <w:t>corrected</w:t>
      </w:r>
      <w:r w:rsidR="00275800" w:rsidRPr="00275800">
        <w:rPr>
          <w:lang w:val="en-US"/>
        </w:rPr>
        <w:t>.</w:t>
      </w:r>
    </w:p>
    <w:p w:rsidR="00FA7728" w:rsidRPr="00A238BB" w:rsidRDefault="00A369D1" w:rsidP="0002092A">
      <w:pPr>
        <w:pStyle w:val="SingleTxtG"/>
        <w:spacing w:before="240" w:after="0"/>
        <w:jc w:val="center"/>
      </w:pPr>
      <w:r>
        <w:t>___________________</w:t>
      </w:r>
    </w:p>
    <w:sectPr w:rsidR="00FA7728" w:rsidRPr="00A238BB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2" w:rsidRDefault="003146C2"/>
  </w:endnote>
  <w:endnote w:type="continuationSeparator" w:id="0">
    <w:p w:rsidR="003146C2" w:rsidRDefault="003146C2"/>
  </w:endnote>
  <w:endnote w:type="continuationNotice" w:id="1">
    <w:p w:rsidR="003146C2" w:rsidRDefault="0031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355FD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275800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08" w:rsidRDefault="00974108" w:rsidP="00974108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4108" w:rsidRDefault="00974108" w:rsidP="00974108">
    <w:pPr>
      <w:pStyle w:val="Footer"/>
      <w:ind w:right="1134"/>
      <w:rPr>
        <w:sz w:val="20"/>
      </w:rPr>
    </w:pPr>
    <w:r>
      <w:rPr>
        <w:sz w:val="20"/>
      </w:rPr>
      <w:t>GE.16-13760(E)</w:t>
    </w:r>
  </w:p>
  <w:p w:rsidR="00974108" w:rsidRPr="00974108" w:rsidRDefault="00974108" w:rsidP="0097410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ECE/TRANS/WP.29/GRE/2016/2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2" w:rsidRPr="000B175B" w:rsidRDefault="003146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46C2" w:rsidRPr="00FC68B7" w:rsidRDefault="003146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46C2" w:rsidRDefault="003146C2"/>
  </w:footnote>
  <w:footnote w:id="2">
    <w:p w:rsidR="00F91276" w:rsidRPr="00253584" w:rsidRDefault="00F91276" w:rsidP="00F91276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53584">
        <w:rPr>
          <w:rStyle w:val="FootnoteReference"/>
          <w:szCs w:val="18"/>
          <w:vertAlign w:val="baseline"/>
          <w:lang w:val="en-US"/>
        </w:rPr>
        <w:tab/>
        <w:t>*</w:t>
      </w:r>
      <w:r w:rsidRPr="00253584">
        <w:rPr>
          <w:rStyle w:val="FootnoteReference"/>
          <w:szCs w:val="18"/>
          <w:vertAlign w:val="baseline"/>
          <w:lang w:val="en-US"/>
        </w:rPr>
        <w:tab/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A16D8C">
      <w:t>6</w:t>
    </w:r>
    <w:r w:rsidR="00802922">
      <w:t>/</w:t>
    </w:r>
    <w:r w:rsidR="0065137A">
      <w:t>2</w:t>
    </w:r>
    <w:r w:rsidR="00275800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370AD8">
    <w:pPr>
      <w:pStyle w:val="Header"/>
      <w:jc w:val="right"/>
    </w:pPr>
    <w:r w:rsidRPr="00370AD8">
      <w:t>ECE/TRANS/WP.29/GRE/</w:t>
    </w:r>
    <w:r w:rsidR="00802922">
      <w:t>2016/</w:t>
    </w:r>
    <w:r w:rsidR="0065137A">
      <w:t>2</w:t>
    </w:r>
    <w:r w:rsidR="0027580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23"/>
  </w:num>
  <w:num w:numId="22">
    <w:abstractNumId w:val="1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48D3"/>
    <w:rsid w:val="0003791F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380B"/>
    <w:rsid w:val="00150388"/>
    <w:rsid w:val="00157FE9"/>
    <w:rsid w:val="0016538B"/>
    <w:rsid w:val="00165F3A"/>
    <w:rsid w:val="00181198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0A69"/>
    <w:rsid w:val="00211E0B"/>
    <w:rsid w:val="0024772E"/>
    <w:rsid w:val="00253714"/>
    <w:rsid w:val="002546AE"/>
    <w:rsid w:val="002608F3"/>
    <w:rsid w:val="00267F5F"/>
    <w:rsid w:val="00275800"/>
    <w:rsid w:val="00283697"/>
    <w:rsid w:val="00286B4D"/>
    <w:rsid w:val="0029109B"/>
    <w:rsid w:val="002A6754"/>
    <w:rsid w:val="002B1DCA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40057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C0081"/>
    <w:rsid w:val="004C2461"/>
    <w:rsid w:val="004C7462"/>
    <w:rsid w:val="004D127C"/>
    <w:rsid w:val="004E77B2"/>
    <w:rsid w:val="005000A9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137A"/>
    <w:rsid w:val="00652D0A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067AC"/>
    <w:rsid w:val="00724B93"/>
    <w:rsid w:val="00725A44"/>
    <w:rsid w:val="0072632A"/>
    <w:rsid w:val="007327D5"/>
    <w:rsid w:val="00733B05"/>
    <w:rsid w:val="00753AF2"/>
    <w:rsid w:val="00761394"/>
    <w:rsid w:val="007629C8"/>
    <w:rsid w:val="0077047D"/>
    <w:rsid w:val="00775F3E"/>
    <w:rsid w:val="007874B5"/>
    <w:rsid w:val="00787EE8"/>
    <w:rsid w:val="0079032E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E3B"/>
    <w:rsid w:val="008878DE"/>
    <w:rsid w:val="008928C6"/>
    <w:rsid w:val="00894E11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3206"/>
    <w:rsid w:val="008F4D20"/>
    <w:rsid w:val="009130D3"/>
    <w:rsid w:val="00915EF6"/>
    <w:rsid w:val="00921D1C"/>
    <w:rsid w:val="009223CA"/>
    <w:rsid w:val="00930A10"/>
    <w:rsid w:val="00931395"/>
    <w:rsid w:val="0093146E"/>
    <w:rsid w:val="00934631"/>
    <w:rsid w:val="00940F93"/>
    <w:rsid w:val="009448C3"/>
    <w:rsid w:val="00960F75"/>
    <w:rsid w:val="00974108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5BE0"/>
    <w:rsid w:val="00A369D1"/>
    <w:rsid w:val="00A5414C"/>
    <w:rsid w:val="00A56580"/>
    <w:rsid w:val="00A6129C"/>
    <w:rsid w:val="00A72F22"/>
    <w:rsid w:val="00A7360F"/>
    <w:rsid w:val="00A7397C"/>
    <w:rsid w:val="00A748A6"/>
    <w:rsid w:val="00A75FCE"/>
    <w:rsid w:val="00A7693C"/>
    <w:rsid w:val="00A769F4"/>
    <w:rsid w:val="00A776B4"/>
    <w:rsid w:val="00A85BCD"/>
    <w:rsid w:val="00A91E4C"/>
    <w:rsid w:val="00A94361"/>
    <w:rsid w:val="00AA11D6"/>
    <w:rsid w:val="00AA293C"/>
    <w:rsid w:val="00AC02C5"/>
    <w:rsid w:val="00AD74C4"/>
    <w:rsid w:val="00B049A8"/>
    <w:rsid w:val="00B1029C"/>
    <w:rsid w:val="00B226AA"/>
    <w:rsid w:val="00B30179"/>
    <w:rsid w:val="00B30622"/>
    <w:rsid w:val="00B355FD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B578F"/>
    <w:rsid w:val="00BC3F3B"/>
    <w:rsid w:val="00BC3FA0"/>
    <w:rsid w:val="00BC74E9"/>
    <w:rsid w:val="00BE48EA"/>
    <w:rsid w:val="00BF1E2C"/>
    <w:rsid w:val="00BF30B3"/>
    <w:rsid w:val="00BF43C8"/>
    <w:rsid w:val="00BF68A8"/>
    <w:rsid w:val="00C11A03"/>
    <w:rsid w:val="00C22C0C"/>
    <w:rsid w:val="00C37074"/>
    <w:rsid w:val="00C4527F"/>
    <w:rsid w:val="00C463DD"/>
    <w:rsid w:val="00C4724C"/>
    <w:rsid w:val="00C60646"/>
    <w:rsid w:val="00C629A0"/>
    <w:rsid w:val="00C64629"/>
    <w:rsid w:val="00C71096"/>
    <w:rsid w:val="00C745C3"/>
    <w:rsid w:val="00C94F10"/>
    <w:rsid w:val="00C96DF2"/>
    <w:rsid w:val="00CA1B34"/>
    <w:rsid w:val="00CB3E03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73DF"/>
    <w:rsid w:val="00D90E39"/>
    <w:rsid w:val="00D9494E"/>
    <w:rsid w:val="00D95303"/>
    <w:rsid w:val="00D978C6"/>
    <w:rsid w:val="00DA0640"/>
    <w:rsid w:val="00DA3C1C"/>
    <w:rsid w:val="00DB1EDC"/>
    <w:rsid w:val="00DC64E9"/>
    <w:rsid w:val="00DC6D39"/>
    <w:rsid w:val="00DE106E"/>
    <w:rsid w:val="00E00F5C"/>
    <w:rsid w:val="00E046DF"/>
    <w:rsid w:val="00E1086D"/>
    <w:rsid w:val="00E14EAE"/>
    <w:rsid w:val="00E22B0C"/>
    <w:rsid w:val="00E27346"/>
    <w:rsid w:val="00E40A45"/>
    <w:rsid w:val="00E465DB"/>
    <w:rsid w:val="00E560CA"/>
    <w:rsid w:val="00E71BC8"/>
    <w:rsid w:val="00E7260F"/>
    <w:rsid w:val="00E73F5D"/>
    <w:rsid w:val="00E77E4E"/>
    <w:rsid w:val="00E96630"/>
    <w:rsid w:val="00EA2A77"/>
    <w:rsid w:val="00EA5A18"/>
    <w:rsid w:val="00ED7A2A"/>
    <w:rsid w:val="00EE16EC"/>
    <w:rsid w:val="00EF1D7F"/>
    <w:rsid w:val="00F0093F"/>
    <w:rsid w:val="00F12AF0"/>
    <w:rsid w:val="00F16068"/>
    <w:rsid w:val="00F31E5F"/>
    <w:rsid w:val="00F36B56"/>
    <w:rsid w:val="00F6100A"/>
    <w:rsid w:val="00F91276"/>
    <w:rsid w:val="00F923C4"/>
    <w:rsid w:val="00F93781"/>
    <w:rsid w:val="00F93C58"/>
    <w:rsid w:val="00FA5EDA"/>
    <w:rsid w:val="00FA7728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26D7-F07E-416B-9A1A-8C99B27A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1613760</vt:lpstr>
      <vt:lpstr>United Nations</vt:lpstr>
      <vt:lpstr>United Nations</vt:lpstr>
    </vt:vector>
  </TitlesOfParts>
  <Company>CSD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1613760</dc:title>
  <dc:subject>ECE/TRANS/WP.29/GRE/2016/22</dc:subject>
  <dc:creator>GTB;Francois Guichard</dc:creator>
  <cp:lastModifiedBy>Benedicte Boudol</cp:lastModifiedBy>
  <cp:revision>2</cp:revision>
  <cp:lastPrinted>2016-08-08T15:46:00Z</cp:lastPrinted>
  <dcterms:created xsi:type="dcterms:W3CDTF">2016-09-06T14:11:00Z</dcterms:created>
  <dcterms:modified xsi:type="dcterms:W3CDTF">2016-09-06T14:11:00Z</dcterms:modified>
</cp:coreProperties>
</file>