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A200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A2009" w:rsidP="00AA2009">
            <w:pPr>
              <w:jc w:val="right"/>
            </w:pPr>
            <w:r w:rsidRPr="00AA2009">
              <w:rPr>
                <w:sz w:val="40"/>
              </w:rPr>
              <w:t>ECE</w:t>
            </w:r>
            <w:r>
              <w:t>/TRANS/WP.29/GRB/2016/9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A2009" w:rsidP="00892A2F">
            <w:pPr>
              <w:spacing w:before="240"/>
            </w:pPr>
            <w:r>
              <w:t>Distr. générale</w:t>
            </w:r>
          </w:p>
          <w:p w:rsidR="00AA2009" w:rsidRDefault="00AA2009" w:rsidP="00AA2009">
            <w:pPr>
              <w:spacing w:line="240" w:lineRule="exact"/>
            </w:pPr>
            <w:r>
              <w:t>17 juin 2016</w:t>
            </w:r>
          </w:p>
          <w:p w:rsidR="00AA2009" w:rsidRDefault="00AA2009" w:rsidP="00AA2009">
            <w:pPr>
              <w:spacing w:line="240" w:lineRule="exact"/>
            </w:pPr>
            <w:r>
              <w:t>Français</w:t>
            </w:r>
          </w:p>
          <w:p w:rsidR="00AA2009" w:rsidRPr="00DB58B5" w:rsidRDefault="00AA2009" w:rsidP="00AA200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F536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A2009" w:rsidRDefault="00AA200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6F536B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AA2009" w:rsidRDefault="00AA2009" w:rsidP="00F9573C">
      <w:pPr>
        <w:spacing w:before="120" w:after="120" w:line="240" w:lineRule="exact"/>
        <w:rPr>
          <w:b/>
        </w:rPr>
      </w:pPr>
      <w:r>
        <w:rPr>
          <w:b/>
        </w:rPr>
        <w:t>Groupe de travail du bruit</w:t>
      </w:r>
    </w:p>
    <w:p w:rsidR="00AA2009" w:rsidRDefault="00AA2009" w:rsidP="00F9573C">
      <w:pPr>
        <w:spacing w:before="120" w:line="240" w:lineRule="exact"/>
        <w:rPr>
          <w:b/>
        </w:rPr>
      </w:pPr>
      <w:r>
        <w:rPr>
          <w:b/>
        </w:rPr>
        <w:t>Soixante-quatrième session</w:t>
      </w:r>
    </w:p>
    <w:p w:rsidR="00AA2009" w:rsidRDefault="00AA2009" w:rsidP="00F9573C">
      <w:pPr>
        <w:spacing w:line="240" w:lineRule="exact"/>
      </w:pPr>
      <w:r>
        <w:t>Genève, 5</w:t>
      </w:r>
      <w:r w:rsidR="000B1F1E">
        <w:t>-</w:t>
      </w:r>
      <w:r>
        <w:t>7 septembre 2016</w:t>
      </w:r>
    </w:p>
    <w:p w:rsidR="00AA2009" w:rsidRDefault="00AA2009" w:rsidP="00F9573C">
      <w:pPr>
        <w:spacing w:line="240" w:lineRule="exact"/>
      </w:pPr>
      <w:r>
        <w:t>Point 11 de l</w:t>
      </w:r>
      <w:r w:rsidR="006F536B">
        <w:t>’</w:t>
      </w:r>
      <w:r>
        <w:t>ordre du jour provisoire</w:t>
      </w:r>
    </w:p>
    <w:p w:rsidR="00AA2009" w:rsidRPr="00D058C5" w:rsidRDefault="00AA2009" w:rsidP="00AA2009">
      <w:pPr>
        <w:rPr>
          <w:b/>
          <w:bCs/>
        </w:rPr>
      </w:pPr>
      <w:r w:rsidRPr="00D058C5">
        <w:rPr>
          <w:b/>
        </w:rPr>
        <w:t>Véhicules à moteur silencieux</w:t>
      </w:r>
    </w:p>
    <w:p w:rsidR="00AA2009" w:rsidRPr="00946605" w:rsidRDefault="00AA2009" w:rsidP="00AA2009">
      <w:pPr>
        <w:pStyle w:val="HChG"/>
      </w:pPr>
      <w:r w:rsidRPr="00946605">
        <w:tab/>
      </w:r>
      <w:r w:rsidRPr="00946605">
        <w:tab/>
        <w:t>Proposition de série 01 d</w:t>
      </w:r>
      <w:r w:rsidR="006F536B">
        <w:t>’</w:t>
      </w:r>
      <w:r w:rsidRPr="00946605">
        <w:t xml:space="preserve">amendements au nouveau Règlement </w:t>
      </w:r>
      <w:r w:rsidR="000B1F1E" w:rsidRPr="002D76F4">
        <w:rPr>
          <w:rFonts w:eastAsia="MS Mincho"/>
          <w:szCs w:val="22"/>
        </w:rPr>
        <w:t>n</w:t>
      </w:r>
      <w:r w:rsidR="000B1F1E" w:rsidRPr="002D76F4">
        <w:rPr>
          <w:rFonts w:eastAsia="MS Mincho"/>
          <w:szCs w:val="22"/>
          <w:vertAlign w:val="superscript"/>
        </w:rPr>
        <w:t>o</w:t>
      </w:r>
      <w:r w:rsidR="000B1F1E">
        <w:t> </w:t>
      </w:r>
      <w:r w:rsidRPr="00946605">
        <w:t>[138]</w:t>
      </w:r>
    </w:p>
    <w:p w:rsidR="00AA2009" w:rsidRPr="00946605" w:rsidRDefault="00AA2009" w:rsidP="00AA2009">
      <w:pPr>
        <w:pStyle w:val="H1G"/>
      </w:pPr>
      <w:r w:rsidRPr="00946605">
        <w:tab/>
      </w:r>
      <w:r w:rsidRPr="00946605">
        <w:tab/>
        <w:t>Communication de l</w:t>
      </w:r>
      <w:r w:rsidR="006F536B">
        <w:t>’</w:t>
      </w:r>
      <w:r w:rsidRPr="00946605">
        <w:t>expert de l</w:t>
      </w:r>
      <w:r w:rsidR="006F536B">
        <w:t>’</w:t>
      </w:r>
      <w:r w:rsidRPr="00946605">
        <w:t>Organisation internationale</w:t>
      </w:r>
      <w:r>
        <w:br/>
      </w:r>
      <w:r w:rsidRPr="00946605">
        <w:t>des constructeurs d</w:t>
      </w:r>
      <w:r w:rsidR="006F536B">
        <w:t>’</w:t>
      </w:r>
      <w:r w:rsidRPr="00946605">
        <w:t>automobiles</w:t>
      </w:r>
      <w:r w:rsidRPr="00D058C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AA2009" w:rsidRDefault="00AA2009" w:rsidP="00AA2009">
      <w:pPr>
        <w:pStyle w:val="SingleTxtG"/>
        <w:ind w:firstLine="567"/>
      </w:pPr>
      <w:r>
        <w:t>Le</w:t>
      </w:r>
      <w:r w:rsidRPr="00946605">
        <w:t xml:space="preserve"> text</w:t>
      </w:r>
      <w:r>
        <w:t>e reproduit ci-après a été établi par l</w:t>
      </w:r>
      <w:r w:rsidR="006F536B">
        <w:t>’</w:t>
      </w:r>
      <w:r w:rsidRPr="00946605">
        <w:t>expert de l</w:t>
      </w:r>
      <w:r w:rsidR="006F536B">
        <w:t>’</w:t>
      </w:r>
      <w:r w:rsidRPr="00946605">
        <w:t>Organisation int</w:t>
      </w:r>
      <w:r>
        <w:t>ernationale des constructeurs d</w:t>
      </w:r>
      <w:r w:rsidR="006F536B">
        <w:t>’</w:t>
      </w:r>
      <w:r w:rsidRPr="00946605">
        <w:t xml:space="preserve">automobiles (OICA) </w:t>
      </w:r>
      <w:r>
        <w:t>afin de</w:t>
      </w:r>
      <w:r w:rsidRPr="00946605">
        <w:t xml:space="preserve"> propose</w:t>
      </w:r>
      <w:r>
        <w:t>r la série</w:t>
      </w:r>
      <w:r w:rsidR="006E2156">
        <w:t> </w:t>
      </w:r>
      <w:r w:rsidRPr="00946605">
        <w:t xml:space="preserve">01 </w:t>
      </w:r>
      <w:r>
        <w:t>d</w:t>
      </w:r>
      <w:r w:rsidR="006F536B">
        <w:t>’</w:t>
      </w:r>
      <w:r>
        <w:t xml:space="preserve">amendements 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946605">
        <w:t>[138] (</w:t>
      </w:r>
      <w:r>
        <w:t>Véhicules à moteur silencieux</w:t>
      </w:r>
      <w:r w:rsidRPr="00946605">
        <w:t>)</w:t>
      </w:r>
      <w:r>
        <w:t>, qui a été adopté en mars 2016 par le</w:t>
      </w:r>
      <w:r w:rsidRPr="00946605">
        <w:t xml:space="preserve"> </w:t>
      </w:r>
      <w:r w:rsidRPr="00946605">
        <w:rPr>
          <w:bCs/>
        </w:rPr>
        <w:t>Forum mondial de l</w:t>
      </w:r>
      <w:r w:rsidR="006F536B">
        <w:rPr>
          <w:bCs/>
        </w:rPr>
        <w:t>’</w:t>
      </w:r>
      <w:r w:rsidRPr="00946605">
        <w:rPr>
          <w:bCs/>
        </w:rPr>
        <w:t>harmonisation des Règlements concernant les véhicules</w:t>
      </w:r>
      <w:r w:rsidRPr="00946605">
        <w:t xml:space="preserve"> (WP.29). </w:t>
      </w:r>
      <w:r w:rsidRPr="00DD0A7D">
        <w:t>Les modifications qu</w:t>
      </w:r>
      <w:r w:rsidR="006F536B">
        <w:t>’</w:t>
      </w:r>
      <w:r w:rsidRPr="00DD0A7D">
        <w:t xml:space="preserve">il est </w:t>
      </w:r>
      <w:r>
        <w:t>proposé</w:t>
      </w:r>
      <w:r w:rsidRPr="00DD0A7D">
        <w:t xml:space="preserve"> d</w:t>
      </w:r>
      <w:r w:rsidR="006F536B">
        <w:t>’</w:t>
      </w:r>
      <w:r w:rsidRPr="00DD0A7D">
        <w:t>apporter au texte actuel du Règlement (ECE/TRANS/</w:t>
      </w:r>
      <w:r w:rsidR="00975B3C">
        <w:br/>
      </w:r>
      <w:r w:rsidRPr="00DD0A7D">
        <w:t xml:space="preserve">WP.29/2016/26) </w:t>
      </w:r>
      <w:r w:rsidRPr="00DD0A7D">
        <w:rPr>
          <w:lang w:val="fr-FR"/>
        </w:rPr>
        <w:t>sont signalées en caractères gras pour les ajouts ou biffés pour les suppressions</w:t>
      </w:r>
      <w:r w:rsidRPr="00946605">
        <w:t>.</w:t>
      </w:r>
    </w:p>
    <w:p w:rsidR="00AA2009" w:rsidRPr="00946605" w:rsidRDefault="00AA2009" w:rsidP="00AA2009">
      <w:pPr>
        <w:pStyle w:val="HChG"/>
      </w:pPr>
      <w:r>
        <w:br w:type="page"/>
      </w:r>
      <w:r>
        <w:lastRenderedPageBreak/>
        <w:tab/>
      </w:r>
      <w:r w:rsidRPr="00946605">
        <w:t>I.</w:t>
      </w:r>
      <w:r w:rsidRPr="00946605">
        <w:tab/>
      </w:r>
      <w:r>
        <w:t>Proposition</w:t>
      </w:r>
    </w:p>
    <w:p w:rsidR="00AA2009" w:rsidRPr="00946605" w:rsidRDefault="00AA2009" w:rsidP="00AA2009">
      <w:pPr>
        <w:pStyle w:val="SingleTxtG"/>
        <w:rPr>
          <w:i/>
        </w:rPr>
      </w:pPr>
      <w:r>
        <w:rPr>
          <w:i/>
        </w:rPr>
        <w:t>Paragraphe 1</w:t>
      </w:r>
      <w:r w:rsidRPr="00946605">
        <w:t xml:space="preserve">, </w:t>
      </w:r>
      <w:r>
        <w:t>modifier comme suit :</w:t>
      </w:r>
    </w:p>
    <w:p w:rsidR="00AA2009" w:rsidRPr="00946605" w:rsidRDefault="00AA2009" w:rsidP="00AA2009">
      <w:pPr>
        <w:pStyle w:val="SingleTxtG"/>
        <w:ind w:left="2268" w:hanging="1134"/>
      </w:pPr>
      <w:r>
        <w:t>« </w:t>
      </w:r>
      <w:r w:rsidRPr="00946605">
        <w:t>1.</w:t>
      </w:r>
      <w:r w:rsidRPr="00946605">
        <w:tab/>
      </w:r>
      <w:r>
        <w:t>Objet</w:t>
      </w:r>
    </w:p>
    <w:p w:rsidR="00AA2009" w:rsidRPr="00946605" w:rsidRDefault="00AA2009" w:rsidP="00AA2009">
      <w:pPr>
        <w:pStyle w:val="SingleTxtG"/>
        <w:ind w:left="2268"/>
      </w:pPr>
      <w:r w:rsidRPr="00D22779">
        <w:rPr>
          <w:lang w:val="fr-FR"/>
        </w:rPr>
        <w:t>Le présent Règlement s</w:t>
      </w:r>
      <w:r w:rsidR="006F536B">
        <w:rPr>
          <w:lang w:val="fr-FR"/>
        </w:rPr>
        <w:t>’</w:t>
      </w:r>
      <w:r w:rsidRPr="00D22779">
        <w:rPr>
          <w:lang w:val="fr-FR"/>
        </w:rPr>
        <w:t>applique aux véhicules électriques des catégories</w:t>
      </w:r>
      <w:r>
        <w:rPr>
          <w:lang w:val="fr-FR"/>
        </w:rPr>
        <w:t> </w:t>
      </w:r>
      <w:r w:rsidRPr="00D22779">
        <w:rPr>
          <w:lang w:val="fr-FR"/>
        </w:rPr>
        <w:t xml:space="preserve">M et N qui peuvent </w:t>
      </w:r>
      <w:r w:rsidRPr="00FF4969">
        <w:rPr>
          <w:strike/>
          <w:lang w:val="fr-FR"/>
        </w:rPr>
        <w:t>circuler</w:t>
      </w:r>
      <w:r w:rsidR="000B1F1E">
        <w:rPr>
          <w:strike/>
          <w:lang w:val="fr-FR"/>
        </w:rPr>
        <w:t xml:space="preserve"> </w:t>
      </w:r>
      <w:r w:rsidRPr="00D058C5">
        <w:rPr>
          <w:b/>
          <w:lang w:val="fr-FR"/>
        </w:rPr>
        <w:t>se déplacer en propulsion</w:t>
      </w:r>
      <w:r>
        <w:rPr>
          <w:lang w:val="fr-FR"/>
        </w:rPr>
        <w:t xml:space="preserve"> </w:t>
      </w:r>
      <w:r w:rsidRPr="00D22779">
        <w:rPr>
          <w:lang w:val="fr-FR"/>
        </w:rPr>
        <w:t>normale</w:t>
      </w:r>
      <w:r w:rsidRPr="00206F4C">
        <w:rPr>
          <w:strike/>
          <w:lang w:val="fr-FR"/>
        </w:rPr>
        <w:t>ment</w:t>
      </w:r>
      <w:r w:rsidRPr="00D22779">
        <w:rPr>
          <w:lang w:val="fr-FR"/>
        </w:rPr>
        <w:t xml:space="preserve"> et en marche arrière, ou au moins en marche avant avec une vitesse, et sur lesquels il n</w:t>
      </w:r>
      <w:r w:rsidR="006F536B">
        <w:rPr>
          <w:lang w:val="fr-FR"/>
        </w:rPr>
        <w:t>’</w:t>
      </w:r>
      <w:r w:rsidRPr="00D22779">
        <w:rPr>
          <w:lang w:val="fr-FR"/>
        </w:rPr>
        <w:t>y a pas de moteur à combustion interne en marche, en ce qui concerne leur audibilité</w:t>
      </w:r>
      <w:r>
        <w:rPr>
          <w:lang w:val="fr-FR"/>
        </w:rPr>
        <w:t>.</w:t>
      </w:r>
      <w:r>
        <w:t> ».</w:t>
      </w:r>
    </w:p>
    <w:p w:rsidR="00AA2009" w:rsidRPr="00946605" w:rsidRDefault="00AA2009" w:rsidP="00AA2009">
      <w:pPr>
        <w:pStyle w:val="SingleTxtG"/>
      </w:pPr>
      <w:bookmarkStart w:id="1" w:name="_Toc307819031"/>
      <w:bookmarkStart w:id="2" w:name="_Toc307819405"/>
      <w:r>
        <w:rPr>
          <w:i/>
        </w:rPr>
        <w:t>Paragraphe</w:t>
      </w:r>
      <w:r w:rsidRPr="00946605">
        <w:rPr>
          <w:i/>
        </w:rPr>
        <w:t xml:space="preserve"> 2.7</w:t>
      </w:r>
      <w:r w:rsidRPr="00946605">
        <w:t>,</w:t>
      </w:r>
      <w:r w:rsidRPr="00946605">
        <w:rPr>
          <w:i/>
        </w:rPr>
        <w:t xml:space="preserve"> </w:t>
      </w:r>
      <w:r>
        <w:t>modifier comme suit :</w:t>
      </w:r>
    </w:p>
    <w:p w:rsidR="00AA2009" w:rsidRPr="00946605" w:rsidRDefault="00AA2009" w:rsidP="00AA2009">
      <w:pPr>
        <w:pStyle w:val="SingleTxtG"/>
        <w:ind w:left="2268" w:hanging="1134"/>
      </w:pPr>
      <w:r>
        <w:t>« 2.7</w:t>
      </w:r>
      <w:r w:rsidRPr="00946605">
        <w:tab/>
      </w:r>
      <w:r w:rsidRPr="00FF4969">
        <w:rPr>
          <w:lang w:val="fr-FR"/>
        </w:rPr>
        <w:t>“</w:t>
      </w:r>
      <w:r w:rsidRPr="00FF4969">
        <w:rPr>
          <w:i/>
          <w:lang w:val="fr-FR"/>
        </w:rPr>
        <w:t xml:space="preserve">Commande de </w:t>
      </w:r>
      <w:r>
        <w:rPr>
          <w:i/>
          <w:lang w:val="fr-FR"/>
        </w:rPr>
        <w:t xml:space="preserve">mise en </w:t>
      </w:r>
      <w:r w:rsidRPr="00FF4969">
        <w:rPr>
          <w:i/>
          <w:lang w:val="fr-FR"/>
        </w:rPr>
        <w:t>pause</w:t>
      </w:r>
      <w:r w:rsidRPr="00FF4969">
        <w:rPr>
          <w:lang w:val="fr-FR"/>
        </w:rPr>
        <w:t xml:space="preserve">”, une commande permettant </w:t>
      </w:r>
      <w:r w:rsidRPr="00D058C5">
        <w:rPr>
          <w:b/>
          <w:lang w:val="fr-FR"/>
        </w:rPr>
        <w:t>au conducteur</w:t>
      </w:r>
      <w:r>
        <w:rPr>
          <w:lang w:val="fr-FR"/>
        </w:rPr>
        <w:t xml:space="preserve"> </w:t>
      </w:r>
      <w:r w:rsidRPr="00FF4969">
        <w:rPr>
          <w:strike/>
          <w:lang w:val="fr-FR"/>
        </w:rPr>
        <w:t>de suspendre</w:t>
      </w:r>
      <w:r w:rsidRPr="00FF4969">
        <w:rPr>
          <w:lang w:val="fr-FR"/>
        </w:rPr>
        <w:t xml:space="preserve"> </w:t>
      </w:r>
      <w:r w:rsidRPr="00D058C5">
        <w:rPr>
          <w:b/>
          <w:lang w:val="fr-FR"/>
        </w:rPr>
        <w:t>d</w:t>
      </w:r>
      <w:r w:rsidR="006F536B">
        <w:rPr>
          <w:b/>
          <w:lang w:val="fr-FR"/>
        </w:rPr>
        <w:t>’</w:t>
      </w:r>
      <w:r w:rsidRPr="00D058C5">
        <w:rPr>
          <w:b/>
          <w:lang w:val="fr-FR"/>
        </w:rPr>
        <w:t>interrompre</w:t>
      </w:r>
      <w:r>
        <w:rPr>
          <w:lang w:val="fr-FR"/>
        </w:rPr>
        <w:t xml:space="preserve"> </w:t>
      </w:r>
      <w:r w:rsidRPr="00FF4969">
        <w:rPr>
          <w:lang w:val="fr-FR"/>
        </w:rPr>
        <w:t>le fonctionnement d</w:t>
      </w:r>
      <w:r w:rsidR="006F536B">
        <w:rPr>
          <w:lang w:val="fr-FR"/>
        </w:rPr>
        <w:t>’</w:t>
      </w:r>
      <w:r w:rsidRPr="00FF4969">
        <w:rPr>
          <w:lang w:val="fr-FR"/>
        </w:rPr>
        <w:t xml:space="preserve">un système avertisseur sonore, </w:t>
      </w:r>
      <w:r w:rsidRPr="00D058C5">
        <w:rPr>
          <w:b/>
          <w:lang w:val="fr-FR"/>
        </w:rPr>
        <w:t>lorsque le véhicule en est équipé</w:t>
      </w:r>
      <w:r w:rsidR="00F03E85">
        <w:rPr>
          <w:lang w:val="fr-FR"/>
        </w:rPr>
        <w:t>.</w:t>
      </w:r>
      <w:r>
        <w:t> ».</w:t>
      </w:r>
    </w:p>
    <w:p w:rsidR="00AA2009" w:rsidRPr="00946605" w:rsidRDefault="00AA2009" w:rsidP="00AA2009">
      <w:pPr>
        <w:pStyle w:val="SingleTxtG"/>
      </w:pPr>
      <w:r>
        <w:rPr>
          <w:i/>
        </w:rPr>
        <w:t>Paragraphe</w:t>
      </w:r>
      <w:r w:rsidRPr="00946605">
        <w:rPr>
          <w:i/>
        </w:rPr>
        <w:t xml:space="preserve"> 6.2.6</w:t>
      </w:r>
      <w:r w:rsidRPr="00946605">
        <w:t>,</w:t>
      </w:r>
      <w:r w:rsidRPr="00946605">
        <w:rPr>
          <w:i/>
        </w:rPr>
        <w:t xml:space="preserve"> </w:t>
      </w:r>
      <w:r>
        <w:t>modifier comme suit :</w:t>
      </w:r>
    </w:p>
    <w:p w:rsidR="00AA2009" w:rsidRPr="00946605" w:rsidRDefault="00AA2009" w:rsidP="00AA2009">
      <w:pPr>
        <w:pStyle w:val="SingleTxtG"/>
        <w:ind w:left="2268" w:hanging="1134"/>
      </w:pPr>
      <w:r>
        <w:t>« 6.2.6</w:t>
      </w:r>
      <w:r w:rsidRPr="00946605">
        <w:tab/>
      </w:r>
      <w:r>
        <w:t>Commande de mise en pause</w:t>
      </w:r>
    </w:p>
    <w:p w:rsidR="00AA2009" w:rsidRPr="00946605" w:rsidRDefault="00AA2009" w:rsidP="00AA2009">
      <w:pPr>
        <w:pStyle w:val="SingleTxtG"/>
        <w:ind w:left="2268"/>
        <w:rPr>
          <w:strike/>
        </w:rPr>
      </w:pPr>
      <w:r w:rsidRPr="00946605">
        <w:tab/>
      </w:r>
      <w:r w:rsidRPr="00D058C5">
        <w:rPr>
          <w:b/>
        </w:rPr>
        <w:t>L</w:t>
      </w:r>
      <w:r w:rsidR="006F536B">
        <w:rPr>
          <w:b/>
        </w:rPr>
        <w:t>’</w:t>
      </w:r>
      <w:r w:rsidRPr="00D058C5">
        <w:rPr>
          <w:b/>
        </w:rPr>
        <w:t>installation sur le véhicule de toute commande de mise en pause pouvant être actionnée par le conducteur pendant que le véhicule est en fonction est interdite.</w:t>
      </w:r>
      <w:r w:rsidRPr="00946605">
        <w:t xml:space="preserve"> </w:t>
      </w:r>
      <w:r w:rsidRPr="00953E7C">
        <w:rPr>
          <w:strike/>
          <w:lang w:val="fr-FR"/>
        </w:rPr>
        <w:t>Le constructeur peut équiper le véhicule d</w:t>
      </w:r>
      <w:r w:rsidR="006F536B">
        <w:rPr>
          <w:strike/>
          <w:lang w:val="fr-FR"/>
        </w:rPr>
        <w:t>’</w:t>
      </w:r>
      <w:r w:rsidRPr="00953E7C">
        <w:rPr>
          <w:strike/>
          <w:lang w:val="fr-FR"/>
        </w:rPr>
        <w:t>une commande de désactivation temporaire du système avertisseur sonore</w:t>
      </w:r>
      <w:r w:rsidRPr="00946605">
        <w:rPr>
          <w:strike/>
        </w:rPr>
        <w:t xml:space="preserve">. </w:t>
      </w:r>
      <w:r w:rsidRPr="00953E7C">
        <w:rPr>
          <w:strike/>
          <w:lang w:val="fr-FR"/>
        </w:rPr>
        <w:t>Toute commande de désactivation qui ne répond pas aux prescriptions ci-après est interdite.</w:t>
      </w:r>
    </w:p>
    <w:p w:rsidR="00AA2009" w:rsidRDefault="00AA2009" w:rsidP="00AA2009">
      <w:pPr>
        <w:pStyle w:val="SingleTxtG"/>
        <w:ind w:left="2268" w:hanging="1134"/>
        <w:rPr>
          <w:strike/>
          <w:lang w:val="fr-FR"/>
        </w:rPr>
      </w:pPr>
      <w:r>
        <w:rPr>
          <w:strike/>
        </w:rPr>
        <w:t>6.2.6.1</w:t>
      </w:r>
      <w:r w:rsidRPr="00946605">
        <w:rPr>
          <w:strike/>
        </w:rPr>
        <w:tab/>
      </w:r>
      <w:r w:rsidRPr="00FD5C6D">
        <w:rPr>
          <w:strike/>
          <w:lang w:val="fr-FR"/>
        </w:rPr>
        <w:t xml:space="preserve">La commande doit être placée </w:t>
      </w:r>
      <w:r w:rsidRPr="00F03E85">
        <w:rPr>
          <w:strike/>
          <w:lang w:val="fr-FR"/>
        </w:rPr>
        <w:t xml:space="preserve">de </w:t>
      </w:r>
      <w:r w:rsidRPr="00F03E85">
        <w:rPr>
          <w:strike/>
        </w:rPr>
        <w:t>manière</w:t>
      </w:r>
      <w:r w:rsidRPr="00FD5C6D">
        <w:rPr>
          <w:strike/>
          <w:lang w:val="fr-FR"/>
        </w:rPr>
        <w:t xml:space="preserve"> à pouvoir être actionnée par le conducteur en position assise normale.</w:t>
      </w:r>
    </w:p>
    <w:p w:rsidR="00AA2009" w:rsidRPr="00946605" w:rsidRDefault="00AA2009" w:rsidP="00AA2009">
      <w:pPr>
        <w:pStyle w:val="SingleTxtG"/>
        <w:ind w:left="2268" w:hanging="1134"/>
        <w:rPr>
          <w:strike/>
        </w:rPr>
      </w:pPr>
      <w:r>
        <w:rPr>
          <w:strike/>
        </w:rPr>
        <w:t>6.2.6.2</w:t>
      </w:r>
      <w:r w:rsidRPr="00946605">
        <w:rPr>
          <w:strike/>
        </w:rPr>
        <w:tab/>
      </w:r>
      <w:r w:rsidRPr="00FD5C6D">
        <w:rPr>
          <w:strike/>
          <w:lang w:val="fr-FR"/>
        </w:rPr>
        <w:t>Lorsque la commande de pause est actionnée, la désactivation du système avertisseur sonore doit être clairement indiquée au conducteur</w:t>
      </w:r>
      <w:r w:rsidRPr="00946605">
        <w:rPr>
          <w:strike/>
        </w:rPr>
        <w:t>.</w:t>
      </w:r>
    </w:p>
    <w:p w:rsidR="00AA2009" w:rsidRPr="00946605" w:rsidRDefault="00AA2009" w:rsidP="00AA2009">
      <w:pPr>
        <w:pStyle w:val="SingleTxtG"/>
        <w:ind w:left="2268" w:hanging="1134"/>
        <w:rPr>
          <w:strike/>
        </w:rPr>
      </w:pPr>
      <w:r>
        <w:rPr>
          <w:strike/>
        </w:rPr>
        <w:t>6.2.6.3</w:t>
      </w:r>
      <w:r w:rsidRPr="00946605">
        <w:rPr>
          <w:strike/>
        </w:rPr>
        <w:tab/>
      </w:r>
      <w:r w:rsidRPr="00FD5C6D">
        <w:rPr>
          <w:strike/>
          <w:lang w:val="fr-FR"/>
        </w:rPr>
        <w:t xml:space="preserve">Le système avertisseur sonore </w:t>
      </w:r>
      <w:r w:rsidRPr="00F03E85">
        <w:rPr>
          <w:strike/>
        </w:rPr>
        <w:t>doit</w:t>
      </w:r>
      <w:r w:rsidRPr="00FD5C6D">
        <w:rPr>
          <w:strike/>
          <w:lang w:val="fr-FR"/>
        </w:rPr>
        <w:t xml:space="preserve"> être réactivé à chaque redémarrage du véhicule</w:t>
      </w:r>
      <w:r w:rsidRPr="00946605">
        <w:rPr>
          <w:strike/>
        </w:rPr>
        <w:t>.</w:t>
      </w:r>
    </w:p>
    <w:p w:rsidR="00AA2009" w:rsidRPr="00946605" w:rsidRDefault="00AA2009" w:rsidP="00AA2009">
      <w:pPr>
        <w:pStyle w:val="SingleTxtG"/>
        <w:ind w:left="2268" w:hanging="1134"/>
        <w:rPr>
          <w:strike/>
        </w:rPr>
      </w:pPr>
      <w:r>
        <w:rPr>
          <w:strike/>
        </w:rPr>
        <w:t>6.2.6.4</w:t>
      </w:r>
      <w:r w:rsidRPr="00946605">
        <w:rPr>
          <w:strike/>
        </w:rPr>
        <w:tab/>
      </w:r>
      <w:r w:rsidRPr="00C203E7">
        <w:rPr>
          <w:strike/>
        </w:rPr>
        <w:t>Notice d</w:t>
      </w:r>
      <w:r w:rsidR="006F536B">
        <w:rPr>
          <w:strike/>
        </w:rPr>
        <w:t>’</w:t>
      </w:r>
      <w:r w:rsidRPr="00C203E7">
        <w:rPr>
          <w:strike/>
        </w:rPr>
        <w:t>emploi</w:t>
      </w:r>
    </w:p>
    <w:p w:rsidR="00AA2009" w:rsidRPr="00946605" w:rsidRDefault="00AA2009" w:rsidP="00AA2009">
      <w:pPr>
        <w:pStyle w:val="SingleTxtG"/>
        <w:ind w:left="2268"/>
        <w:rPr>
          <w:strike/>
        </w:rPr>
      </w:pPr>
      <w:r w:rsidRPr="00946605">
        <w:tab/>
      </w:r>
      <w:r w:rsidRPr="00FD5C6D">
        <w:rPr>
          <w:strike/>
          <w:lang w:val="fr-FR"/>
        </w:rPr>
        <w:t>Lorsque le véhicule est équipé d</w:t>
      </w:r>
      <w:r w:rsidR="006F536B">
        <w:rPr>
          <w:strike/>
          <w:lang w:val="fr-FR"/>
        </w:rPr>
        <w:t>’</w:t>
      </w:r>
      <w:r w:rsidRPr="00FD5C6D">
        <w:rPr>
          <w:strike/>
          <w:lang w:val="fr-FR"/>
        </w:rPr>
        <w:t>une commande de pause, le constructeur doit fournir au propriétaire des indications sur l</w:t>
      </w:r>
      <w:r w:rsidR="006F536B">
        <w:rPr>
          <w:strike/>
          <w:lang w:val="fr-FR"/>
        </w:rPr>
        <w:t>’</w:t>
      </w:r>
      <w:r w:rsidRPr="00FD5C6D">
        <w:rPr>
          <w:strike/>
          <w:lang w:val="fr-FR"/>
        </w:rPr>
        <w:t>effet qu</w:t>
      </w:r>
      <w:r w:rsidR="006F536B">
        <w:rPr>
          <w:strike/>
          <w:lang w:val="fr-FR"/>
        </w:rPr>
        <w:t>’</w:t>
      </w:r>
      <w:r w:rsidRPr="00FD5C6D">
        <w:rPr>
          <w:strike/>
          <w:lang w:val="fr-FR"/>
        </w:rPr>
        <w:t>elle produit (dans le manuel d</w:t>
      </w:r>
      <w:r w:rsidR="006F536B">
        <w:rPr>
          <w:strike/>
          <w:lang w:val="fr-FR"/>
        </w:rPr>
        <w:t>’</w:t>
      </w:r>
      <w:r w:rsidRPr="00FD5C6D">
        <w:rPr>
          <w:strike/>
          <w:lang w:val="fr-FR"/>
        </w:rPr>
        <w:t>utilisation du véhicule, par exemple) :</w:t>
      </w:r>
    </w:p>
    <w:p w:rsidR="00AA2009" w:rsidRPr="00946605" w:rsidRDefault="00AA2009" w:rsidP="00AA2009">
      <w:pPr>
        <w:pStyle w:val="SingleTxtG"/>
        <w:ind w:left="2268"/>
      </w:pPr>
      <w:r w:rsidRPr="00946605">
        <w:tab/>
      </w:r>
      <w:r w:rsidRPr="00FD5C6D">
        <w:rPr>
          <w:strike/>
          <w:lang w:val="fr-FR"/>
        </w:rPr>
        <w:t>“La commande de pause du système avertisseur sonore ne doit pas être utilisée à moins qu</w:t>
      </w:r>
      <w:r w:rsidR="006F536B">
        <w:rPr>
          <w:strike/>
          <w:lang w:val="fr-FR"/>
        </w:rPr>
        <w:t>’</w:t>
      </w:r>
      <w:r w:rsidRPr="00FD5C6D">
        <w:rPr>
          <w:strike/>
          <w:lang w:val="fr-FR"/>
        </w:rPr>
        <w:t>il soit manifestement inutile d</w:t>
      </w:r>
      <w:r w:rsidR="006F536B">
        <w:rPr>
          <w:strike/>
          <w:lang w:val="fr-FR"/>
        </w:rPr>
        <w:t>’</w:t>
      </w:r>
      <w:r w:rsidRPr="00FD5C6D">
        <w:rPr>
          <w:strike/>
          <w:lang w:val="fr-FR"/>
        </w:rPr>
        <w:t>émettre une alerte sonore autour du véhicule et que l</w:t>
      </w:r>
      <w:r w:rsidR="006F536B">
        <w:rPr>
          <w:strike/>
          <w:lang w:val="fr-FR"/>
        </w:rPr>
        <w:t>’</w:t>
      </w:r>
      <w:r w:rsidRPr="00FD5C6D">
        <w:rPr>
          <w:strike/>
          <w:lang w:val="fr-FR"/>
        </w:rPr>
        <w:t>on soit certain qu</w:t>
      </w:r>
      <w:r w:rsidR="006F536B">
        <w:rPr>
          <w:strike/>
          <w:lang w:val="fr-FR"/>
        </w:rPr>
        <w:t>’</w:t>
      </w:r>
      <w:r w:rsidRPr="00FD5C6D">
        <w:rPr>
          <w:strike/>
          <w:lang w:val="fr-FR"/>
        </w:rPr>
        <w:t>aucun piéton ne se trouve à proximité de ce dernier”.</w:t>
      </w:r>
      <w:r>
        <w:t> ».</w:t>
      </w:r>
    </w:p>
    <w:p w:rsidR="00AA2009" w:rsidRPr="00946605" w:rsidRDefault="00AA2009" w:rsidP="00AA2009">
      <w:pPr>
        <w:pStyle w:val="SingleTxtG"/>
      </w:pPr>
      <w:r>
        <w:rPr>
          <w:i/>
        </w:rPr>
        <w:t>Paragraphe</w:t>
      </w:r>
      <w:r w:rsidRPr="00946605">
        <w:rPr>
          <w:i/>
        </w:rPr>
        <w:t xml:space="preserve"> 11</w:t>
      </w:r>
      <w:r w:rsidRPr="00946605">
        <w:t>,</w:t>
      </w:r>
      <w:r w:rsidRPr="00946605">
        <w:rPr>
          <w:i/>
        </w:rPr>
        <w:t xml:space="preserve"> </w:t>
      </w:r>
      <w:r>
        <w:t>modifier comme suit :</w:t>
      </w:r>
    </w:p>
    <w:p w:rsidR="00AA2009" w:rsidRPr="00946605" w:rsidRDefault="00AA2009" w:rsidP="00AA2009">
      <w:pPr>
        <w:pStyle w:val="SingleTxtG"/>
        <w:ind w:left="2268" w:hanging="1134"/>
        <w:rPr>
          <w:bCs/>
          <w:iCs/>
        </w:rPr>
      </w:pPr>
      <w:r>
        <w:t>« </w:t>
      </w:r>
      <w:r w:rsidRPr="00946605">
        <w:rPr>
          <w:bCs/>
          <w:iCs/>
        </w:rPr>
        <w:t>11.</w:t>
      </w:r>
      <w:r w:rsidRPr="00946605">
        <w:rPr>
          <w:bCs/>
          <w:iCs/>
        </w:rPr>
        <w:tab/>
      </w:r>
      <w:r>
        <w:rPr>
          <w:bCs/>
          <w:iCs/>
        </w:rPr>
        <w:t xml:space="preserve">Dispositions </w:t>
      </w:r>
      <w:r w:rsidRPr="00AA2009">
        <w:t>transitoires</w:t>
      </w:r>
    </w:p>
    <w:p w:rsidR="00AA2009" w:rsidRPr="00946605" w:rsidRDefault="00AA2009" w:rsidP="00AA2009">
      <w:pPr>
        <w:pStyle w:val="SingleTxtG"/>
        <w:ind w:left="2268" w:hanging="1134"/>
        <w:rPr>
          <w:bCs/>
          <w:iCs/>
        </w:rPr>
      </w:pPr>
      <w:r w:rsidRPr="00946605">
        <w:rPr>
          <w:bCs/>
          <w:iCs/>
        </w:rPr>
        <w:t>11.</w:t>
      </w:r>
      <w:r w:rsidRPr="00AA2009">
        <w:rPr>
          <w:b/>
          <w:bCs/>
          <w:iCs/>
        </w:rPr>
        <w:t>1</w:t>
      </w:r>
      <w:r w:rsidRPr="00946605">
        <w:rPr>
          <w:bCs/>
          <w:iCs/>
        </w:rPr>
        <w:tab/>
      </w:r>
      <w:r w:rsidRPr="00FD5C6D">
        <w:rPr>
          <w:bCs/>
          <w:iCs/>
          <w:lang w:val="fr-FR"/>
        </w:rPr>
        <w:t>Jusqu</w:t>
      </w:r>
      <w:r w:rsidR="006F536B">
        <w:rPr>
          <w:bCs/>
          <w:iCs/>
          <w:lang w:val="fr-FR"/>
        </w:rPr>
        <w:t>’</w:t>
      </w:r>
      <w:r w:rsidRPr="00FD5C6D">
        <w:rPr>
          <w:bCs/>
          <w:iCs/>
          <w:lang w:val="fr-FR"/>
        </w:rPr>
        <w:t>au 30</w:t>
      </w:r>
      <w:r w:rsidR="006E2156">
        <w:rPr>
          <w:bCs/>
          <w:iCs/>
          <w:lang w:val="fr-FR"/>
        </w:rPr>
        <w:t> </w:t>
      </w:r>
      <w:r w:rsidRPr="00FD5C6D">
        <w:rPr>
          <w:bCs/>
          <w:iCs/>
          <w:lang w:val="fr-FR"/>
        </w:rPr>
        <w:t>juin 2019, la norme ISO 10844:1994 peut être appliquée à la place de la norme ISO 10844:2014 pour vérifier la conformité de la piste d</w:t>
      </w:r>
      <w:r w:rsidR="006F536B">
        <w:rPr>
          <w:bCs/>
          <w:iCs/>
          <w:lang w:val="fr-FR"/>
        </w:rPr>
        <w:t>’</w:t>
      </w:r>
      <w:r w:rsidRPr="00FD5C6D">
        <w:rPr>
          <w:bCs/>
          <w:iCs/>
          <w:lang w:val="fr-FR"/>
        </w:rPr>
        <w:t xml:space="preserve">essai comme prescrit </w:t>
      </w:r>
      <w:r w:rsidR="006E2156">
        <w:rPr>
          <w:bCs/>
          <w:iCs/>
          <w:lang w:val="fr-FR"/>
        </w:rPr>
        <w:t>au paragraphe 2.1.2 de l</w:t>
      </w:r>
      <w:r w:rsidR="006F536B">
        <w:rPr>
          <w:bCs/>
          <w:iCs/>
          <w:lang w:val="fr-FR"/>
        </w:rPr>
        <w:t>’</w:t>
      </w:r>
      <w:r w:rsidR="006E2156">
        <w:rPr>
          <w:bCs/>
          <w:iCs/>
          <w:lang w:val="fr-FR"/>
        </w:rPr>
        <w:t>annexe </w:t>
      </w:r>
      <w:r w:rsidRPr="00FD5C6D">
        <w:rPr>
          <w:bCs/>
          <w:iCs/>
          <w:lang w:val="fr-FR"/>
        </w:rPr>
        <w:t>3 du présent Règlement</w:t>
      </w:r>
      <w:r w:rsidRPr="00946605">
        <w:rPr>
          <w:bCs/>
          <w:iCs/>
        </w:rPr>
        <w:t>.</w:t>
      </w:r>
    </w:p>
    <w:p w:rsidR="00AA2009" w:rsidRPr="00AA2009" w:rsidRDefault="00AA2009" w:rsidP="00730DF3">
      <w:pPr>
        <w:pStyle w:val="SingleTxtG"/>
        <w:keepLines/>
        <w:ind w:left="2268" w:hanging="1134"/>
        <w:rPr>
          <w:b/>
          <w:bCs/>
          <w:iCs/>
        </w:rPr>
      </w:pPr>
      <w:r w:rsidRPr="00AA2009">
        <w:rPr>
          <w:b/>
          <w:bCs/>
          <w:iCs/>
        </w:rPr>
        <w:lastRenderedPageBreak/>
        <w:t>11.2</w:t>
      </w:r>
      <w:r w:rsidRPr="00AA2009">
        <w:rPr>
          <w:b/>
          <w:bCs/>
          <w:iCs/>
        </w:rPr>
        <w:tab/>
      </w:r>
      <w:r w:rsidRPr="00AA2009">
        <w:rPr>
          <w:b/>
          <w:szCs w:val="21"/>
        </w:rPr>
        <w:t>À compter de la date officielle d</w:t>
      </w:r>
      <w:r w:rsidR="006F536B">
        <w:rPr>
          <w:b/>
          <w:szCs w:val="21"/>
        </w:rPr>
        <w:t>’</w:t>
      </w:r>
      <w:r w:rsidRPr="00AA2009">
        <w:rPr>
          <w:b/>
          <w:szCs w:val="21"/>
        </w:rPr>
        <w:t>entrée en vigueur de la série 01 d</w:t>
      </w:r>
      <w:r w:rsidR="006F536B">
        <w:rPr>
          <w:b/>
          <w:szCs w:val="21"/>
        </w:rPr>
        <w:t>’</w:t>
      </w:r>
      <w:r w:rsidRPr="00AA2009">
        <w:rPr>
          <w:b/>
          <w:szCs w:val="21"/>
        </w:rPr>
        <w:t>amendements, aucune Partie contractante appliquant le présent Règlement ne pourra refuser d</w:t>
      </w:r>
      <w:r w:rsidR="006F536B">
        <w:rPr>
          <w:b/>
          <w:szCs w:val="21"/>
        </w:rPr>
        <w:t>’</w:t>
      </w:r>
      <w:r w:rsidRPr="00AA2009">
        <w:rPr>
          <w:b/>
          <w:szCs w:val="21"/>
        </w:rPr>
        <w:t>accorder ou d</w:t>
      </w:r>
      <w:r w:rsidR="006F536B">
        <w:rPr>
          <w:b/>
          <w:szCs w:val="21"/>
        </w:rPr>
        <w:t>’</w:t>
      </w:r>
      <w:r w:rsidRPr="00AA2009">
        <w:rPr>
          <w:b/>
          <w:szCs w:val="21"/>
        </w:rPr>
        <w:t>accepter des homologations de types délivrées en vertu du présent Règlement modifié par ladite série</w:t>
      </w:r>
      <w:r w:rsidR="000B1F1E">
        <w:rPr>
          <w:b/>
          <w:szCs w:val="21"/>
        </w:rPr>
        <w:t xml:space="preserve"> </w:t>
      </w:r>
      <w:r w:rsidRPr="00AA2009">
        <w:rPr>
          <w:b/>
          <w:szCs w:val="21"/>
        </w:rPr>
        <w:t>d</w:t>
      </w:r>
      <w:r w:rsidR="006F536B">
        <w:rPr>
          <w:b/>
          <w:szCs w:val="21"/>
        </w:rPr>
        <w:t>’</w:t>
      </w:r>
      <w:r w:rsidRPr="00AA2009">
        <w:rPr>
          <w:b/>
          <w:szCs w:val="21"/>
        </w:rPr>
        <w:t>amendements.</w:t>
      </w:r>
    </w:p>
    <w:p w:rsidR="00AA2009" w:rsidRPr="00AA2009" w:rsidRDefault="00AA2009" w:rsidP="00AA2009">
      <w:pPr>
        <w:pStyle w:val="SingleTxtG"/>
        <w:ind w:left="2268" w:hanging="1134"/>
        <w:rPr>
          <w:b/>
          <w:bCs/>
          <w:iCs/>
        </w:rPr>
      </w:pPr>
      <w:r w:rsidRPr="00AA2009">
        <w:rPr>
          <w:b/>
          <w:bCs/>
          <w:iCs/>
        </w:rPr>
        <w:t>11.3</w:t>
      </w:r>
      <w:r w:rsidRPr="00AA2009">
        <w:rPr>
          <w:b/>
          <w:bCs/>
          <w:iCs/>
        </w:rPr>
        <w:tab/>
        <w:t>À compter du 1</w:t>
      </w:r>
      <w:r w:rsidRPr="00AA2009">
        <w:rPr>
          <w:b/>
          <w:bCs/>
          <w:iCs/>
          <w:vertAlign w:val="superscript"/>
        </w:rPr>
        <w:t>er</w:t>
      </w:r>
      <w:r w:rsidR="000B1F1E">
        <w:rPr>
          <w:b/>
          <w:bCs/>
          <w:iCs/>
        </w:rPr>
        <w:t> s</w:t>
      </w:r>
      <w:r w:rsidRPr="00AA2009">
        <w:rPr>
          <w:b/>
          <w:bCs/>
          <w:iCs/>
        </w:rPr>
        <w:t>eptembre 2019, les Parties contractantes appliquant le présent Règlement ne seront plus tenues d</w:t>
      </w:r>
      <w:r w:rsidR="006F536B">
        <w:rPr>
          <w:b/>
          <w:bCs/>
          <w:iCs/>
        </w:rPr>
        <w:t>’</w:t>
      </w:r>
      <w:r w:rsidRPr="00AA2009">
        <w:rPr>
          <w:b/>
          <w:bCs/>
          <w:iCs/>
        </w:rPr>
        <w:t>accepter des homologations de types accordées en vertu de la version initiale du présent Règlement et délivrées pour la première fois après cette date.</w:t>
      </w:r>
    </w:p>
    <w:p w:rsidR="00AA2009" w:rsidRPr="00AA2009" w:rsidRDefault="00AA2009" w:rsidP="00AA2009">
      <w:pPr>
        <w:pStyle w:val="SingleTxtG"/>
        <w:ind w:left="2268" w:hanging="1134"/>
        <w:rPr>
          <w:b/>
          <w:bCs/>
          <w:iCs/>
        </w:rPr>
      </w:pPr>
      <w:r w:rsidRPr="00AA2009">
        <w:rPr>
          <w:b/>
          <w:bCs/>
          <w:iCs/>
        </w:rPr>
        <w:t>11.4</w:t>
      </w:r>
      <w:r w:rsidRPr="00AA2009">
        <w:rPr>
          <w:b/>
          <w:bCs/>
          <w:iCs/>
        </w:rPr>
        <w:tab/>
        <w:t>Jusqu</w:t>
      </w:r>
      <w:r w:rsidR="006F536B">
        <w:rPr>
          <w:b/>
          <w:bCs/>
          <w:iCs/>
        </w:rPr>
        <w:t>’</w:t>
      </w:r>
      <w:r w:rsidRPr="00AA2009">
        <w:rPr>
          <w:b/>
          <w:bCs/>
          <w:iCs/>
        </w:rPr>
        <w:t>au 1</w:t>
      </w:r>
      <w:r w:rsidRPr="00AA2009">
        <w:rPr>
          <w:b/>
          <w:bCs/>
          <w:iCs/>
          <w:vertAlign w:val="superscript"/>
        </w:rPr>
        <w:t>er</w:t>
      </w:r>
      <w:r w:rsidR="00975B3C">
        <w:rPr>
          <w:b/>
          <w:bCs/>
          <w:iCs/>
        </w:rPr>
        <w:t> </w:t>
      </w:r>
      <w:r w:rsidRPr="00AA2009">
        <w:rPr>
          <w:b/>
          <w:bCs/>
          <w:iCs/>
        </w:rPr>
        <w:t xml:space="preserve">septembre [2021], les Parties contractantes appliquant le présent Règlement devront </w:t>
      </w:r>
      <w:r w:rsidRPr="00AA2009">
        <w:rPr>
          <w:b/>
        </w:rPr>
        <w:t>accepter</w:t>
      </w:r>
      <w:r w:rsidRPr="00AA2009">
        <w:rPr>
          <w:b/>
          <w:bCs/>
          <w:iCs/>
        </w:rPr>
        <w:t xml:space="preserve"> des homologations de types accordées en vertu de précédentes séries d</w:t>
      </w:r>
      <w:r w:rsidR="006F536B">
        <w:rPr>
          <w:b/>
          <w:bCs/>
          <w:iCs/>
        </w:rPr>
        <w:t>’</w:t>
      </w:r>
      <w:r w:rsidRPr="00AA2009">
        <w:rPr>
          <w:b/>
          <w:bCs/>
          <w:iCs/>
        </w:rPr>
        <w:t>amendements et délivrées pour la première fois avant le 1</w:t>
      </w:r>
      <w:r w:rsidRPr="00AA2009">
        <w:rPr>
          <w:b/>
          <w:bCs/>
          <w:iCs/>
          <w:vertAlign w:val="superscript"/>
        </w:rPr>
        <w:t>er</w:t>
      </w:r>
      <w:r w:rsidR="00975B3C">
        <w:rPr>
          <w:b/>
          <w:bCs/>
          <w:iCs/>
        </w:rPr>
        <w:t> </w:t>
      </w:r>
      <w:r w:rsidRPr="00AA2009">
        <w:rPr>
          <w:b/>
          <w:bCs/>
          <w:iCs/>
        </w:rPr>
        <w:t>septembre 2019.</w:t>
      </w:r>
    </w:p>
    <w:p w:rsidR="00AA2009" w:rsidRPr="00AA2009" w:rsidRDefault="00AA2009" w:rsidP="00AA2009">
      <w:pPr>
        <w:pStyle w:val="SingleTxtG"/>
        <w:ind w:left="2268" w:hanging="1134"/>
        <w:rPr>
          <w:b/>
          <w:bCs/>
          <w:iCs/>
        </w:rPr>
      </w:pPr>
      <w:r w:rsidRPr="00AA2009">
        <w:rPr>
          <w:b/>
          <w:bCs/>
          <w:iCs/>
        </w:rPr>
        <w:t>11.5</w:t>
      </w:r>
      <w:r w:rsidRPr="00AA2009">
        <w:rPr>
          <w:b/>
          <w:bCs/>
          <w:iCs/>
        </w:rPr>
        <w:tab/>
        <w:t>À compter du 1</w:t>
      </w:r>
      <w:r w:rsidRPr="00AA2009">
        <w:rPr>
          <w:b/>
          <w:bCs/>
          <w:iCs/>
          <w:vertAlign w:val="superscript"/>
        </w:rPr>
        <w:t>er</w:t>
      </w:r>
      <w:r w:rsidR="00975B3C">
        <w:rPr>
          <w:b/>
          <w:bCs/>
          <w:iCs/>
        </w:rPr>
        <w:t> </w:t>
      </w:r>
      <w:r w:rsidRPr="00AA2009">
        <w:rPr>
          <w:b/>
          <w:bCs/>
          <w:iCs/>
        </w:rPr>
        <w:t>septembre [2021], les Parties contractantes appliquant le présent Règlement ne seront plus tenues d</w:t>
      </w:r>
      <w:r w:rsidR="006F536B">
        <w:rPr>
          <w:b/>
          <w:bCs/>
          <w:iCs/>
        </w:rPr>
        <w:t>’</w:t>
      </w:r>
      <w:r w:rsidRPr="00AA2009">
        <w:rPr>
          <w:b/>
          <w:bCs/>
          <w:iCs/>
        </w:rPr>
        <w:t>accepter des homologations de types délivrées en vertu de précédentes séries d</w:t>
      </w:r>
      <w:r w:rsidR="006F536B">
        <w:rPr>
          <w:b/>
          <w:bCs/>
          <w:iCs/>
        </w:rPr>
        <w:t>’</w:t>
      </w:r>
      <w:r w:rsidRPr="00AA2009">
        <w:rPr>
          <w:b/>
          <w:bCs/>
          <w:iCs/>
        </w:rPr>
        <w:t>amendements au présent Règlement.</w:t>
      </w:r>
    </w:p>
    <w:p w:rsidR="00AA2009" w:rsidRPr="00AA2009" w:rsidRDefault="00AA2009" w:rsidP="00AA2009">
      <w:pPr>
        <w:pStyle w:val="SingleTxtG"/>
        <w:ind w:left="2268" w:hanging="1134"/>
        <w:rPr>
          <w:b/>
          <w:bCs/>
          <w:iCs/>
        </w:rPr>
      </w:pPr>
      <w:r w:rsidRPr="00AA2009">
        <w:rPr>
          <w:b/>
          <w:bCs/>
          <w:iCs/>
        </w:rPr>
        <w:t>11.6</w:t>
      </w:r>
      <w:r w:rsidRPr="00AA2009">
        <w:rPr>
          <w:b/>
          <w:bCs/>
          <w:iCs/>
        </w:rPr>
        <w:tab/>
      </w:r>
      <w:r w:rsidRPr="00AA2009">
        <w:rPr>
          <w:b/>
          <w:szCs w:val="21"/>
        </w:rPr>
        <w:t xml:space="preserve">Nonobstant les dispositions des </w:t>
      </w:r>
      <w:r w:rsidRPr="00AA2009">
        <w:rPr>
          <w:rFonts w:hint="eastAsia"/>
          <w:b/>
          <w:bCs/>
          <w:iCs/>
        </w:rPr>
        <w:t>paragraph</w:t>
      </w:r>
      <w:r w:rsidRPr="00AA2009">
        <w:rPr>
          <w:b/>
          <w:bCs/>
          <w:iCs/>
        </w:rPr>
        <w:t>es</w:t>
      </w:r>
      <w:r w:rsidR="006E2156">
        <w:rPr>
          <w:b/>
          <w:bCs/>
          <w:iCs/>
        </w:rPr>
        <w:t> </w:t>
      </w:r>
      <w:r w:rsidRPr="00AA2009">
        <w:rPr>
          <w:b/>
          <w:bCs/>
          <w:iCs/>
        </w:rPr>
        <w:t>11.3 à</w:t>
      </w:r>
      <w:r w:rsidRPr="00AA2009">
        <w:rPr>
          <w:rFonts w:hint="eastAsia"/>
          <w:b/>
          <w:bCs/>
          <w:iCs/>
        </w:rPr>
        <w:t xml:space="preserve"> 11.5 ci-dessus</w:t>
      </w:r>
      <w:r w:rsidRPr="00AA2009">
        <w:rPr>
          <w:b/>
          <w:bCs/>
          <w:iCs/>
        </w:rPr>
        <w:t>,</w:t>
      </w:r>
      <w:r w:rsidRPr="00AA2009">
        <w:rPr>
          <w:rFonts w:hint="eastAsia"/>
          <w:b/>
          <w:bCs/>
          <w:iCs/>
        </w:rPr>
        <w:t xml:space="preserve"> </w:t>
      </w:r>
      <w:r w:rsidRPr="00AA2009">
        <w:rPr>
          <w:b/>
          <w:bCs/>
          <w:iCs/>
        </w:rPr>
        <w:t>les homologations de types délivrées en vertu de précédentes séries d</w:t>
      </w:r>
      <w:r w:rsidR="006F536B">
        <w:rPr>
          <w:b/>
          <w:bCs/>
          <w:iCs/>
        </w:rPr>
        <w:t>’</w:t>
      </w:r>
      <w:r w:rsidRPr="00AA2009">
        <w:rPr>
          <w:b/>
          <w:bCs/>
          <w:iCs/>
        </w:rPr>
        <w:t>amendements au présent Règlement</w:t>
      </w:r>
      <w:r w:rsidRPr="00AA2009">
        <w:rPr>
          <w:rFonts w:hint="eastAsia"/>
          <w:b/>
          <w:bCs/>
          <w:iCs/>
        </w:rPr>
        <w:t xml:space="preserve"> </w:t>
      </w:r>
      <w:r w:rsidRPr="00AA2009">
        <w:rPr>
          <w:b/>
          <w:bCs/>
          <w:iCs/>
        </w:rPr>
        <w:t>qui ne sont pas concernées par la série </w:t>
      </w:r>
      <w:r w:rsidRPr="00AA2009">
        <w:rPr>
          <w:rFonts w:hint="eastAsia"/>
          <w:b/>
          <w:bCs/>
          <w:iCs/>
        </w:rPr>
        <w:t xml:space="preserve">01 </w:t>
      </w:r>
      <w:r w:rsidRPr="00AA2009">
        <w:rPr>
          <w:b/>
          <w:bCs/>
          <w:iCs/>
        </w:rPr>
        <w:t>d</w:t>
      </w:r>
      <w:r w:rsidR="006F536B">
        <w:rPr>
          <w:b/>
          <w:bCs/>
          <w:iCs/>
        </w:rPr>
        <w:t>’</w:t>
      </w:r>
      <w:r w:rsidRPr="00AA2009">
        <w:rPr>
          <w:rFonts w:hint="eastAsia"/>
          <w:b/>
          <w:bCs/>
          <w:iCs/>
        </w:rPr>
        <w:t>amend</w:t>
      </w:r>
      <w:r w:rsidRPr="00AA2009">
        <w:rPr>
          <w:b/>
          <w:bCs/>
          <w:iCs/>
        </w:rPr>
        <w:t>e</w:t>
      </w:r>
      <w:r w:rsidRPr="00AA2009">
        <w:rPr>
          <w:rFonts w:hint="eastAsia"/>
          <w:b/>
          <w:bCs/>
          <w:iCs/>
        </w:rPr>
        <w:t xml:space="preserve">ments </w:t>
      </w:r>
      <w:r w:rsidRPr="00AA2009">
        <w:rPr>
          <w:b/>
          <w:bCs/>
          <w:iCs/>
        </w:rPr>
        <w:t xml:space="preserve">restent valables et les Parties </w:t>
      </w:r>
      <w:r w:rsidRPr="00AA2009">
        <w:rPr>
          <w:b/>
        </w:rPr>
        <w:t>contractantes</w:t>
      </w:r>
      <w:r w:rsidRPr="00AA2009">
        <w:rPr>
          <w:b/>
          <w:bCs/>
          <w:iCs/>
        </w:rPr>
        <w:t xml:space="preserve"> appliquant le présent Règlement</w:t>
      </w:r>
      <w:r w:rsidRPr="00AA2009">
        <w:rPr>
          <w:rFonts w:hint="eastAsia"/>
          <w:b/>
          <w:bCs/>
          <w:iCs/>
        </w:rPr>
        <w:t xml:space="preserve"> </w:t>
      </w:r>
      <w:r w:rsidRPr="00AA2009">
        <w:rPr>
          <w:b/>
          <w:bCs/>
          <w:iCs/>
        </w:rPr>
        <w:t>sont tenues de les accepter</w:t>
      </w:r>
      <w:r w:rsidRPr="00AA2009">
        <w:rPr>
          <w:rFonts w:hint="eastAsia"/>
          <w:b/>
          <w:bCs/>
          <w:iCs/>
        </w:rPr>
        <w:t>.</w:t>
      </w:r>
    </w:p>
    <w:p w:rsidR="00AA2009" w:rsidRPr="00AA2009" w:rsidRDefault="00AA2009" w:rsidP="00AA2009">
      <w:pPr>
        <w:pStyle w:val="SingleTxtG"/>
        <w:ind w:left="2268" w:hanging="1134"/>
        <w:rPr>
          <w:b/>
          <w:bCs/>
          <w:iCs/>
        </w:rPr>
      </w:pPr>
      <w:r w:rsidRPr="00AA2009">
        <w:rPr>
          <w:b/>
          <w:bCs/>
          <w:iCs/>
        </w:rPr>
        <w:t>11.7</w:t>
      </w:r>
      <w:r w:rsidRPr="00AA2009">
        <w:rPr>
          <w:b/>
          <w:bCs/>
          <w:iCs/>
        </w:rPr>
        <w:tab/>
      </w:r>
      <w:r w:rsidRPr="00AA2009">
        <w:rPr>
          <w:b/>
          <w:szCs w:val="21"/>
        </w:rPr>
        <w:t>Nonobstant les dispositions transitoires ci-dessus</w:t>
      </w:r>
      <w:r w:rsidRPr="00AA2009">
        <w:rPr>
          <w:b/>
          <w:bCs/>
          <w:iCs/>
        </w:rPr>
        <w:t xml:space="preserve">, </w:t>
      </w:r>
      <w:r w:rsidRPr="00AA2009">
        <w:rPr>
          <w:b/>
          <w:szCs w:val="21"/>
        </w:rPr>
        <w:t xml:space="preserve">les Parties contractantes </w:t>
      </w:r>
      <w:r w:rsidRPr="00AA2009">
        <w:rPr>
          <w:b/>
          <w:szCs w:val="21"/>
          <w:lang w:val="fr-FR"/>
        </w:rPr>
        <w:t>pour lesquelles le présent Règlement entre en vigueur</w:t>
      </w:r>
      <w:r w:rsidRPr="00AA2009">
        <w:rPr>
          <w:b/>
          <w:bCs/>
          <w:iCs/>
        </w:rPr>
        <w:t xml:space="preserve"> à une date ultérieure par rapport à la série 01 </w:t>
      </w:r>
      <w:r w:rsidRPr="00AA2009">
        <w:rPr>
          <w:b/>
        </w:rPr>
        <w:t>d</w:t>
      </w:r>
      <w:r w:rsidR="006F536B">
        <w:rPr>
          <w:b/>
        </w:rPr>
        <w:t>’</w:t>
      </w:r>
      <w:r w:rsidRPr="00AA2009">
        <w:rPr>
          <w:b/>
        </w:rPr>
        <w:t>amendements</w:t>
      </w:r>
      <w:r w:rsidRPr="00AA2009">
        <w:rPr>
          <w:b/>
          <w:bCs/>
          <w:iCs/>
        </w:rPr>
        <w:t xml:space="preserve"> ne sont pas tenues d</w:t>
      </w:r>
      <w:r w:rsidR="006F536B">
        <w:rPr>
          <w:b/>
          <w:bCs/>
          <w:iCs/>
        </w:rPr>
        <w:t>’</w:t>
      </w:r>
      <w:r w:rsidRPr="00AA2009">
        <w:rPr>
          <w:b/>
          <w:bCs/>
          <w:iCs/>
        </w:rPr>
        <w:t>accepter des homologations de types accordées en vertu de la version initiale du présent Règlement, mais doivent accepter les homologations de types délivrées au titre de la série 01 d</w:t>
      </w:r>
      <w:r w:rsidR="006F536B">
        <w:rPr>
          <w:b/>
          <w:bCs/>
          <w:iCs/>
        </w:rPr>
        <w:t>’</w:t>
      </w:r>
      <w:r w:rsidRPr="00AA2009">
        <w:rPr>
          <w:b/>
          <w:bCs/>
          <w:iCs/>
        </w:rPr>
        <w:t>amendements.</w:t>
      </w:r>
    </w:p>
    <w:p w:rsidR="00AA2009" w:rsidRPr="00946605" w:rsidRDefault="00AA2009" w:rsidP="00AA2009">
      <w:pPr>
        <w:pStyle w:val="SingleTxtG"/>
        <w:ind w:left="2268" w:hanging="1134"/>
      </w:pPr>
      <w:r w:rsidRPr="00AA2009">
        <w:rPr>
          <w:b/>
          <w:bCs/>
          <w:iCs/>
        </w:rPr>
        <w:t>11.8</w:t>
      </w:r>
      <w:r w:rsidRPr="00AA2009">
        <w:rPr>
          <w:b/>
          <w:bCs/>
          <w:iCs/>
        </w:rPr>
        <w:tab/>
        <w:t xml:space="preserve">Les Parties </w:t>
      </w:r>
      <w:r w:rsidRPr="00AA2009">
        <w:rPr>
          <w:b/>
        </w:rPr>
        <w:t>contractantes</w:t>
      </w:r>
      <w:r w:rsidRPr="00AA2009">
        <w:rPr>
          <w:b/>
          <w:bCs/>
          <w:iCs/>
        </w:rPr>
        <w:t xml:space="preserve"> appliquant le présent Règlement ne peuvent refuser d</w:t>
      </w:r>
      <w:r w:rsidR="006F536B">
        <w:rPr>
          <w:b/>
          <w:bCs/>
          <w:iCs/>
        </w:rPr>
        <w:t>’</w:t>
      </w:r>
      <w:r w:rsidRPr="00AA2009">
        <w:rPr>
          <w:b/>
          <w:bCs/>
          <w:iCs/>
        </w:rPr>
        <w:t>accorder des homologations de types, ou des extensions d</w:t>
      </w:r>
      <w:r w:rsidR="006F536B">
        <w:rPr>
          <w:b/>
          <w:bCs/>
          <w:iCs/>
        </w:rPr>
        <w:t>’</w:t>
      </w:r>
      <w:r w:rsidRPr="00AA2009">
        <w:rPr>
          <w:b/>
          <w:bCs/>
          <w:iCs/>
        </w:rPr>
        <w:t>homologations, au titre de la version initiale du présent Règlement.</w:t>
      </w:r>
      <w:r>
        <w:t> ».</w:t>
      </w:r>
    </w:p>
    <w:bookmarkEnd w:id="1"/>
    <w:bookmarkEnd w:id="2"/>
    <w:p w:rsidR="00AA2009" w:rsidRPr="00946605" w:rsidRDefault="00AA2009" w:rsidP="00AA2009">
      <w:pPr>
        <w:pStyle w:val="HChG"/>
      </w:pPr>
      <w:r w:rsidRPr="00946605">
        <w:tab/>
        <w:t>II.</w:t>
      </w:r>
      <w:r w:rsidRPr="00946605">
        <w:tab/>
        <w:t>Justification</w:t>
      </w:r>
    </w:p>
    <w:p w:rsidR="00AA2009" w:rsidRPr="00946605" w:rsidRDefault="00D058C5" w:rsidP="00D058C5">
      <w:pPr>
        <w:pStyle w:val="H4G"/>
      </w:pPr>
      <w:r>
        <w:tab/>
      </w:r>
      <w:r>
        <w:tab/>
      </w:r>
      <w:r w:rsidR="00AA2009">
        <w:t>Paragraphe 1</w:t>
      </w:r>
      <w:r w:rsidR="00AA2009" w:rsidRPr="00946605">
        <w:t xml:space="preserve"> </w:t>
      </w:r>
      <w:r w:rsidR="00AA2009">
        <w:t>(Objet)</w:t>
      </w:r>
    </w:p>
    <w:p w:rsidR="00AA2009" w:rsidRPr="00946605" w:rsidRDefault="00AA2009" w:rsidP="005A027B">
      <w:pPr>
        <w:pStyle w:val="SingleTxtG"/>
        <w:numPr>
          <w:ilvl w:val="0"/>
          <w:numId w:val="15"/>
        </w:numPr>
        <w:ind w:left="1134" w:firstLine="0"/>
      </w:pPr>
      <w:r>
        <w:t xml:space="preserve">Les dispositions du Règlement </w:t>
      </w:r>
      <w:r w:rsidR="00EC6702">
        <w:rPr>
          <w:rFonts w:eastAsia="MS Mincho"/>
        </w:rPr>
        <w:t>n</w:t>
      </w:r>
      <w:r w:rsidR="00EC6702">
        <w:rPr>
          <w:rFonts w:eastAsia="MS Mincho"/>
          <w:vertAlign w:val="superscript"/>
        </w:rPr>
        <w:t>o</w:t>
      </w:r>
      <w:r w:rsidR="00EC6702">
        <w:t> </w:t>
      </w:r>
      <w:r w:rsidRPr="00946605">
        <w:t xml:space="preserve">[138] </w:t>
      </w:r>
      <w:r>
        <w:t>prescrivent de procéder à des essais dans des</w:t>
      </w:r>
      <w:r w:rsidRPr="00946605">
        <w:t xml:space="preserve"> conditions </w:t>
      </w:r>
      <w:r>
        <w:t>d</w:t>
      </w:r>
      <w:r w:rsidR="006F536B">
        <w:t>’</w:t>
      </w:r>
      <w:r>
        <w:t>entraînement effectif du véhicule par le moteur électrique</w:t>
      </w:r>
      <w:r w:rsidRPr="00946605">
        <w:t xml:space="preserve">. </w:t>
      </w:r>
      <w:r>
        <w:t>Or le verbe « circuler » peut prêter à confusion, car il peut être interprété</w:t>
      </w:r>
      <w:r w:rsidRPr="00946605">
        <w:t xml:space="preserve"> </w:t>
      </w:r>
      <w:r>
        <w:t xml:space="preserve">comme se rapportant à des modes de déplacement du véhicule pour lesquels le Règlement </w:t>
      </w:r>
      <w:r w:rsidR="00EC6702">
        <w:rPr>
          <w:rFonts w:eastAsia="MS Mincho"/>
        </w:rPr>
        <w:t>n</w:t>
      </w:r>
      <w:r w:rsidR="00EC6702">
        <w:rPr>
          <w:rFonts w:eastAsia="MS Mincho"/>
          <w:vertAlign w:val="superscript"/>
        </w:rPr>
        <w:t>o</w:t>
      </w:r>
      <w:r w:rsidR="00EC6702">
        <w:t> </w:t>
      </w:r>
      <w:r w:rsidRPr="00946605">
        <w:t xml:space="preserve">[138] </w:t>
      </w:r>
      <w:r>
        <w:t>ne prescrit pas de conditions d</w:t>
      </w:r>
      <w:r w:rsidR="006F536B">
        <w:t>’</w:t>
      </w:r>
      <w:r>
        <w:t>essai</w:t>
      </w:r>
      <w:r w:rsidRPr="00946605">
        <w:t xml:space="preserve">. </w:t>
      </w:r>
      <w:r>
        <w:t>En conséquence, certains véhicules pourraient tomber sous le champ d</w:t>
      </w:r>
      <w:r w:rsidR="006F536B">
        <w:t>’</w:t>
      </w:r>
      <w:r>
        <w:t>application de ce Règlement, par exemple n</w:t>
      </w:r>
      <w:r w:rsidR="006F536B">
        <w:t>’</w:t>
      </w:r>
      <w:r>
        <w:t>importe quel véhicule capable de récupérer de l</w:t>
      </w:r>
      <w:r w:rsidR="006F536B">
        <w:t>’</w:t>
      </w:r>
      <w:r>
        <w:t>énergie en roue libre</w:t>
      </w:r>
      <w:r w:rsidRPr="00946605">
        <w:t xml:space="preserve">, </w:t>
      </w:r>
      <w:r>
        <w:t>pour lequel les résultats d</w:t>
      </w:r>
      <w:r w:rsidR="006F536B">
        <w:t>’</w:t>
      </w:r>
      <w:r>
        <w:t>essais ne seraient pas probants. Il semble inadapté d</w:t>
      </w:r>
      <w:r w:rsidR="006F536B">
        <w:t>’</w:t>
      </w:r>
      <w:r>
        <w:t>accorder une homologation de type au titre des dispositions</w:t>
      </w:r>
      <w:r w:rsidRPr="00056F3B">
        <w:t xml:space="preserve"> </w:t>
      </w:r>
      <w:r>
        <w:t xml:space="preserve">du Règlement </w:t>
      </w:r>
      <w:r w:rsidR="00EC6702">
        <w:rPr>
          <w:rFonts w:eastAsia="MS Mincho"/>
        </w:rPr>
        <w:t>n</w:t>
      </w:r>
      <w:r w:rsidR="00EC6702">
        <w:rPr>
          <w:rFonts w:eastAsia="MS Mincho"/>
          <w:vertAlign w:val="superscript"/>
        </w:rPr>
        <w:t>o</w:t>
      </w:r>
      <w:r w:rsidR="00EC6702">
        <w:t> </w:t>
      </w:r>
      <w:r w:rsidRPr="00946605">
        <w:t xml:space="preserve">[138] </w:t>
      </w:r>
      <w:r>
        <w:t>pour des véhicules pour lesquels on ne dispose d</w:t>
      </w:r>
      <w:r w:rsidR="006F536B">
        <w:t>’</w:t>
      </w:r>
      <w:r>
        <w:t>aucun résultat d</w:t>
      </w:r>
      <w:r w:rsidR="006F536B">
        <w:t>’</w:t>
      </w:r>
      <w:r>
        <w:t>essai valide</w:t>
      </w:r>
      <w:r w:rsidRPr="00946605">
        <w:t xml:space="preserve">. </w:t>
      </w:r>
      <w:r>
        <w:t>Le libellé suggéré limite le champ d</w:t>
      </w:r>
      <w:r w:rsidR="006F536B">
        <w:t>’</w:t>
      </w:r>
      <w:r>
        <w:t>application de la disposition aux modes de conduite qui sont visés par ce Règlement</w:t>
      </w:r>
      <w:r w:rsidRPr="00946605">
        <w:t>.</w:t>
      </w:r>
    </w:p>
    <w:p w:rsidR="00AA2009" w:rsidRPr="00946605" w:rsidRDefault="00D058C5" w:rsidP="00975B3C">
      <w:pPr>
        <w:pStyle w:val="H4G"/>
      </w:pPr>
      <w:r>
        <w:lastRenderedPageBreak/>
        <w:tab/>
      </w:r>
      <w:r>
        <w:tab/>
      </w:r>
      <w:r w:rsidR="00AA2009">
        <w:t>Paragraphe 2.7</w:t>
      </w:r>
    </w:p>
    <w:p w:rsidR="00AA2009" w:rsidRPr="00946605" w:rsidRDefault="00AA2009" w:rsidP="005A027B">
      <w:pPr>
        <w:pStyle w:val="SingleTxtG"/>
        <w:numPr>
          <w:ilvl w:val="0"/>
          <w:numId w:val="15"/>
        </w:numPr>
        <w:ind w:left="1134" w:firstLine="0"/>
      </w:pPr>
      <w:r>
        <w:t xml:space="preserve">La définition de la « commande de mise en pause » a été améliorée de sorte à préciser que seul le système avertisseur sonore de présence </w:t>
      </w:r>
      <w:r w:rsidRPr="00946605">
        <w:t>(</w:t>
      </w:r>
      <w:r>
        <w:t>pour les véhicules qui en sont équipés</w:t>
      </w:r>
      <w:r w:rsidRPr="00946605">
        <w:t xml:space="preserve">) </w:t>
      </w:r>
      <w:r>
        <w:t>peut être interrompu et que le conducteur ne peut pas interférer avec</w:t>
      </w:r>
      <w:r w:rsidRPr="00946605">
        <w:t xml:space="preserve"> </w:t>
      </w:r>
      <w:r>
        <w:t>d</w:t>
      </w:r>
      <w:r w:rsidR="006F536B">
        <w:t>’</w:t>
      </w:r>
      <w:r>
        <w:t>autres sources sonores pertinentes qui contribuent</w:t>
      </w:r>
      <w:r w:rsidRPr="00946605">
        <w:t xml:space="preserve"> </w:t>
      </w:r>
      <w:r>
        <w:t>au bruit naturel du véhicule</w:t>
      </w:r>
      <w:r w:rsidRPr="00946605">
        <w:t>.</w:t>
      </w:r>
    </w:p>
    <w:p w:rsidR="00AA2009" w:rsidRPr="00946605" w:rsidRDefault="00D058C5" w:rsidP="00D058C5">
      <w:pPr>
        <w:pStyle w:val="H4G"/>
      </w:pPr>
      <w:r>
        <w:tab/>
      </w:r>
      <w:r>
        <w:tab/>
      </w:r>
      <w:r w:rsidR="00AA2009">
        <w:t>Paragraphe 6.2.6</w:t>
      </w:r>
    </w:p>
    <w:p w:rsidR="00AA2009" w:rsidRPr="00946605" w:rsidRDefault="00AA2009" w:rsidP="005A027B">
      <w:pPr>
        <w:pStyle w:val="SingleTxtG"/>
        <w:numPr>
          <w:ilvl w:val="0"/>
          <w:numId w:val="15"/>
        </w:numPr>
        <w:ind w:left="1134" w:firstLine="0"/>
      </w:pPr>
      <w:r>
        <w:t>La proposition soumise au titre du paragraphe</w:t>
      </w:r>
      <w:r w:rsidR="006E2156">
        <w:t> </w:t>
      </w:r>
      <w:r>
        <w:t xml:space="preserve">6.2.6 tient compte des débats tenus au sein du Groupe de travail du bruit </w:t>
      </w:r>
      <w:r w:rsidRPr="00946605">
        <w:t xml:space="preserve">(GRB) </w:t>
      </w:r>
      <w:r>
        <w:t>et renvoie à la proposition du Japon d</w:t>
      </w:r>
      <w:r w:rsidR="006F536B">
        <w:t>’</w:t>
      </w:r>
      <w:r>
        <w:t>interdire toute « commande de mise en pause »</w:t>
      </w:r>
      <w:r w:rsidRPr="00946605">
        <w:t xml:space="preserve">. </w:t>
      </w:r>
      <w:r>
        <w:t>Bien que l</w:t>
      </w:r>
      <w:r w:rsidR="006F536B">
        <w:t>’</w:t>
      </w:r>
      <w:r w:rsidRPr="00946605">
        <w:t xml:space="preserve">OICA </w:t>
      </w:r>
      <w:r>
        <w:t>ne soit pas favorable à une interdiction généralisée de ce type de dispositif</w:t>
      </w:r>
      <w:r w:rsidRPr="00946605">
        <w:t xml:space="preserve">, </w:t>
      </w:r>
      <w:r>
        <w:t>elle estime plus approprié le libellé qu</w:t>
      </w:r>
      <w:r w:rsidR="006F536B">
        <w:t>’</w:t>
      </w:r>
      <w:r>
        <w:t>elle suggère.</w:t>
      </w:r>
    </w:p>
    <w:p w:rsidR="00AA2009" w:rsidRPr="00946605" w:rsidRDefault="00AA2009" w:rsidP="005A027B">
      <w:pPr>
        <w:pStyle w:val="SingleTxtG"/>
        <w:numPr>
          <w:ilvl w:val="0"/>
          <w:numId w:val="15"/>
        </w:numPr>
        <w:ind w:left="1134" w:firstLine="0"/>
      </w:pPr>
      <w:r>
        <w:t>Le conducteur du véhicule ne doit pas désactiver le</w:t>
      </w:r>
      <w:r w:rsidRPr="00946605">
        <w:t xml:space="preserve"> </w:t>
      </w:r>
      <w:r>
        <w:t>système avertisseur sonore de présence lorsqu</w:t>
      </w:r>
      <w:r w:rsidR="006F536B">
        <w:t>’</w:t>
      </w:r>
      <w:r>
        <w:t>il conduit</w:t>
      </w:r>
      <w:r w:rsidRPr="00946605">
        <w:t xml:space="preserve">. </w:t>
      </w:r>
      <w:r>
        <w:t>En revanche, le constructeur doit être à même d</w:t>
      </w:r>
      <w:r w:rsidR="006F536B">
        <w:t>’</w:t>
      </w:r>
      <w:r>
        <w:t>activer ou de désactiver ce système au moyen d</w:t>
      </w:r>
      <w:r w:rsidR="006F536B">
        <w:t>’</w:t>
      </w:r>
      <w:r>
        <w:t>un code régional et conformément aux dispositions juridiques applicables aux divers marchés</w:t>
      </w:r>
      <w:r w:rsidRPr="00946605">
        <w:t xml:space="preserve">. </w:t>
      </w:r>
      <w:r>
        <w:t>Les systèmes avertisseurs sonores de présence sont obligatoires dans l</w:t>
      </w:r>
      <w:r w:rsidR="006F536B">
        <w:t>’</w:t>
      </w:r>
      <w:r>
        <w:t>Union européenne</w:t>
      </w:r>
      <w:r w:rsidRPr="00946605">
        <w:t xml:space="preserve">. </w:t>
      </w:r>
      <w:r>
        <w:t>L</w:t>
      </w:r>
      <w:r w:rsidR="006F536B">
        <w:t>’</w:t>
      </w:r>
      <w:r>
        <w:t>acheteur ou le conducteur du véhicule ne peut pas savoir quel est le code employé par le constructeur.</w:t>
      </w:r>
    </w:p>
    <w:p w:rsidR="00AA2009" w:rsidRPr="00946605" w:rsidRDefault="00AA2009" w:rsidP="005A027B">
      <w:pPr>
        <w:pStyle w:val="SingleTxtG"/>
        <w:numPr>
          <w:ilvl w:val="0"/>
          <w:numId w:val="15"/>
        </w:numPr>
        <w:ind w:left="1134" w:firstLine="0"/>
      </w:pPr>
      <w:r>
        <w:t>En outre</w:t>
      </w:r>
      <w:r w:rsidRPr="00946605">
        <w:t xml:space="preserve">, </w:t>
      </w:r>
      <w:r>
        <w:t>le constructeur devrait être en mesure de désactiver automatiquement le système avertisseur sonore de présence</w:t>
      </w:r>
      <w:r w:rsidRPr="00946605">
        <w:t xml:space="preserve"> </w:t>
      </w:r>
      <w:r>
        <w:t>en dehors du champ d</w:t>
      </w:r>
      <w:r w:rsidR="006F536B">
        <w:t>’</w:t>
      </w:r>
      <w:r>
        <w:t xml:space="preserve">application </w:t>
      </w:r>
      <w:r w:rsidRPr="00BC14F5">
        <w:t xml:space="preserve">du Règlement </w:t>
      </w:r>
      <w:r w:rsidR="00EC6702">
        <w:rPr>
          <w:rFonts w:eastAsia="MS Mincho"/>
        </w:rPr>
        <w:t>n</w:t>
      </w:r>
      <w:r w:rsidR="00EC6702">
        <w:rPr>
          <w:rFonts w:eastAsia="MS Mincho"/>
          <w:vertAlign w:val="superscript"/>
        </w:rPr>
        <w:t>o</w:t>
      </w:r>
      <w:r w:rsidR="00EC6702">
        <w:t> </w:t>
      </w:r>
      <w:r w:rsidRPr="00BC14F5">
        <w:t>[138]</w:t>
      </w:r>
      <w:r>
        <w:t>, comme indiqué au paragraphe</w:t>
      </w:r>
      <w:r w:rsidR="006E2156">
        <w:t> </w:t>
      </w:r>
      <w:r>
        <w:t>6.2</w:t>
      </w:r>
      <w:r w:rsidRPr="00946605">
        <w:t>.</w:t>
      </w:r>
    </w:p>
    <w:p w:rsidR="00AA2009" w:rsidRPr="00946605" w:rsidRDefault="00D058C5" w:rsidP="00D058C5">
      <w:pPr>
        <w:pStyle w:val="H4G"/>
      </w:pPr>
      <w:r>
        <w:tab/>
      </w:r>
      <w:r>
        <w:tab/>
      </w:r>
      <w:r w:rsidR="00AA2009">
        <w:t>Paragraphe</w:t>
      </w:r>
      <w:r w:rsidR="00AA2009" w:rsidRPr="00946605">
        <w:t xml:space="preserve"> 11</w:t>
      </w:r>
    </w:p>
    <w:p w:rsidR="00F9573C" w:rsidRDefault="00AA2009" w:rsidP="005A027B">
      <w:pPr>
        <w:pStyle w:val="SingleTxtG"/>
        <w:numPr>
          <w:ilvl w:val="0"/>
          <w:numId w:val="15"/>
        </w:numPr>
        <w:ind w:left="1134" w:firstLine="0"/>
      </w:pPr>
      <w:r>
        <w:t>Les dispositions transitoires ont été ajoutées conformément aux règles du WP.29 concernant les nouvelles séries d</w:t>
      </w:r>
      <w:r w:rsidR="006F536B">
        <w:t>’</w:t>
      </w:r>
      <w:r>
        <w:t>amendements</w:t>
      </w:r>
      <w:r w:rsidRPr="00946605">
        <w:t xml:space="preserve">. </w:t>
      </w:r>
      <w:r>
        <w:t>Le paragraphe</w:t>
      </w:r>
      <w:r w:rsidR="006E2156">
        <w:t> </w:t>
      </w:r>
      <w:r w:rsidRPr="00946605">
        <w:t>11.6</w:t>
      </w:r>
      <w:r>
        <w:t xml:space="preserve"> a été ajouté pour conserver la validité des homologations déjà accordées qui sont également conformes à la nouvelle série d</w:t>
      </w:r>
      <w:r w:rsidR="006F536B">
        <w:t>’</w:t>
      </w:r>
      <w:r>
        <w:t>amendements</w:t>
      </w:r>
      <w:r w:rsidRPr="00946605">
        <w:t xml:space="preserve">, </w:t>
      </w:r>
      <w:r>
        <w:t>comme c</w:t>
      </w:r>
      <w:r w:rsidR="006F536B">
        <w:t>’</w:t>
      </w:r>
      <w:r>
        <w:t>est le cas pour les véhicules qui ne disposent pas de commande de mise en pause selon les termes du nouveau</w:t>
      </w:r>
      <w:r w:rsidRPr="00946605">
        <w:t xml:space="preserve"> paragraph</w:t>
      </w:r>
      <w:r>
        <w:t>e</w:t>
      </w:r>
      <w:r w:rsidR="006E2156">
        <w:t> </w:t>
      </w:r>
      <w:r w:rsidRPr="00946605">
        <w:t>6.2.6</w:t>
      </w:r>
      <w:r w:rsidR="00EC6702">
        <w:t xml:space="preserve"> tel qu</w:t>
      </w:r>
      <w:r w:rsidR="006F536B">
        <w:t>’</w:t>
      </w:r>
      <w:r w:rsidR="00EC6702">
        <w:t>il est proposé ci</w:t>
      </w:r>
      <w:r w:rsidR="00EC6702">
        <w:noBreakHyphen/>
      </w:r>
      <w:r>
        <w:t>dessus</w:t>
      </w:r>
      <w:r w:rsidRPr="00946605">
        <w:t>.</w:t>
      </w:r>
    </w:p>
    <w:p w:rsidR="00D058C5" w:rsidRPr="00D058C5" w:rsidRDefault="00D058C5" w:rsidP="00D058C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058C5" w:rsidRPr="00D058C5" w:rsidSect="00AA200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40" w:rsidRDefault="00330A40" w:rsidP="00F95C08">
      <w:pPr>
        <w:spacing w:line="240" w:lineRule="auto"/>
      </w:pPr>
    </w:p>
  </w:endnote>
  <w:endnote w:type="continuationSeparator" w:id="0">
    <w:p w:rsidR="00330A40" w:rsidRPr="00AC3823" w:rsidRDefault="00330A40" w:rsidP="00AC3823">
      <w:pPr>
        <w:pStyle w:val="Footer"/>
      </w:pPr>
    </w:p>
  </w:endnote>
  <w:endnote w:type="continuationNotice" w:id="1">
    <w:p w:rsidR="00330A40" w:rsidRDefault="00330A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09" w:rsidRPr="00AA2009" w:rsidRDefault="00AA2009" w:rsidP="00AA2009">
    <w:pPr>
      <w:pStyle w:val="Footer"/>
      <w:tabs>
        <w:tab w:val="right" w:pos="9638"/>
      </w:tabs>
    </w:pPr>
    <w:r w:rsidRPr="00AA2009">
      <w:rPr>
        <w:b/>
        <w:sz w:val="18"/>
      </w:rPr>
      <w:fldChar w:fldCharType="begin"/>
    </w:r>
    <w:r w:rsidRPr="00AA2009">
      <w:rPr>
        <w:b/>
        <w:sz w:val="18"/>
      </w:rPr>
      <w:instrText xml:space="preserve"> PAGE  \* MERGEFORMAT </w:instrText>
    </w:r>
    <w:r w:rsidRPr="00AA2009">
      <w:rPr>
        <w:b/>
        <w:sz w:val="18"/>
      </w:rPr>
      <w:fldChar w:fldCharType="separate"/>
    </w:r>
    <w:r w:rsidR="007E2D71">
      <w:rPr>
        <w:b/>
        <w:noProof/>
        <w:sz w:val="18"/>
      </w:rPr>
      <w:t>4</w:t>
    </w:r>
    <w:r w:rsidRPr="00AA2009">
      <w:rPr>
        <w:b/>
        <w:sz w:val="18"/>
      </w:rPr>
      <w:fldChar w:fldCharType="end"/>
    </w:r>
    <w:r>
      <w:rPr>
        <w:b/>
        <w:sz w:val="18"/>
      </w:rPr>
      <w:tab/>
    </w:r>
    <w:r>
      <w:t>GE.16-10158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09" w:rsidRPr="00AA2009" w:rsidRDefault="00AA2009" w:rsidP="00AA2009">
    <w:pPr>
      <w:pStyle w:val="Footer"/>
      <w:tabs>
        <w:tab w:val="right" w:pos="9638"/>
      </w:tabs>
      <w:rPr>
        <w:b/>
        <w:sz w:val="18"/>
      </w:rPr>
    </w:pPr>
    <w:r>
      <w:t>GE.16-10158</w:t>
    </w:r>
    <w:r>
      <w:tab/>
    </w:r>
    <w:r w:rsidRPr="00AA2009">
      <w:rPr>
        <w:b/>
        <w:sz w:val="18"/>
      </w:rPr>
      <w:fldChar w:fldCharType="begin"/>
    </w:r>
    <w:r w:rsidRPr="00AA2009">
      <w:rPr>
        <w:b/>
        <w:sz w:val="18"/>
      </w:rPr>
      <w:instrText xml:space="preserve"> PAGE  \* MERGEFORMAT </w:instrText>
    </w:r>
    <w:r w:rsidRPr="00AA2009">
      <w:rPr>
        <w:b/>
        <w:sz w:val="18"/>
      </w:rPr>
      <w:fldChar w:fldCharType="separate"/>
    </w:r>
    <w:r w:rsidR="007E2D71">
      <w:rPr>
        <w:b/>
        <w:noProof/>
        <w:sz w:val="18"/>
      </w:rPr>
      <w:t>3</w:t>
    </w:r>
    <w:r w:rsidRPr="00AA20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AA2009" w:rsidRDefault="00AA2009" w:rsidP="00AA200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6B20C76" wp14:editId="279501A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16-10158  (F)    130716</w:t>
    </w:r>
    <w:r w:rsidR="000B1F1E">
      <w:rPr>
        <w:sz w:val="20"/>
      </w:rPr>
      <w:t xml:space="preserve">    1</w:t>
    </w:r>
    <w:r w:rsidR="00F03E85">
      <w:rPr>
        <w:sz w:val="20"/>
      </w:rPr>
      <w:t>8</w:t>
    </w:r>
    <w:r w:rsidR="000B1F1E">
      <w:rPr>
        <w:sz w:val="20"/>
      </w:rPr>
      <w:t>0716</w:t>
    </w:r>
    <w:r>
      <w:rPr>
        <w:sz w:val="20"/>
      </w:rPr>
      <w:br/>
    </w:r>
    <w:r w:rsidRPr="00AA2009">
      <w:rPr>
        <w:rFonts w:ascii="C39T30Lfz" w:hAnsi="C39T30Lfz"/>
        <w:sz w:val="56"/>
      </w:rPr>
      <w:t></w:t>
    </w:r>
    <w:r w:rsidRPr="00AA2009">
      <w:rPr>
        <w:rFonts w:ascii="C39T30Lfz" w:hAnsi="C39T30Lfz"/>
        <w:sz w:val="56"/>
      </w:rPr>
      <w:t></w:t>
    </w:r>
    <w:r w:rsidRPr="00AA2009">
      <w:rPr>
        <w:rFonts w:ascii="C39T30Lfz" w:hAnsi="C39T30Lfz"/>
        <w:sz w:val="56"/>
      </w:rPr>
      <w:t></w:t>
    </w:r>
    <w:r w:rsidRPr="00AA2009">
      <w:rPr>
        <w:rFonts w:ascii="C39T30Lfz" w:hAnsi="C39T30Lfz"/>
        <w:sz w:val="56"/>
      </w:rPr>
      <w:t></w:t>
    </w:r>
    <w:r w:rsidRPr="00AA2009">
      <w:rPr>
        <w:rFonts w:ascii="C39T30Lfz" w:hAnsi="C39T30Lfz"/>
        <w:sz w:val="56"/>
      </w:rPr>
      <w:t></w:t>
    </w:r>
    <w:r w:rsidRPr="00AA2009">
      <w:rPr>
        <w:rFonts w:ascii="C39T30Lfz" w:hAnsi="C39T30Lfz"/>
        <w:sz w:val="56"/>
      </w:rPr>
      <w:t></w:t>
    </w:r>
    <w:r w:rsidRPr="00AA2009">
      <w:rPr>
        <w:rFonts w:ascii="C39T30Lfz" w:hAnsi="C39T30Lfz"/>
        <w:sz w:val="56"/>
      </w:rPr>
      <w:t></w:t>
    </w:r>
    <w:r w:rsidRPr="00AA2009">
      <w:rPr>
        <w:rFonts w:ascii="C39T30Lfz" w:hAnsi="C39T30Lfz"/>
        <w:sz w:val="56"/>
      </w:rPr>
      <w:t></w:t>
    </w:r>
    <w:r w:rsidRPr="00AA200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1A6C5395" wp14:editId="48CF49A7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B/2016/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B/2016/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40" w:rsidRPr="00AC3823" w:rsidRDefault="00330A4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30A40" w:rsidRPr="00AC3823" w:rsidRDefault="00330A4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30A40" w:rsidRPr="00AC3823" w:rsidRDefault="00330A40">
      <w:pPr>
        <w:spacing w:line="240" w:lineRule="auto"/>
        <w:rPr>
          <w:sz w:val="2"/>
          <w:szCs w:val="2"/>
        </w:rPr>
      </w:pPr>
    </w:p>
  </w:footnote>
  <w:footnote w:id="2">
    <w:p w:rsidR="00AA2009" w:rsidRPr="00AA2009" w:rsidRDefault="00AA2009">
      <w:pPr>
        <w:pStyle w:val="FootnoteText"/>
      </w:pPr>
      <w:r>
        <w:rPr>
          <w:rStyle w:val="FootnoteReference"/>
        </w:rPr>
        <w:tab/>
      </w:r>
      <w:r w:rsidRPr="00AA200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429CD">
        <w:t xml:space="preserve">Conformément au programme de travail du Comité des transports intérieurs pour </w:t>
      </w:r>
      <w:r>
        <w:t xml:space="preserve">la période </w:t>
      </w:r>
      <w:r w:rsidRPr="006429CD">
        <w:t>2014</w:t>
      </w:r>
      <w:r>
        <w:noBreakHyphen/>
        <w:t>2018 (ECE/TRANS/240, par. </w:t>
      </w:r>
      <w:r w:rsidRPr="006429CD">
        <w:t>105 et ECE/TRANS/2014/26, activité 02.4), le Forum mondial a pour mission d</w:t>
      </w:r>
      <w:r w:rsidR="006F536B">
        <w:t>’</w:t>
      </w:r>
      <w:r w:rsidRPr="006429CD">
        <w:t>élaborer, d</w:t>
      </w:r>
      <w:r w:rsidR="006F536B">
        <w:t>’</w:t>
      </w:r>
      <w:r w:rsidRPr="006429CD">
        <w:t>harmoniser et de mettre à jour les Règlements en vue d</w:t>
      </w:r>
      <w:r w:rsidR="006F536B">
        <w:t>’</w:t>
      </w:r>
      <w:r w:rsidRPr="006429CD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09" w:rsidRPr="00AA2009" w:rsidRDefault="00AA2009">
    <w:pPr>
      <w:pStyle w:val="Header"/>
    </w:pPr>
    <w:r>
      <w:t>ECE/TRANS/WP.29/GRB/2016/9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09" w:rsidRPr="00AA2009" w:rsidRDefault="00AA2009" w:rsidP="00AA2009">
    <w:pPr>
      <w:pStyle w:val="Header"/>
      <w:jc w:val="right"/>
    </w:pPr>
    <w:r>
      <w:t>ECE/TRANS/WP.29/GRB/2016/9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16A5F2C"/>
    <w:multiLevelType w:val="hybridMultilevel"/>
    <w:tmpl w:val="D3DEA720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>
    <w:nsid w:val="6C913DE4"/>
    <w:multiLevelType w:val="hybridMultilevel"/>
    <w:tmpl w:val="E2C89C66"/>
    <w:lvl w:ilvl="0" w:tplc="35AEDFD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40"/>
    <w:rsid w:val="00017F94"/>
    <w:rsid w:val="00023842"/>
    <w:rsid w:val="000334F9"/>
    <w:rsid w:val="0007796D"/>
    <w:rsid w:val="000B1F1E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30A40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A027B"/>
    <w:rsid w:val="00661201"/>
    <w:rsid w:val="006E2156"/>
    <w:rsid w:val="006F536B"/>
    <w:rsid w:val="0071601D"/>
    <w:rsid w:val="00730DF3"/>
    <w:rsid w:val="007A62E6"/>
    <w:rsid w:val="007E2D71"/>
    <w:rsid w:val="007F20FA"/>
    <w:rsid w:val="0080684C"/>
    <w:rsid w:val="00871C75"/>
    <w:rsid w:val="008776DC"/>
    <w:rsid w:val="009705C8"/>
    <w:rsid w:val="00975B3C"/>
    <w:rsid w:val="009C1CF4"/>
    <w:rsid w:val="009F6B74"/>
    <w:rsid w:val="00A30353"/>
    <w:rsid w:val="00AA2009"/>
    <w:rsid w:val="00AC3823"/>
    <w:rsid w:val="00AE323C"/>
    <w:rsid w:val="00AF0CB5"/>
    <w:rsid w:val="00B00181"/>
    <w:rsid w:val="00B00B0D"/>
    <w:rsid w:val="00B436AC"/>
    <w:rsid w:val="00B765F7"/>
    <w:rsid w:val="00BA0CA9"/>
    <w:rsid w:val="00C02897"/>
    <w:rsid w:val="00C203E7"/>
    <w:rsid w:val="00D058C5"/>
    <w:rsid w:val="00D3439C"/>
    <w:rsid w:val="00DB1831"/>
    <w:rsid w:val="00DD3BFD"/>
    <w:rsid w:val="00DF6678"/>
    <w:rsid w:val="00E85C74"/>
    <w:rsid w:val="00EA6547"/>
    <w:rsid w:val="00EC6702"/>
    <w:rsid w:val="00EF2E22"/>
    <w:rsid w:val="00F03E85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6970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ECE/TRANS/WP.29/GRB/2016/9</vt:lpstr>
      <vt:lpstr>ECE/TRANS/WP.29/GRB/2016/9</vt:lpstr>
    </vt:vector>
  </TitlesOfParts>
  <Company>DCM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ECE/TRANS/WP.29/GRB/2016/9</dc:title>
  <dc:subject>final</dc:subject>
  <dc:creator>Devouass</dc:creator>
  <cp:lastModifiedBy>Benedicte Boudol</cp:lastModifiedBy>
  <cp:revision>2</cp:revision>
  <cp:lastPrinted>2016-07-18T14:34:00Z</cp:lastPrinted>
  <dcterms:created xsi:type="dcterms:W3CDTF">2016-07-19T07:48:00Z</dcterms:created>
  <dcterms:modified xsi:type="dcterms:W3CDTF">2016-07-19T07:48:00Z</dcterms:modified>
</cp:coreProperties>
</file>