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35819" w:rsidTr="00391144">
        <w:trPr>
          <w:cantSplit/>
          <w:trHeight w:hRule="exact" w:val="851"/>
        </w:trPr>
        <w:tc>
          <w:tcPr>
            <w:tcW w:w="1276" w:type="dxa"/>
            <w:tcBorders>
              <w:bottom w:val="single" w:sz="4" w:space="0" w:color="auto"/>
            </w:tcBorders>
            <w:shd w:val="clear" w:color="auto" w:fill="auto"/>
            <w:vAlign w:val="bottom"/>
          </w:tcPr>
          <w:p w:rsidR="00B56E9C" w:rsidRPr="00F35819" w:rsidRDefault="00B56E9C" w:rsidP="00391144">
            <w:bookmarkStart w:id="0" w:name="_GoBack"/>
            <w:bookmarkEnd w:id="0"/>
          </w:p>
        </w:tc>
        <w:tc>
          <w:tcPr>
            <w:tcW w:w="2268" w:type="dxa"/>
            <w:tcBorders>
              <w:bottom w:val="single" w:sz="4" w:space="0" w:color="auto"/>
            </w:tcBorders>
            <w:shd w:val="clear" w:color="auto" w:fill="auto"/>
            <w:vAlign w:val="bottom"/>
          </w:tcPr>
          <w:p w:rsidR="00B56E9C" w:rsidRPr="00F35819" w:rsidRDefault="00B56E9C" w:rsidP="00391144">
            <w:pPr>
              <w:spacing w:after="80" w:line="300" w:lineRule="exact"/>
              <w:rPr>
                <w:b/>
                <w:sz w:val="24"/>
                <w:szCs w:val="24"/>
              </w:rPr>
            </w:pPr>
            <w:r w:rsidRPr="00F35819">
              <w:rPr>
                <w:sz w:val="28"/>
                <w:szCs w:val="28"/>
              </w:rPr>
              <w:t>United Nations</w:t>
            </w:r>
          </w:p>
        </w:tc>
        <w:tc>
          <w:tcPr>
            <w:tcW w:w="6095" w:type="dxa"/>
            <w:gridSpan w:val="2"/>
            <w:tcBorders>
              <w:bottom w:val="single" w:sz="4" w:space="0" w:color="auto"/>
            </w:tcBorders>
            <w:shd w:val="clear" w:color="auto" w:fill="auto"/>
            <w:vAlign w:val="bottom"/>
          </w:tcPr>
          <w:p w:rsidR="00B56E9C" w:rsidRPr="00F35819" w:rsidRDefault="003D1989" w:rsidP="00AA2921">
            <w:pPr>
              <w:jc w:val="right"/>
              <w:rPr>
                <w:lang w:eastAsia="ja-JP"/>
              </w:rPr>
            </w:pPr>
            <w:r w:rsidRPr="00F35819">
              <w:rPr>
                <w:sz w:val="40"/>
              </w:rPr>
              <w:t>ECE</w:t>
            </w:r>
            <w:r w:rsidR="007C7184" w:rsidRPr="00F35819">
              <w:t>/TRANS/WP.29/GRB/201</w:t>
            </w:r>
            <w:r w:rsidR="00033C6C" w:rsidRPr="00F35819">
              <w:rPr>
                <w:rFonts w:hint="eastAsia"/>
                <w:lang w:eastAsia="ja-JP"/>
              </w:rPr>
              <w:t>6</w:t>
            </w:r>
            <w:r w:rsidR="007C7184" w:rsidRPr="00F35819">
              <w:t>/</w:t>
            </w:r>
            <w:r w:rsidR="00AA2921">
              <w:t>8</w:t>
            </w:r>
          </w:p>
        </w:tc>
      </w:tr>
      <w:tr w:rsidR="00B56E9C" w:rsidRPr="00F35819" w:rsidTr="00391144">
        <w:trPr>
          <w:cantSplit/>
          <w:trHeight w:hRule="exact" w:val="2835"/>
        </w:trPr>
        <w:tc>
          <w:tcPr>
            <w:tcW w:w="1276" w:type="dxa"/>
            <w:tcBorders>
              <w:top w:val="single" w:sz="4" w:space="0" w:color="auto"/>
              <w:bottom w:val="single" w:sz="12" w:space="0" w:color="auto"/>
            </w:tcBorders>
            <w:shd w:val="clear" w:color="auto" w:fill="auto"/>
          </w:tcPr>
          <w:p w:rsidR="00B56E9C" w:rsidRPr="00F35819" w:rsidRDefault="007E0FD3" w:rsidP="00391144">
            <w:pPr>
              <w:spacing w:before="120"/>
            </w:pPr>
            <w:r>
              <w:rPr>
                <w:noProof/>
                <w:lang w:eastAsia="en-GB"/>
              </w:rPr>
              <w:drawing>
                <wp:inline distT="0" distB="0" distL="0" distR="0">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F35819" w:rsidRDefault="00D773DF" w:rsidP="00391144">
            <w:pPr>
              <w:spacing w:before="120" w:line="420" w:lineRule="exact"/>
              <w:rPr>
                <w:sz w:val="40"/>
                <w:szCs w:val="40"/>
              </w:rPr>
            </w:pPr>
            <w:r w:rsidRPr="00F35819">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F35819" w:rsidRDefault="003D1989" w:rsidP="00391144">
            <w:pPr>
              <w:spacing w:before="240" w:line="240" w:lineRule="exact"/>
            </w:pPr>
            <w:r w:rsidRPr="00F35819">
              <w:t>Distr.: General</w:t>
            </w:r>
          </w:p>
          <w:p w:rsidR="003D1989" w:rsidRPr="00AA2921" w:rsidRDefault="00AA2921" w:rsidP="00391144">
            <w:pPr>
              <w:spacing w:line="240" w:lineRule="exact"/>
              <w:rPr>
                <w:lang w:eastAsia="ja-JP"/>
              </w:rPr>
            </w:pPr>
            <w:r w:rsidRPr="00AA2921">
              <w:rPr>
                <w:lang w:eastAsia="ja-JP"/>
              </w:rPr>
              <w:t>1</w:t>
            </w:r>
            <w:r w:rsidR="00DF2316">
              <w:rPr>
                <w:lang w:eastAsia="ja-JP"/>
              </w:rPr>
              <w:t>4</w:t>
            </w:r>
            <w:r w:rsidRPr="00AA2921">
              <w:rPr>
                <w:lang w:eastAsia="ja-JP"/>
              </w:rPr>
              <w:t xml:space="preserve"> June </w:t>
            </w:r>
            <w:r w:rsidR="00B051C2" w:rsidRPr="00AA2921">
              <w:t>201</w:t>
            </w:r>
            <w:r w:rsidR="00033C6C" w:rsidRPr="00AA2921">
              <w:rPr>
                <w:rFonts w:hint="eastAsia"/>
                <w:lang w:eastAsia="ja-JP"/>
              </w:rPr>
              <w:t>6</w:t>
            </w:r>
          </w:p>
          <w:p w:rsidR="003D1989" w:rsidRPr="00F35819" w:rsidRDefault="003D1989" w:rsidP="00391144">
            <w:pPr>
              <w:spacing w:line="240" w:lineRule="exact"/>
            </w:pPr>
          </w:p>
          <w:p w:rsidR="003D1989" w:rsidRPr="00F35819" w:rsidRDefault="003D1989" w:rsidP="00391144">
            <w:pPr>
              <w:spacing w:line="240" w:lineRule="exact"/>
            </w:pPr>
            <w:r w:rsidRPr="00F35819">
              <w:t>Original: English</w:t>
            </w:r>
          </w:p>
        </w:tc>
      </w:tr>
    </w:tbl>
    <w:p w:rsidR="003D1989" w:rsidRPr="00B74FCB" w:rsidRDefault="003D1989" w:rsidP="003D1989">
      <w:pPr>
        <w:spacing w:before="120"/>
        <w:rPr>
          <w:b/>
          <w:sz w:val="28"/>
          <w:szCs w:val="28"/>
        </w:rPr>
      </w:pPr>
      <w:r w:rsidRPr="00B74FCB">
        <w:rPr>
          <w:b/>
          <w:sz w:val="28"/>
          <w:szCs w:val="28"/>
        </w:rPr>
        <w:t>Economic Commission for Europe</w:t>
      </w:r>
    </w:p>
    <w:p w:rsidR="003D1989" w:rsidRPr="00B74FCB" w:rsidRDefault="003D1989" w:rsidP="003D1989">
      <w:pPr>
        <w:spacing w:before="120"/>
        <w:rPr>
          <w:sz w:val="28"/>
          <w:szCs w:val="28"/>
        </w:rPr>
      </w:pPr>
      <w:r w:rsidRPr="00B74FCB">
        <w:rPr>
          <w:sz w:val="28"/>
          <w:szCs w:val="28"/>
        </w:rPr>
        <w:t>Inland Transport Committee</w:t>
      </w:r>
    </w:p>
    <w:p w:rsidR="003D1989" w:rsidRPr="00B74FCB" w:rsidRDefault="003D1989" w:rsidP="003D1989">
      <w:pPr>
        <w:spacing w:before="120"/>
        <w:rPr>
          <w:b/>
          <w:sz w:val="24"/>
          <w:szCs w:val="24"/>
        </w:rPr>
      </w:pPr>
      <w:r w:rsidRPr="00B74FCB">
        <w:rPr>
          <w:b/>
          <w:sz w:val="24"/>
          <w:szCs w:val="24"/>
        </w:rPr>
        <w:t>World Forum for Harmonization of Vehicle Regulations</w:t>
      </w:r>
    </w:p>
    <w:p w:rsidR="003D1989" w:rsidRPr="00B74FCB" w:rsidRDefault="003D1989" w:rsidP="003D1989">
      <w:pPr>
        <w:spacing w:before="120"/>
        <w:rPr>
          <w:b/>
        </w:rPr>
      </w:pPr>
      <w:r w:rsidRPr="00B74FCB">
        <w:rPr>
          <w:b/>
        </w:rPr>
        <w:t>Working Party on Noise</w:t>
      </w:r>
    </w:p>
    <w:p w:rsidR="003D1989" w:rsidRPr="00B74FCB" w:rsidRDefault="007C7184" w:rsidP="003D1989">
      <w:pPr>
        <w:spacing w:before="120"/>
        <w:rPr>
          <w:b/>
        </w:rPr>
      </w:pPr>
      <w:r w:rsidRPr="00B74FCB">
        <w:rPr>
          <w:b/>
        </w:rPr>
        <w:t>Sixty</w:t>
      </w:r>
      <w:r w:rsidR="00B74FCB">
        <w:rPr>
          <w:b/>
        </w:rPr>
        <w:t>-</w:t>
      </w:r>
      <w:r w:rsidR="00DC2D46">
        <w:rPr>
          <w:rFonts w:hint="eastAsia"/>
          <w:b/>
          <w:lang w:eastAsia="ja-JP"/>
        </w:rPr>
        <w:t>fourth</w:t>
      </w:r>
      <w:r w:rsidR="004E16EA">
        <w:rPr>
          <w:b/>
        </w:rPr>
        <w:t xml:space="preserve"> </w:t>
      </w:r>
      <w:proofErr w:type="gramStart"/>
      <w:r w:rsidR="003D1989" w:rsidRPr="00B74FCB">
        <w:rPr>
          <w:b/>
        </w:rPr>
        <w:t>session</w:t>
      </w:r>
      <w:proofErr w:type="gramEnd"/>
    </w:p>
    <w:p w:rsidR="003D1989" w:rsidRPr="00B74FCB" w:rsidRDefault="007C7184" w:rsidP="003D1989">
      <w:pPr>
        <w:rPr>
          <w:lang w:eastAsia="ja-JP"/>
        </w:rPr>
      </w:pPr>
      <w:r w:rsidRPr="00B74FCB">
        <w:t xml:space="preserve">Geneva, </w:t>
      </w:r>
      <w:r w:rsidR="00323274" w:rsidRPr="00323274">
        <w:rPr>
          <w:rFonts w:hint="eastAsia"/>
          <w:lang w:eastAsia="ja-JP"/>
        </w:rPr>
        <w:t>5</w:t>
      </w:r>
      <w:r w:rsidR="008F092F" w:rsidRPr="00323274">
        <w:t>–</w:t>
      </w:r>
      <w:r w:rsidR="00323274" w:rsidRPr="00323274">
        <w:rPr>
          <w:rFonts w:hint="eastAsia"/>
          <w:lang w:eastAsia="ja-JP"/>
        </w:rPr>
        <w:t>7</w:t>
      </w:r>
      <w:r w:rsidR="00B051C2" w:rsidRPr="00B74FCB">
        <w:t xml:space="preserve"> </w:t>
      </w:r>
      <w:r w:rsidR="004E16EA">
        <w:t xml:space="preserve">September </w:t>
      </w:r>
      <w:r w:rsidRPr="00B74FCB">
        <w:t>201</w:t>
      </w:r>
      <w:r w:rsidR="00033C6C">
        <w:rPr>
          <w:rFonts w:hint="eastAsia"/>
          <w:lang w:eastAsia="ja-JP"/>
        </w:rPr>
        <w:t>6</w:t>
      </w:r>
    </w:p>
    <w:p w:rsidR="003D1989" w:rsidRPr="00B74FCB" w:rsidRDefault="007C7184" w:rsidP="003D1989">
      <w:r w:rsidRPr="00B74FCB">
        <w:t xml:space="preserve">Item </w:t>
      </w:r>
      <w:r w:rsidR="00AA2921">
        <w:t>11</w:t>
      </w:r>
      <w:r w:rsidR="00B051C2" w:rsidRPr="00B74FCB">
        <w:t xml:space="preserve"> </w:t>
      </w:r>
      <w:r w:rsidR="003D1989" w:rsidRPr="00B74FCB">
        <w:t>of the provisional agenda</w:t>
      </w:r>
    </w:p>
    <w:p w:rsidR="003D1989" w:rsidRPr="00B74FCB" w:rsidRDefault="00677B4A" w:rsidP="003D1989">
      <w:r>
        <w:rPr>
          <w:rFonts w:hint="eastAsia"/>
          <w:b/>
          <w:lang w:eastAsia="ja-JP"/>
        </w:rPr>
        <w:t>Q</w:t>
      </w:r>
      <w:r>
        <w:rPr>
          <w:b/>
        </w:rPr>
        <w:t xml:space="preserve">uiet </w:t>
      </w:r>
      <w:r w:rsidR="00AA2921">
        <w:rPr>
          <w:b/>
        </w:rPr>
        <w:t>r</w:t>
      </w:r>
      <w:r>
        <w:rPr>
          <w:b/>
        </w:rPr>
        <w:t xml:space="preserve">oad </w:t>
      </w:r>
      <w:r w:rsidR="00AA2921">
        <w:rPr>
          <w:b/>
        </w:rPr>
        <w:t>t</w:t>
      </w:r>
      <w:r>
        <w:rPr>
          <w:b/>
        </w:rPr>
        <w:t>ransport</w:t>
      </w:r>
      <w:r w:rsidR="00AA2921">
        <w:rPr>
          <w:b/>
        </w:rPr>
        <w:t xml:space="preserve"> v</w:t>
      </w:r>
      <w:r w:rsidRPr="00677B4A">
        <w:rPr>
          <w:b/>
        </w:rPr>
        <w:t>ehicles</w:t>
      </w:r>
    </w:p>
    <w:p w:rsidR="003D1989" w:rsidRPr="00974AA8" w:rsidRDefault="007C7184" w:rsidP="00974AA8">
      <w:pPr>
        <w:pStyle w:val="H1G"/>
        <w:rPr>
          <w:w w:val="98"/>
          <w:lang w:eastAsia="ja-JP"/>
        </w:rPr>
      </w:pPr>
      <w:r w:rsidRPr="00B74FCB">
        <w:tab/>
      </w:r>
      <w:r w:rsidRPr="00B74FCB">
        <w:tab/>
      </w:r>
      <w:r w:rsidR="004E16EA" w:rsidRPr="00974AA8">
        <w:rPr>
          <w:w w:val="98"/>
        </w:rPr>
        <w:t xml:space="preserve">Proposal for </w:t>
      </w:r>
      <w:r w:rsidR="00AA2921" w:rsidRPr="00974AA8">
        <w:rPr>
          <w:w w:val="98"/>
        </w:rPr>
        <w:t xml:space="preserve">the </w:t>
      </w:r>
      <w:r w:rsidR="00677B4A" w:rsidRPr="00974AA8">
        <w:rPr>
          <w:rFonts w:hint="eastAsia"/>
          <w:w w:val="98"/>
          <w:lang w:eastAsia="ja-JP"/>
        </w:rPr>
        <w:t xml:space="preserve">01 </w:t>
      </w:r>
      <w:r w:rsidR="00AA2921" w:rsidRPr="00974AA8">
        <w:rPr>
          <w:w w:val="98"/>
          <w:lang w:eastAsia="ja-JP"/>
        </w:rPr>
        <w:t>s</w:t>
      </w:r>
      <w:r w:rsidR="00677B4A" w:rsidRPr="00974AA8">
        <w:rPr>
          <w:rFonts w:hint="eastAsia"/>
          <w:w w:val="98"/>
          <w:lang w:eastAsia="ja-JP"/>
        </w:rPr>
        <w:t>eries</w:t>
      </w:r>
      <w:r w:rsidR="00663FC0" w:rsidRPr="00974AA8">
        <w:rPr>
          <w:w w:val="98"/>
          <w:lang w:eastAsia="ja-JP"/>
        </w:rPr>
        <w:t xml:space="preserve"> of amendments</w:t>
      </w:r>
      <w:r w:rsidR="00663FC0" w:rsidRPr="00974AA8">
        <w:rPr>
          <w:w w:val="98"/>
        </w:rPr>
        <w:t xml:space="preserve"> to</w:t>
      </w:r>
      <w:r w:rsidR="00962EB5" w:rsidRPr="00974AA8">
        <w:rPr>
          <w:w w:val="98"/>
        </w:rPr>
        <w:t xml:space="preserve"> the new</w:t>
      </w:r>
      <w:r w:rsidR="00677B4A" w:rsidRPr="00974AA8">
        <w:rPr>
          <w:w w:val="98"/>
        </w:rPr>
        <w:t xml:space="preserve"> Regulation No.</w:t>
      </w:r>
      <w:r w:rsidR="00677B4A" w:rsidRPr="00974AA8">
        <w:rPr>
          <w:color w:val="FF0000"/>
          <w:w w:val="98"/>
        </w:rPr>
        <w:t xml:space="preserve"> </w:t>
      </w:r>
      <w:r w:rsidR="00962EB5" w:rsidRPr="00974AA8">
        <w:rPr>
          <w:w w:val="98"/>
        </w:rPr>
        <w:t>[</w:t>
      </w:r>
      <w:r w:rsidR="001336D4" w:rsidRPr="00974AA8">
        <w:rPr>
          <w:w w:val="98"/>
          <w:lang w:eastAsia="ja-JP"/>
        </w:rPr>
        <w:t>138</w:t>
      </w:r>
      <w:r w:rsidR="00962EB5" w:rsidRPr="00974AA8">
        <w:rPr>
          <w:w w:val="98"/>
          <w:lang w:eastAsia="ja-JP"/>
        </w:rPr>
        <w:t>]</w:t>
      </w:r>
      <w:r w:rsidR="00677B4A" w:rsidRPr="00974AA8">
        <w:rPr>
          <w:rFonts w:hint="eastAsia"/>
          <w:w w:val="98"/>
          <w:lang w:eastAsia="ja-JP"/>
        </w:rPr>
        <w:t xml:space="preserve"> </w:t>
      </w:r>
    </w:p>
    <w:p w:rsidR="003D1989" w:rsidRPr="00B74FCB" w:rsidRDefault="003D1989" w:rsidP="007C7184">
      <w:pPr>
        <w:pStyle w:val="H1G"/>
        <w:rPr>
          <w:lang w:eastAsia="ja-JP"/>
        </w:rPr>
      </w:pPr>
      <w:r w:rsidRPr="00B74FCB">
        <w:tab/>
      </w:r>
      <w:r w:rsidRPr="00B74FCB">
        <w:tab/>
      </w:r>
      <w:r w:rsidR="00B051C2" w:rsidRPr="00B74FCB">
        <w:t xml:space="preserve">Submitted by the </w:t>
      </w:r>
      <w:r w:rsidR="00E9574E">
        <w:t xml:space="preserve">expert from </w:t>
      </w:r>
      <w:r w:rsidR="00DC2D46">
        <w:rPr>
          <w:rFonts w:hint="eastAsia"/>
          <w:lang w:eastAsia="ja-JP"/>
        </w:rPr>
        <w:t>Japan</w:t>
      </w:r>
      <w:r w:rsidRPr="00B74FCB">
        <w:footnoteReference w:customMarkFollows="1" w:id="2"/>
        <w:t>*</w:t>
      </w:r>
    </w:p>
    <w:p w:rsidR="007C7184" w:rsidRPr="00B74FCB" w:rsidRDefault="00E9574E" w:rsidP="00DC2D46">
      <w:pPr>
        <w:pStyle w:val="SingleTxtG"/>
        <w:ind w:firstLine="567"/>
      </w:pPr>
      <w:r w:rsidRPr="00E9574E">
        <w:t xml:space="preserve">The text reproduced below was prepared by the expert from </w:t>
      </w:r>
      <w:r w:rsidR="00DC2D46">
        <w:rPr>
          <w:rFonts w:hint="eastAsia"/>
          <w:lang w:eastAsia="ja-JP"/>
        </w:rPr>
        <w:t xml:space="preserve">Japan </w:t>
      </w:r>
      <w:r w:rsidRPr="001336D4">
        <w:t xml:space="preserve">in accordance with a </w:t>
      </w:r>
      <w:r w:rsidR="00DC2D46" w:rsidRPr="001336D4">
        <w:rPr>
          <w:lang w:eastAsia="ja-JP"/>
        </w:rPr>
        <w:t>discussion</w:t>
      </w:r>
      <w:r w:rsidR="00DC2D46" w:rsidRPr="001336D4">
        <w:rPr>
          <w:rFonts w:hint="eastAsia"/>
          <w:lang w:eastAsia="ja-JP"/>
        </w:rPr>
        <w:t xml:space="preserve"> </w:t>
      </w:r>
      <w:r w:rsidR="00DC2D46" w:rsidRPr="001336D4">
        <w:t>at the sixty-</w:t>
      </w:r>
      <w:r w:rsidR="00DC2D46" w:rsidRPr="001336D4">
        <w:rPr>
          <w:rFonts w:hint="eastAsia"/>
          <w:lang w:eastAsia="ja-JP"/>
        </w:rPr>
        <w:t>third</w:t>
      </w:r>
      <w:r w:rsidR="00DC2D46" w:rsidRPr="001336D4">
        <w:t xml:space="preserve"> session of the Working Party on Noise</w:t>
      </w:r>
      <w:r w:rsidR="00DC2D46" w:rsidRPr="001336D4">
        <w:rPr>
          <w:rFonts w:hint="eastAsia"/>
          <w:lang w:eastAsia="ja-JP"/>
        </w:rPr>
        <w:t xml:space="preserve"> (</w:t>
      </w:r>
      <w:r w:rsidR="00DC2D46" w:rsidRPr="001336D4">
        <w:t>ECE/TRANS/WP.29/GRB</w:t>
      </w:r>
      <w:r w:rsidR="00AA2921">
        <w:t>/61, para. 19</w:t>
      </w:r>
      <w:r w:rsidR="00DC2D46" w:rsidRPr="001336D4">
        <w:rPr>
          <w:rFonts w:hint="eastAsia"/>
          <w:lang w:eastAsia="ja-JP"/>
        </w:rPr>
        <w:t xml:space="preserve">) </w:t>
      </w:r>
      <w:r w:rsidR="00AA2921">
        <w:rPr>
          <w:lang w:eastAsia="ja-JP"/>
        </w:rPr>
        <w:t xml:space="preserve">regarding </w:t>
      </w:r>
      <w:r w:rsidR="00DC2D46" w:rsidRPr="001336D4">
        <w:rPr>
          <w:rFonts w:hint="eastAsia"/>
          <w:lang w:eastAsia="ja-JP"/>
        </w:rPr>
        <w:t xml:space="preserve">the prohibition of the pause function </w:t>
      </w:r>
      <w:r w:rsidR="001336D4" w:rsidRPr="001336D4">
        <w:rPr>
          <w:rFonts w:hint="eastAsia"/>
          <w:lang w:eastAsia="ja-JP"/>
        </w:rPr>
        <w:t xml:space="preserve">in Regulation No. </w:t>
      </w:r>
      <w:r w:rsidR="00962EB5">
        <w:rPr>
          <w:lang w:eastAsia="ja-JP"/>
        </w:rPr>
        <w:t>[</w:t>
      </w:r>
      <w:r w:rsidR="001336D4" w:rsidRPr="001336D4">
        <w:rPr>
          <w:rFonts w:hint="eastAsia"/>
          <w:lang w:eastAsia="ja-JP"/>
        </w:rPr>
        <w:t>1</w:t>
      </w:r>
      <w:r w:rsidR="00747367">
        <w:rPr>
          <w:lang w:eastAsia="ja-JP"/>
        </w:rPr>
        <w:t>3</w:t>
      </w:r>
      <w:r w:rsidR="001336D4" w:rsidRPr="001336D4">
        <w:rPr>
          <w:lang w:eastAsia="ja-JP"/>
        </w:rPr>
        <w:t>8</w:t>
      </w:r>
      <w:r w:rsidR="00962EB5">
        <w:rPr>
          <w:lang w:eastAsia="ja-JP"/>
        </w:rPr>
        <w:t>]</w:t>
      </w:r>
      <w:r w:rsidR="00DC2D46" w:rsidRPr="001336D4">
        <w:rPr>
          <w:rFonts w:hint="eastAsia"/>
          <w:lang w:eastAsia="ja-JP"/>
        </w:rPr>
        <w:t xml:space="preserve"> (</w:t>
      </w:r>
      <w:r w:rsidR="00AA2921" w:rsidRPr="00AA2921">
        <w:rPr>
          <w:lang w:eastAsia="ja-JP"/>
        </w:rPr>
        <w:t>Quiet road transport vehicles</w:t>
      </w:r>
      <w:r w:rsidR="00DC2D46" w:rsidRPr="001336D4">
        <w:rPr>
          <w:rFonts w:hint="eastAsia"/>
          <w:lang w:eastAsia="ja-JP"/>
        </w:rPr>
        <w:t>).</w:t>
      </w:r>
      <w:r w:rsidRPr="00E9574E">
        <w:t xml:space="preserve"> </w:t>
      </w:r>
      <w:r w:rsidR="00DC2D46">
        <w:t xml:space="preserve">The modifications to the </w:t>
      </w:r>
      <w:r w:rsidR="00747367">
        <w:t xml:space="preserve">current </w:t>
      </w:r>
      <w:r w:rsidR="00DC2D46">
        <w:t>text of the Regulation</w:t>
      </w:r>
      <w:r w:rsidR="00F80554">
        <w:t xml:space="preserve"> (ECE/TRANS/WP.29/2016/26)</w:t>
      </w:r>
      <w:r w:rsidR="00DC2D46">
        <w:t xml:space="preserve"> are marked</w:t>
      </w:r>
      <w:r w:rsidR="00DC2D46">
        <w:rPr>
          <w:rFonts w:hint="eastAsia"/>
          <w:lang w:eastAsia="ja-JP"/>
        </w:rPr>
        <w:t xml:space="preserve"> </w:t>
      </w:r>
      <w:r w:rsidR="00DC2D46">
        <w:t>in bold for new or strikethrough for deleted characters.</w:t>
      </w:r>
    </w:p>
    <w:p w:rsidR="0048388E" w:rsidRPr="00B74FCB" w:rsidRDefault="007C7184" w:rsidP="0048388E">
      <w:pPr>
        <w:pStyle w:val="HChG"/>
        <w:ind w:hanging="567"/>
        <w:rPr>
          <w:spacing w:val="-2"/>
        </w:rPr>
      </w:pPr>
      <w:r w:rsidRPr="00B74FCB">
        <w:tab/>
      </w:r>
      <w:r w:rsidRPr="00B74FCB">
        <w:tab/>
      </w:r>
      <w:r w:rsidR="003D1989" w:rsidRPr="00B74FCB">
        <w:br w:type="page"/>
      </w:r>
    </w:p>
    <w:p w:rsidR="003D1989" w:rsidRPr="00AB72A9" w:rsidRDefault="00AB72A9" w:rsidP="00AB72A9">
      <w:pPr>
        <w:pStyle w:val="HChG"/>
        <w:rPr>
          <w:rFonts w:eastAsia="Times New Roman"/>
          <w:lang w:val="en-US"/>
        </w:rPr>
      </w:pPr>
      <w:r>
        <w:rPr>
          <w:rFonts w:eastAsia="Times New Roman"/>
          <w:lang w:val="en-US"/>
        </w:rPr>
        <w:lastRenderedPageBreak/>
        <w:tab/>
      </w:r>
      <w:r w:rsidR="003D1989" w:rsidRPr="00AB72A9">
        <w:rPr>
          <w:rFonts w:eastAsia="Times New Roman"/>
          <w:lang w:val="en-US"/>
        </w:rPr>
        <w:t>I.</w:t>
      </w:r>
      <w:r w:rsidR="003D1989" w:rsidRPr="00AB72A9">
        <w:rPr>
          <w:rFonts w:eastAsia="Times New Roman"/>
          <w:lang w:val="en-US"/>
        </w:rPr>
        <w:tab/>
        <w:t xml:space="preserve">Proposal </w:t>
      </w:r>
    </w:p>
    <w:p w:rsidR="00677B4A" w:rsidRPr="00677B4A" w:rsidRDefault="00804912" w:rsidP="00AA2921">
      <w:pPr>
        <w:spacing w:after="120"/>
        <w:ind w:left="1134" w:right="1134"/>
        <w:jc w:val="both"/>
        <w:rPr>
          <w:i/>
        </w:rPr>
      </w:pPr>
      <w:r>
        <w:rPr>
          <w:i/>
        </w:rPr>
        <w:t>Paragraph 2.</w:t>
      </w:r>
      <w:r>
        <w:rPr>
          <w:rFonts w:hint="eastAsia"/>
          <w:i/>
          <w:lang w:eastAsia="ja-JP"/>
        </w:rPr>
        <w:t>7</w:t>
      </w:r>
      <w:r w:rsidR="00677B4A" w:rsidRPr="00677B4A">
        <w:rPr>
          <w:i/>
        </w:rPr>
        <w:t xml:space="preserve">., </w:t>
      </w:r>
      <w:r w:rsidR="00677B4A" w:rsidRPr="00677B4A">
        <w:t>amend to read</w:t>
      </w:r>
      <w:r w:rsidR="00677B4A" w:rsidRPr="00677B4A">
        <w:rPr>
          <w:iCs/>
        </w:rPr>
        <w:t xml:space="preserve">: </w:t>
      </w:r>
    </w:p>
    <w:p w:rsidR="00677B4A" w:rsidRDefault="0048388E" w:rsidP="0048388E">
      <w:pPr>
        <w:spacing w:after="120"/>
        <w:ind w:left="2268" w:rightChars="567" w:right="1134" w:hanging="1134"/>
        <w:jc w:val="both"/>
        <w:rPr>
          <w:i/>
          <w:lang w:eastAsia="ja-JP"/>
        </w:rPr>
      </w:pPr>
      <w:r>
        <w:t>"</w:t>
      </w:r>
      <w:r w:rsidR="00804912">
        <w:t>2.</w:t>
      </w:r>
      <w:r w:rsidR="00804912">
        <w:rPr>
          <w:rFonts w:hint="eastAsia"/>
          <w:lang w:eastAsia="ja-JP"/>
        </w:rPr>
        <w:t>7</w:t>
      </w:r>
      <w:r w:rsidR="00804912">
        <w:t>.</w:t>
      </w:r>
      <w:r w:rsidR="00804912">
        <w:tab/>
      </w:r>
      <w:r>
        <w:tab/>
      </w:r>
      <w:r w:rsidR="00804912" w:rsidRPr="00804912">
        <w:t>"</w:t>
      </w:r>
      <w:r w:rsidR="00804912" w:rsidRPr="00B24EBC">
        <w:rPr>
          <w:i/>
        </w:rPr>
        <w:t>Pause function</w:t>
      </w:r>
      <w:r w:rsidR="00804912" w:rsidRPr="00804912">
        <w:t xml:space="preserve">" means a mechanism to halt </w:t>
      </w:r>
      <w:r w:rsidR="00804912" w:rsidRPr="00B24EBC">
        <w:rPr>
          <w:strike/>
        </w:rPr>
        <w:t>temporarily</w:t>
      </w:r>
      <w:r w:rsidR="00804912">
        <w:t xml:space="preserve"> the operation of an</w:t>
      </w:r>
      <w:r w:rsidR="00804912">
        <w:rPr>
          <w:rFonts w:hint="eastAsia"/>
          <w:lang w:eastAsia="ja-JP"/>
        </w:rPr>
        <w:t xml:space="preserve"> </w:t>
      </w:r>
      <w:r w:rsidR="00804912" w:rsidRPr="00804912">
        <w:t>AVAS.</w:t>
      </w:r>
      <w:r>
        <w:t>"</w:t>
      </w:r>
    </w:p>
    <w:p w:rsidR="00677B4A" w:rsidRPr="00677B4A" w:rsidRDefault="00677B4A" w:rsidP="00AA2921">
      <w:pPr>
        <w:spacing w:after="120"/>
        <w:ind w:left="1134" w:right="1134"/>
        <w:jc w:val="both"/>
        <w:rPr>
          <w:i/>
        </w:rPr>
      </w:pPr>
      <w:r w:rsidRPr="00677B4A">
        <w:rPr>
          <w:i/>
        </w:rPr>
        <w:t xml:space="preserve">Paragraph 6.2.6., </w:t>
      </w:r>
      <w:r w:rsidRPr="00677B4A">
        <w:t>amend to read</w:t>
      </w:r>
      <w:r w:rsidRPr="00677B4A">
        <w:rPr>
          <w:iCs/>
        </w:rPr>
        <w:t xml:space="preserve">: </w:t>
      </w:r>
    </w:p>
    <w:p w:rsidR="00677B4A" w:rsidRPr="00677B4A" w:rsidRDefault="0048388E" w:rsidP="00AA2921">
      <w:pPr>
        <w:spacing w:after="120" w:line="240" w:lineRule="auto"/>
        <w:ind w:left="1134" w:right="1134"/>
        <w:jc w:val="both"/>
        <w:rPr>
          <w:lang w:val="en-US"/>
        </w:rPr>
      </w:pPr>
      <w:r>
        <w:t>"</w:t>
      </w:r>
      <w:r w:rsidR="00677B4A" w:rsidRPr="00677B4A">
        <w:t>6.2.6.</w:t>
      </w:r>
      <w:r w:rsidR="00677B4A" w:rsidRPr="00677B4A">
        <w:tab/>
      </w:r>
      <w:r>
        <w:tab/>
      </w:r>
      <w:r w:rsidR="00677B4A" w:rsidRPr="00677B4A">
        <w:t xml:space="preserve">Pause function </w:t>
      </w:r>
      <w:r w:rsidR="00B24EBC">
        <w:rPr>
          <w:rFonts w:hint="eastAsia"/>
          <w:b/>
          <w:lang w:eastAsia="ja-JP"/>
        </w:rPr>
        <w:t>shall be</w:t>
      </w:r>
      <w:r w:rsidR="00677B4A" w:rsidRPr="00677B4A">
        <w:rPr>
          <w:b/>
        </w:rPr>
        <w:t xml:space="preserve"> prohibited.</w:t>
      </w:r>
    </w:p>
    <w:p w:rsidR="00677B4A" w:rsidRPr="00677B4A" w:rsidRDefault="00677B4A" w:rsidP="0048388E">
      <w:pPr>
        <w:spacing w:after="120" w:line="240" w:lineRule="auto"/>
        <w:ind w:left="2268" w:right="1134" w:firstLine="6"/>
        <w:jc w:val="both"/>
        <w:rPr>
          <w:strike/>
        </w:rPr>
      </w:pPr>
      <w:r w:rsidRPr="00677B4A">
        <w:rPr>
          <w:strike/>
        </w:rPr>
        <w:t>The manufacturer may install a function for temporary deactivation of the AVAS. Any other deactivation function, which does not satisfy the specification below, is prohibited.</w:t>
      </w:r>
    </w:p>
    <w:p w:rsidR="00677B4A" w:rsidRPr="00677B4A" w:rsidRDefault="00677B4A" w:rsidP="0048388E">
      <w:pPr>
        <w:tabs>
          <w:tab w:val="left" w:pos="2300"/>
          <w:tab w:val="left" w:pos="2800"/>
          <w:tab w:val="left" w:pos="9214"/>
        </w:tabs>
        <w:spacing w:after="120"/>
        <w:ind w:left="2268" w:right="1134" w:hanging="1134"/>
        <w:jc w:val="both"/>
        <w:rPr>
          <w:strike/>
        </w:rPr>
      </w:pPr>
      <w:r w:rsidRPr="00677B4A">
        <w:rPr>
          <w:strike/>
        </w:rPr>
        <w:t>6.2.6.1.</w:t>
      </w:r>
      <w:r w:rsidRPr="00677B4A">
        <w:tab/>
      </w:r>
      <w:r w:rsidRPr="00677B4A">
        <w:rPr>
          <w:strike/>
        </w:rPr>
        <w:t>The function shall be located so that it is operable by the driver in a normal seating position.</w:t>
      </w:r>
    </w:p>
    <w:p w:rsidR="00677B4A" w:rsidRPr="00677B4A" w:rsidRDefault="00677B4A" w:rsidP="0048388E">
      <w:pPr>
        <w:pStyle w:val="SingleTxtG"/>
        <w:ind w:left="2268" w:hanging="1134"/>
        <w:rPr>
          <w:strike/>
          <w:lang w:val="en-US"/>
        </w:rPr>
      </w:pPr>
      <w:r w:rsidRPr="00677B4A">
        <w:rPr>
          <w:strike/>
        </w:rPr>
        <w:t>6.2.6.2.</w:t>
      </w:r>
      <w:r w:rsidRPr="00677B4A">
        <w:tab/>
      </w:r>
      <w:r w:rsidRPr="00677B4A">
        <w:rPr>
          <w:strike/>
        </w:rPr>
        <w:t>In the case when the pause function is activated, the suspension of AVAS has to be clearly indicated to the driver.</w:t>
      </w:r>
    </w:p>
    <w:p w:rsidR="00677B4A" w:rsidRPr="00677B4A" w:rsidRDefault="00677B4A" w:rsidP="0048388E">
      <w:pPr>
        <w:pStyle w:val="SingleTxtG"/>
        <w:ind w:left="2268" w:hanging="1134"/>
        <w:rPr>
          <w:strike/>
        </w:rPr>
      </w:pPr>
      <w:r w:rsidRPr="00677B4A">
        <w:rPr>
          <w:strike/>
        </w:rPr>
        <w:t>6.2.6.3.</w:t>
      </w:r>
      <w:r w:rsidRPr="00677B4A">
        <w:tab/>
      </w:r>
      <w:r w:rsidRPr="00677B4A">
        <w:rPr>
          <w:strike/>
        </w:rPr>
        <w:t>The AVAS shall be reactivated when the vehicle is started upon each vehicle turn-off.</w:t>
      </w:r>
    </w:p>
    <w:p w:rsidR="00677B4A" w:rsidRPr="00677B4A" w:rsidRDefault="00677B4A" w:rsidP="00AA2921">
      <w:pPr>
        <w:pStyle w:val="SingleTxtG"/>
        <w:spacing w:after="0"/>
        <w:rPr>
          <w:strike/>
        </w:rPr>
      </w:pPr>
      <w:r w:rsidRPr="00677B4A">
        <w:rPr>
          <w:strike/>
        </w:rPr>
        <w:t>6.2.6.4.</w:t>
      </w:r>
      <w:r w:rsidRPr="00677B4A">
        <w:tab/>
      </w:r>
      <w:r w:rsidRPr="00677B4A">
        <w:rPr>
          <w:strike/>
        </w:rPr>
        <w:t>Owner’s manual information</w:t>
      </w:r>
    </w:p>
    <w:p w:rsidR="00677B4A" w:rsidRPr="0048388E" w:rsidRDefault="00677B4A" w:rsidP="0048388E">
      <w:pPr>
        <w:pStyle w:val="SingleTxtG"/>
        <w:ind w:left="2268" w:firstLine="6"/>
        <w:rPr>
          <w:strike/>
          <w:lang w:val="en-US"/>
        </w:rPr>
      </w:pPr>
      <w:r w:rsidRPr="00677B4A">
        <w:rPr>
          <w:strike/>
        </w:rPr>
        <w:t>If a pause function is installed, the manufacturer shall provide the owner with information (e.g. in the owner’s manual) on its effect:</w:t>
      </w:r>
    </w:p>
    <w:p w:rsidR="00677B4A" w:rsidRPr="0048388E" w:rsidRDefault="00677B4A" w:rsidP="0048388E">
      <w:pPr>
        <w:pStyle w:val="SingleTxtG"/>
        <w:ind w:left="2268" w:firstLine="6"/>
        <w:rPr>
          <w:strike/>
          <w:lang w:val="en-US" w:eastAsia="ja-JP"/>
        </w:rPr>
      </w:pPr>
      <w:r w:rsidRPr="0048388E">
        <w:rPr>
          <w:strike/>
          <w:lang w:val="en-US"/>
        </w:rPr>
        <w:t>"The pause function of the Acoustic Vehicle Alerting System (AVAS) shall not be used unless for an obvious lack of necessity to emit sound for alert in the surrounding area and that it is certain that there are no pedestrians within the short distance.</w:t>
      </w:r>
      <w:r w:rsidRPr="0048388E">
        <w:rPr>
          <w:lang w:val="en-US"/>
        </w:rPr>
        <w:t>"</w:t>
      </w:r>
    </w:p>
    <w:p w:rsidR="006E605C" w:rsidRDefault="006E605C" w:rsidP="00AA2921">
      <w:pPr>
        <w:spacing w:after="120"/>
        <w:ind w:left="1134" w:right="1134"/>
        <w:jc w:val="both"/>
        <w:rPr>
          <w:iCs/>
          <w:lang w:eastAsia="ja-JP"/>
        </w:rPr>
      </w:pPr>
      <w:r w:rsidRPr="00677B4A">
        <w:rPr>
          <w:i/>
        </w:rPr>
        <w:t xml:space="preserve">Paragraph </w:t>
      </w:r>
      <w:r w:rsidR="004A1C0C">
        <w:rPr>
          <w:rFonts w:hint="eastAsia"/>
          <w:i/>
          <w:lang w:eastAsia="ja-JP"/>
        </w:rPr>
        <w:t>11</w:t>
      </w:r>
      <w:r w:rsidRPr="00677B4A">
        <w:rPr>
          <w:i/>
        </w:rPr>
        <w:t xml:space="preserve">., </w:t>
      </w:r>
      <w:r w:rsidRPr="00677B4A">
        <w:t>amend to read</w:t>
      </w:r>
      <w:r w:rsidR="004A1C0C">
        <w:rPr>
          <w:iCs/>
        </w:rPr>
        <w:t>:</w:t>
      </w:r>
    </w:p>
    <w:p w:rsidR="004A1C0C" w:rsidRPr="00677B4A" w:rsidRDefault="0048388E" w:rsidP="00AA2921">
      <w:pPr>
        <w:spacing w:after="120"/>
        <w:ind w:left="1134" w:right="1134"/>
        <w:jc w:val="both"/>
        <w:rPr>
          <w:i/>
          <w:lang w:eastAsia="ja-JP"/>
        </w:rPr>
      </w:pPr>
      <w:r>
        <w:rPr>
          <w:iCs/>
          <w:lang w:eastAsia="ja-JP"/>
        </w:rPr>
        <w:t>"</w:t>
      </w:r>
      <w:r w:rsidR="004A1C0C">
        <w:rPr>
          <w:rFonts w:hint="eastAsia"/>
          <w:iCs/>
          <w:lang w:eastAsia="ja-JP"/>
        </w:rPr>
        <w:t>11.</w:t>
      </w:r>
      <w:r w:rsidR="004A1C0C">
        <w:rPr>
          <w:rFonts w:hint="eastAsia"/>
          <w:iCs/>
          <w:lang w:eastAsia="ja-JP"/>
        </w:rPr>
        <w:tab/>
      </w:r>
      <w:r>
        <w:rPr>
          <w:iCs/>
          <w:lang w:eastAsia="ja-JP"/>
        </w:rPr>
        <w:tab/>
      </w:r>
      <w:r w:rsidR="004A1C0C">
        <w:rPr>
          <w:rFonts w:hint="eastAsia"/>
          <w:iCs/>
          <w:lang w:eastAsia="ja-JP"/>
        </w:rPr>
        <w:t>Transitional provisions</w:t>
      </w:r>
    </w:p>
    <w:p w:rsidR="004A1C0C" w:rsidRPr="004A1C0C" w:rsidRDefault="004A1C0C" w:rsidP="0048388E">
      <w:pPr>
        <w:pStyle w:val="SingleTxtG"/>
        <w:ind w:left="2268" w:hanging="1134"/>
        <w:rPr>
          <w:b/>
          <w:lang w:eastAsia="ja-JP"/>
        </w:rPr>
      </w:pPr>
      <w:r w:rsidRPr="004A1C0C">
        <w:rPr>
          <w:rFonts w:hint="eastAsia"/>
          <w:b/>
          <w:lang w:eastAsia="ja-JP"/>
        </w:rPr>
        <w:t>11.1.</w:t>
      </w:r>
      <w:r w:rsidRPr="004A1C0C">
        <w:rPr>
          <w:rFonts w:hint="eastAsia"/>
          <w:b/>
          <w:lang w:eastAsia="ja-JP"/>
        </w:rPr>
        <w:tab/>
      </w:r>
      <w:r w:rsidR="0048388E">
        <w:rPr>
          <w:b/>
          <w:lang w:eastAsia="ja-JP"/>
        </w:rPr>
        <w:tab/>
      </w:r>
      <w:r w:rsidRPr="004A1C0C">
        <w:rPr>
          <w:lang w:eastAsia="ja-JP"/>
        </w:rPr>
        <w:t>Until 30 June 2019 ISO 10844:1994 may be applied as an alternative to ISO 10844:2014 to check compliance of the test track as described in Annex 3, paragraph 2.1.2. of this Regulation.</w:t>
      </w:r>
    </w:p>
    <w:p w:rsidR="006E605C" w:rsidRPr="004A1C0C" w:rsidRDefault="004A1C0C" w:rsidP="0048388E">
      <w:pPr>
        <w:pStyle w:val="SingleTxtG"/>
        <w:ind w:left="2268" w:hanging="1134"/>
        <w:rPr>
          <w:b/>
          <w:lang w:eastAsia="ja-JP"/>
        </w:rPr>
      </w:pPr>
      <w:r w:rsidRPr="004A1C0C">
        <w:rPr>
          <w:rFonts w:hint="eastAsia"/>
          <w:b/>
          <w:lang w:eastAsia="ja-JP"/>
        </w:rPr>
        <w:t>11</w:t>
      </w:r>
      <w:r w:rsidRPr="004A1C0C">
        <w:rPr>
          <w:b/>
        </w:rPr>
        <w:t>.2</w:t>
      </w:r>
      <w:r w:rsidR="006E605C" w:rsidRPr="004A1C0C">
        <w:rPr>
          <w:b/>
        </w:rPr>
        <w:t>.</w:t>
      </w:r>
      <w:r w:rsidR="006E605C" w:rsidRPr="004A1C0C">
        <w:rPr>
          <w:b/>
        </w:rPr>
        <w:tab/>
      </w:r>
      <w:r w:rsidR="0048388E">
        <w:rPr>
          <w:b/>
        </w:rPr>
        <w:tab/>
      </w:r>
      <w:r w:rsidR="008B4FBB" w:rsidRPr="00416D88">
        <w:rPr>
          <w:b/>
          <w:szCs w:val="21"/>
        </w:rPr>
        <w:t xml:space="preserve">As from the official date of entry into force of the </w:t>
      </w:r>
      <w:r w:rsidR="008B4FBB">
        <w:rPr>
          <w:rFonts w:hint="eastAsia"/>
          <w:b/>
          <w:szCs w:val="21"/>
        </w:rPr>
        <w:t>0</w:t>
      </w:r>
      <w:r w:rsidR="008B4FBB">
        <w:rPr>
          <w:rFonts w:hint="eastAsia"/>
          <w:b/>
          <w:szCs w:val="21"/>
          <w:lang w:eastAsia="ja-JP"/>
        </w:rPr>
        <w:t>1</w:t>
      </w:r>
      <w:r w:rsidR="008B4FBB" w:rsidRPr="00416D88">
        <w:rPr>
          <w:b/>
          <w:szCs w:val="21"/>
        </w:rPr>
        <w:t xml:space="preserve"> series of amendments, no Contracting Party applying this Regulation shall refuse to grant or refuse to accept type approvals under this Regulation as amended by the </w:t>
      </w:r>
      <w:r w:rsidR="002A35FB">
        <w:rPr>
          <w:rFonts w:hint="eastAsia"/>
          <w:b/>
          <w:szCs w:val="21"/>
        </w:rPr>
        <w:t>0</w:t>
      </w:r>
      <w:r w:rsidR="002A35FB">
        <w:rPr>
          <w:rFonts w:hint="eastAsia"/>
          <w:b/>
          <w:szCs w:val="21"/>
          <w:lang w:eastAsia="ja-JP"/>
        </w:rPr>
        <w:t>1</w:t>
      </w:r>
      <w:r w:rsidR="008B4FBB" w:rsidRPr="00416D88">
        <w:rPr>
          <w:b/>
          <w:szCs w:val="21"/>
        </w:rPr>
        <w:t xml:space="preserve"> series of amendments.</w:t>
      </w:r>
    </w:p>
    <w:p w:rsidR="004A1C0C" w:rsidRDefault="004A1C0C" w:rsidP="0048388E">
      <w:pPr>
        <w:pStyle w:val="SingleTxtG"/>
        <w:ind w:left="2268" w:hanging="1134"/>
        <w:rPr>
          <w:b/>
          <w:lang w:eastAsia="ja-JP"/>
        </w:rPr>
      </w:pPr>
      <w:r>
        <w:rPr>
          <w:rFonts w:hint="eastAsia"/>
          <w:b/>
          <w:lang w:eastAsia="ja-JP"/>
        </w:rPr>
        <w:t>11.3.</w:t>
      </w:r>
      <w:r>
        <w:rPr>
          <w:rFonts w:hint="eastAsia"/>
          <w:b/>
          <w:lang w:eastAsia="ja-JP"/>
        </w:rPr>
        <w:tab/>
      </w:r>
      <w:r w:rsidR="0048388E">
        <w:rPr>
          <w:b/>
          <w:lang w:eastAsia="ja-JP"/>
        </w:rPr>
        <w:tab/>
      </w:r>
      <w:r w:rsidR="00C852C3" w:rsidRPr="00C852C3">
        <w:rPr>
          <w:b/>
        </w:rPr>
        <w:t xml:space="preserve">As from </w:t>
      </w:r>
      <w:r w:rsidR="00C852C3">
        <w:rPr>
          <w:b/>
        </w:rPr>
        <w:t>[</w:t>
      </w:r>
      <w:r w:rsidR="00B65226" w:rsidRPr="00832A04">
        <w:rPr>
          <w:b/>
          <w:color w:val="000000"/>
        </w:rPr>
        <w:t>1 July 2019</w:t>
      </w:r>
      <w:r w:rsidR="00C852C3">
        <w:rPr>
          <w:b/>
        </w:rPr>
        <w:t>]</w:t>
      </w:r>
      <w:r w:rsidR="008B4FBB" w:rsidRPr="00432DEC">
        <w:rPr>
          <w:b/>
        </w:rPr>
        <w:t xml:space="preserve">, Contracting Parties applying this Regulation shall grant type approvals only if the vehicle type to be approved meets the requirements of this </w:t>
      </w:r>
      <w:r w:rsidR="002A35FB">
        <w:rPr>
          <w:b/>
        </w:rPr>
        <w:t>Regulation as amended by the 0</w:t>
      </w:r>
      <w:r w:rsidR="002A35FB">
        <w:rPr>
          <w:rFonts w:hint="eastAsia"/>
          <w:b/>
          <w:lang w:eastAsia="ja-JP"/>
        </w:rPr>
        <w:t>1</w:t>
      </w:r>
      <w:r w:rsidR="008B4FBB" w:rsidRPr="00432DEC">
        <w:rPr>
          <w:b/>
        </w:rPr>
        <w:t xml:space="preserve"> series of amendments.</w:t>
      </w:r>
    </w:p>
    <w:p w:rsidR="004A1C0C" w:rsidRDefault="004A1C0C" w:rsidP="0048388E">
      <w:pPr>
        <w:pStyle w:val="SingleTxtG"/>
        <w:ind w:left="2268" w:hanging="1134"/>
        <w:rPr>
          <w:b/>
          <w:szCs w:val="21"/>
        </w:rPr>
      </w:pPr>
      <w:r>
        <w:rPr>
          <w:rFonts w:hint="eastAsia"/>
          <w:b/>
          <w:lang w:eastAsia="ja-JP"/>
        </w:rPr>
        <w:t>11.4.</w:t>
      </w:r>
      <w:r>
        <w:rPr>
          <w:rFonts w:hint="eastAsia"/>
          <w:b/>
          <w:lang w:eastAsia="ja-JP"/>
        </w:rPr>
        <w:tab/>
      </w:r>
      <w:r w:rsidR="0048388E">
        <w:rPr>
          <w:b/>
          <w:lang w:eastAsia="ja-JP"/>
        </w:rPr>
        <w:tab/>
      </w:r>
      <w:r w:rsidR="008B4FBB" w:rsidRPr="00416D88">
        <w:rPr>
          <w:b/>
          <w:szCs w:val="21"/>
        </w:rPr>
        <w:t>Contracting Parties applying this Regulation shall not refuse to grant extensions of type approvals for existing types which have been granted according to the preceding series of amendments to this Regulation.</w:t>
      </w:r>
    </w:p>
    <w:p w:rsidR="000B4C8D" w:rsidRPr="00FB0B62" w:rsidRDefault="000B4C8D" w:rsidP="0048388E">
      <w:pPr>
        <w:pStyle w:val="SingleTxtG"/>
        <w:ind w:left="2268" w:hanging="1134"/>
        <w:rPr>
          <w:b/>
          <w:lang w:eastAsia="ja-JP"/>
        </w:rPr>
      </w:pPr>
      <w:r w:rsidRPr="00FB0B62">
        <w:rPr>
          <w:b/>
          <w:szCs w:val="21"/>
        </w:rPr>
        <w:t>11.5.</w:t>
      </w:r>
      <w:r w:rsidRPr="00FB0B62">
        <w:rPr>
          <w:b/>
          <w:szCs w:val="21"/>
        </w:rPr>
        <w:tab/>
      </w:r>
      <w:r w:rsidR="0048388E">
        <w:rPr>
          <w:b/>
          <w:szCs w:val="21"/>
        </w:rPr>
        <w:tab/>
      </w:r>
      <w:r w:rsidRPr="00FB0B62">
        <w:rPr>
          <w:b/>
          <w:szCs w:val="21"/>
        </w:rPr>
        <w:t>Until [30 June 2021]</w:t>
      </w:r>
      <w:r w:rsidR="00545F4B" w:rsidRPr="00FB0B62">
        <w:rPr>
          <w:b/>
          <w:szCs w:val="21"/>
        </w:rPr>
        <w:t>, no Contracting Parties</w:t>
      </w:r>
      <w:r w:rsidRPr="00FB0B62">
        <w:rPr>
          <w:b/>
          <w:szCs w:val="21"/>
        </w:rPr>
        <w:t xml:space="preserve"> applying this</w:t>
      </w:r>
      <w:r w:rsidR="00545F4B" w:rsidRPr="00FB0B62">
        <w:rPr>
          <w:b/>
          <w:szCs w:val="21"/>
        </w:rPr>
        <w:t xml:space="preserve"> </w:t>
      </w:r>
      <w:r w:rsidRPr="00FB0B62">
        <w:rPr>
          <w:b/>
          <w:szCs w:val="21"/>
        </w:rPr>
        <w:t>Regulation shall refuse national or regional type approval of a vehicle type-approved to the 00 series of amendments to this Regulation.</w:t>
      </w:r>
    </w:p>
    <w:p w:rsidR="004A1C0C" w:rsidRDefault="004A1C0C" w:rsidP="0048388E">
      <w:pPr>
        <w:pStyle w:val="SingleTxtG"/>
        <w:ind w:left="2268" w:hanging="1134"/>
        <w:rPr>
          <w:b/>
          <w:lang w:eastAsia="ja-JP"/>
        </w:rPr>
      </w:pPr>
      <w:r w:rsidRPr="00FB0B62">
        <w:rPr>
          <w:rFonts w:hint="eastAsia"/>
          <w:b/>
          <w:lang w:eastAsia="ja-JP"/>
        </w:rPr>
        <w:t>11.</w:t>
      </w:r>
      <w:r w:rsidR="00545F4B" w:rsidRPr="00FB0B62">
        <w:rPr>
          <w:b/>
          <w:lang w:eastAsia="ja-JP"/>
        </w:rPr>
        <w:t>6</w:t>
      </w:r>
      <w:r w:rsidRPr="00FB0B62">
        <w:rPr>
          <w:rFonts w:hint="eastAsia"/>
          <w:b/>
          <w:lang w:eastAsia="ja-JP"/>
        </w:rPr>
        <w:t>.</w:t>
      </w:r>
      <w:r w:rsidRPr="00FB0B62">
        <w:rPr>
          <w:rFonts w:hint="eastAsia"/>
          <w:b/>
          <w:lang w:eastAsia="ja-JP"/>
        </w:rPr>
        <w:tab/>
      </w:r>
      <w:r w:rsidR="0048388E">
        <w:rPr>
          <w:b/>
          <w:lang w:eastAsia="ja-JP"/>
        </w:rPr>
        <w:tab/>
      </w:r>
      <w:r w:rsidR="00C852C3" w:rsidRPr="00FB0B62">
        <w:rPr>
          <w:b/>
        </w:rPr>
        <w:t>As from [</w:t>
      </w:r>
      <w:r w:rsidR="000B4C8D" w:rsidRPr="00FB0B62">
        <w:rPr>
          <w:b/>
        </w:rPr>
        <w:t>1 July 2021</w:t>
      </w:r>
      <w:r w:rsidR="00C852C3" w:rsidRPr="00FB0B62">
        <w:rPr>
          <w:b/>
        </w:rPr>
        <w:t>]</w:t>
      </w:r>
      <w:r w:rsidR="0008119B" w:rsidRPr="00FB0B62">
        <w:rPr>
          <w:b/>
          <w:lang w:eastAsia="ja-JP"/>
        </w:rPr>
        <w:t>, Co</w:t>
      </w:r>
      <w:r w:rsidR="0008119B" w:rsidRPr="0008119B">
        <w:rPr>
          <w:b/>
          <w:lang w:eastAsia="ja-JP"/>
        </w:rPr>
        <w:t xml:space="preserve">ntracting Parties applying this Regulation shall not be obliged to accept, for the purpose of national or regional type </w:t>
      </w:r>
      <w:r w:rsidR="0008119B" w:rsidRPr="0008119B">
        <w:rPr>
          <w:b/>
          <w:lang w:eastAsia="ja-JP"/>
        </w:rPr>
        <w:lastRenderedPageBreak/>
        <w:t xml:space="preserve">approval, a vehicle type approved to the </w:t>
      </w:r>
      <w:r w:rsidR="0008119B">
        <w:rPr>
          <w:b/>
          <w:lang w:eastAsia="ja-JP"/>
        </w:rPr>
        <w:t xml:space="preserve">00 </w:t>
      </w:r>
      <w:r w:rsidR="0008119B" w:rsidRPr="0008119B">
        <w:rPr>
          <w:b/>
          <w:lang w:eastAsia="ja-JP"/>
        </w:rPr>
        <w:t>series of amendments to this Regulation.</w:t>
      </w:r>
    </w:p>
    <w:p w:rsidR="00323274" w:rsidRDefault="00545F4B" w:rsidP="0048388E">
      <w:pPr>
        <w:pStyle w:val="SingleTxtG"/>
        <w:ind w:left="2268" w:hanging="1134"/>
        <w:rPr>
          <w:b/>
          <w:lang w:eastAsia="ja-JP"/>
        </w:rPr>
      </w:pPr>
      <w:r>
        <w:rPr>
          <w:rFonts w:hint="eastAsia"/>
          <w:b/>
          <w:lang w:eastAsia="ja-JP"/>
        </w:rPr>
        <w:t>11.</w:t>
      </w:r>
      <w:r w:rsidRPr="00FB0B62">
        <w:rPr>
          <w:rFonts w:hint="eastAsia"/>
          <w:b/>
          <w:lang w:eastAsia="ja-JP"/>
        </w:rPr>
        <w:t>7</w:t>
      </w:r>
      <w:r w:rsidR="004A1C0C" w:rsidRPr="00FB0B62">
        <w:rPr>
          <w:rFonts w:hint="eastAsia"/>
          <w:b/>
          <w:lang w:eastAsia="ja-JP"/>
        </w:rPr>
        <w:t>.</w:t>
      </w:r>
      <w:r w:rsidR="004A1C0C">
        <w:rPr>
          <w:rFonts w:hint="eastAsia"/>
          <w:b/>
          <w:lang w:eastAsia="ja-JP"/>
        </w:rPr>
        <w:tab/>
      </w:r>
      <w:r w:rsidR="0048388E">
        <w:rPr>
          <w:b/>
          <w:lang w:eastAsia="ja-JP"/>
        </w:rPr>
        <w:tab/>
      </w:r>
      <w:r w:rsidR="008B4FBB" w:rsidRPr="00416D88">
        <w:rPr>
          <w:b/>
          <w:szCs w:val="21"/>
        </w:rPr>
        <w:t>Notwithstanding the transitional provisions above, Contracting Parties whose</w:t>
      </w:r>
      <w:r w:rsidR="008B4FBB" w:rsidRPr="00416D88">
        <w:rPr>
          <w:rFonts w:hint="eastAsia"/>
          <w:b/>
          <w:szCs w:val="21"/>
        </w:rPr>
        <w:t xml:space="preserve"> </w:t>
      </w:r>
      <w:r w:rsidR="008B4FBB" w:rsidRPr="00416D88">
        <w:rPr>
          <w:b/>
          <w:szCs w:val="21"/>
        </w:rPr>
        <w:t xml:space="preserve">application of </w:t>
      </w:r>
      <w:r w:rsidR="008B4FBB">
        <w:rPr>
          <w:rFonts w:hint="eastAsia"/>
          <w:b/>
          <w:szCs w:val="21"/>
        </w:rPr>
        <w:t xml:space="preserve">this </w:t>
      </w:r>
      <w:r w:rsidR="008B4FBB" w:rsidRPr="00416D88">
        <w:rPr>
          <w:b/>
          <w:szCs w:val="21"/>
        </w:rPr>
        <w:t>Regulation comes into force after the date of entry into force of</w:t>
      </w:r>
      <w:r w:rsidR="008B4FBB" w:rsidRPr="00416D88">
        <w:rPr>
          <w:rFonts w:hint="eastAsia"/>
          <w:b/>
          <w:szCs w:val="21"/>
        </w:rPr>
        <w:t xml:space="preserve"> </w:t>
      </w:r>
      <w:r w:rsidR="008B4FBB" w:rsidRPr="00416D88">
        <w:rPr>
          <w:b/>
          <w:szCs w:val="21"/>
        </w:rPr>
        <w:t xml:space="preserve">the </w:t>
      </w:r>
      <w:r w:rsidR="002A35FB">
        <w:rPr>
          <w:rFonts w:hint="eastAsia"/>
          <w:b/>
          <w:szCs w:val="21"/>
        </w:rPr>
        <w:t>0</w:t>
      </w:r>
      <w:r w:rsidR="002A35FB">
        <w:rPr>
          <w:rFonts w:hint="eastAsia"/>
          <w:b/>
          <w:szCs w:val="21"/>
          <w:lang w:eastAsia="ja-JP"/>
        </w:rPr>
        <w:t>1</w:t>
      </w:r>
      <w:r w:rsidR="008B4FBB" w:rsidRPr="00217811">
        <w:rPr>
          <w:b/>
          <w:szCs w:val="21"/>
        </w:rPr>
        <w:t xml:space="preserve"> </w:t>
      </w:r>
      <w:r w:rsidR="008B4FBB" w:rsidRPr="00416D88">
        <w:rPr>
          <w:b/>
          <w:szCs w:val="21"/>
        </w:rPr>
        <w:t xml:space="preserve">series of amendments are </w:t>
      </w:r>
      <w:r w:rsidR="004829B1">
        <w:rPr>
          <w:b/>
          <w:szCs w:val="21"/>
        </w:rPr>
        <w:t xml:space="preserve">only </w:t>
      </w:r>
      <w:r w:rsidR="008B4FBB" w:rsidRPr="00416D88">
        <w:rPr>
          <w:b/>
          <w:szCs w:val="21"/>
        </w:rPr>
        <w:t>obliged to accept</w:t>
      </w:r>
      <w:r w:rsidR="008B4FBB">
        <w:rPr>
          <w:b/>
          <w:szCs w:val="21"/>
        </w:rPr>
        <w:t xml:space="preserve"> type</w:t>
      </w:r>
      <w:r w:rsidR="004829B1">
        <w:rPr>
          <w:b/>
          <w:szCs w:val="21"/>
        </w:rPr>
        <w:t xml:space="preserve"> approval</w:t>
      </w:r>
      <w:r w:rsidR="0048388E">
        <w:rPr>
          <w:b/>
          <w:szCs w:val="21"/>
        </w:rPr>
        <w:t>s</w:t>
      </w:r>
      <w:r w:rsidR="008B4FBB" w:rsidRPr="00416D88">
        <w:rPr>
          <w:b/>
          <w:szCs w:val="21"/>
        </w:rPr>
        <w:t xml:space="preserve"> </w:t>
      </w:r>
      <w:r w:rsidR="008B4FBB" w:rsidRPr="0085135C">
        <w:rPr>
          <w:b/>
          <w:szCs w:val="21"/>
        </w:rPr>
        <w:t xml:space="preserve">granted in accordance with the </w:t>
      </w:r>
      <w:r w:rsidR="004829B1">
        <w:rPr>
          <w:b/>
          <w:szCs w:val="21"/>
        </w:rPr>
        <w:t xml:space="preserve">01 </w:t>
      </w:r>
      <w:r w:rsidR="008B4FBB" w:rsidRPr="0085135C">
        <w:rPr>
          <w:b/>
          <w:szCs w:val="21"/>
        </w:rPr>
        <w:t>series of amendments</w:t>
      </w:r>
      <w:r w:rsidR="008B4FBB" w:rsidRPr="00416D88">
        <w:rPr>
          <w:b/>
          <w:szCs w:val="21"/>
        </w:rPr>
        <w:t>.</w:t>
      </w:r>
      <w:r w:rsidR="0048388E">
        <w:rPr>
          <w:b/>
          <w:szCs w:val="21"/>
        </w:rPr>
        <w:t>"</w:t>
      </w:r>
    </w:p>
    <w:p w:rsidR="00323274" w:rsidRDefault="009D7FD8" w:rsidP="00AA2921">
      <w:pPr>
        <w:spacing w:after="120"/>
        <w:ind w:left="1134" w:right="1134"/>
        <w:jc w:val="both"/>
        <w:rPr>
          <w:iCs/>
          <w:lang w:eastAsia="ja-JP"/>
        </w:rPr>
      </w:pPr>
      <w:r>
        <w:rPr>
          <w:rFonts w:hint="eastAsia"/>
          <w:i/>
          <w:lang w:eastAsia="ja-JP"/>
        </w:rPr>
        <w:t xml:space="preserve">Annex </w:t>
      </w:r>
      <w:proofErr w:type="gramStart"/>
      <w:r>
        <w:rPr>
          <w:rFonts w:hint="eastAsia"/>
          <w:i/>
          <w:lang w:eastAsia="ja-JP"/>
        </w:rPr>
        <w:t>1</w:t>
      </w:r>
      <w:proofErr w:type="gramEnd"/>
      <w:r>
        <w:rPr>
          <w:rFonts w:hint="eastAsia"/>
          <w:i/>
          <w:lang w:eastAsia="ja-JP"/>
        </w:rPr>
        <w:t xml:space="preserve">, </w:t>
      </w:r>
      <w:r w:rsidRPr="009D7FD8">
        <w:rPr>
          <w:i/>
          <w:lang w:eastAsia="ja-JP"/>
        </w:rPr>
        <w:t>Addendum to the communication form No …</w:t>
      </w:r>
      <w:r>
        <w:rPr>
          <w:rFonts w:hint="eastAsia"/>
          <w:i/>
          <w:lang w:eastAsia="ja-JP"/>
        </w:rPr>
        <w:t xml:space="preserve">, </w:t>
      </w:r>
      <w:r w:rsidRPr="009D7FD8">
        <w:rPr>
          <w:i/>
          <w:lang w:eastAsia="ja-JP"/>
        </w:rPr>
        <w:t>Technical Information</w:t>
      </w:r>
      <w:r w:rsidR="0048388E">
        <w:rPr>
          <w:i/>
          <w:lang w:eastAsia="ja-JP"/>
        </w:rPr>
        <w:t xml:space="preserve">, item </w:t>
      </w:r>
      <w:r w:rsidR="00323274">
        <w:rPr>
          <w:rFonts w:hint="eastAsia"/>
          <w:i/>
          <w:lang w:eastAsia="ja-JP"/>
        </w:rPr>
        <w:t>1</w:t>
      </w:r>
      <w:r w:rsidR="008B4FBB">
        <w:rPr>
          <w:rFonts w:hint="eastAsia"/>
          <w:i/>
          <w:lang w:eastAsia="ja-JP"/>
        </w:rPr>
        <w:t>.2</w:t>
      </w:r>
      <w:r w:rsidR="00323274" w:rsidRPr="00677B4A">
        <w:rPr>
          <w:i/>
        </w:rPr>
        <w:t xml:space="preserve">., </w:t>
      </w:r>
      <w:r w:rsidR="00323274" w:rsidRPr="00677B4A">
        <w:t>amend to read</w:t>
      </w:r>
      <w:r w:rsidR="00323274">
        <w:rPr>
          <w:iCs/>
        </w:rPr>
        <w:t>:</w:t>
      </w:r>
    </w:p>
    <w:p w:rsidR="00323274" w:rsidRPr="00677B4A" w:rsidRDefault="0048388E" w:rsidP="00AA2921">
      <w:pPr>
        <w:spacing w:after="120"/>
        <w:ind w:left="1134" w:right="1134"/>
        <w:jc w:val="both"/>
        <w:rPr>
          <w:i/>
          <w:lang w:eastAsia="ja-JP"/>
        </w:rPr>
      </w:pPr>
      <w:r>
        <w:rPr>
          <w:iCs/>
          <w:lang w:eastAsia="ja-JP"/>
        </w:rPr>
        <w:t>"</w:t>
      </w:r>
      <w:r w:rsidR="00323274">
        <w:rPr>
          <w:rFonts w:hint="eastAsia"/>
          <w:iCs/>
          <w:lang w:eastAsia="ja-JP"/>
        </w:rPr>
        <w:t>1</w:t>
      </w:r>
      <w:r w:rsidR="008B4FBB">
        <w:rPr>
          <w:rFonts w:hint="eastAsia"/>
          <w:iCs/>
          <w:lang w:eastAsia="ja-JP"/>
        </w:rPr>
        <w:t>.2</w:t>
      </w:r>
      <w:r w:rsidR="00323274">
        <w:rPr>
          <w:rFonts w:hint="eastAsia"/>
          <w:iCs/>
          <w:lang w:eastAsia="ja-JP"/>
        </w:rPr>
        <w:t>.</w:t>
      </w:r>
      <w:r w:rsidR="00323274">
        <w:rPr>
          <w:rFonts w:hint="eastAsia"/>
          <w:iCs/>
          <w:lang w:eastAsia="ja-JP"/>
        </w:rPr>
        <w:tab/>
      </w:r>
      <w:r>
        <w:rPr>
          <w:iCs/>
          <w:lang w:eastAsia="ja-JP"/>
        </w:rPr>
        <w:tab/>
      </w:r>
      <w:r w:rsidR="008B4FBB">
        <w:t>Description of AVAS (if applicable): ..........</w:t>
      </w:r>
    </w:p>
    <w:p w:rsidR="00323274" w:rsidRPr="008B4FBB" w:rsidRDefault="00323274" w:rsidP="00AA2921">
      <w:pPr>
        <w:pStyle w:val="SingleTxtG"/>
        <w:rPr>
          <w:strike/>
          <w:lang w:eastAsia="ja-JP"/>
        </w:rPr>
      </w:pPr>
      <w:proofErr w:type="gramStart"/>
      <w:r w:rsidRPr="008B4FBB">
        <w:rPr>
          <w:rFonts w:hint="eastAsia"/>
          <w:strike/>
          <w:lang w:eastAsia="ja-JP"/>
        </w:rPr>
        <w:t>1</w:t>
      </w:r>
      <w:r w:rsidR="008B4FBB" w:rsidRPr="008B4FBB">
        <w:rPr>
          <w:rFonts w:hint="eastAsia"/>
          <w:strike/>
          <w:lang w:eastAsia="ja-JP"/>
        </w:rPr>
        <w:t>.2</w:t>
      </w:r>
      <w:r w:rsidRPr="008B4FBB">
        <w:rPr>
          <w:rFonts w:hint="eastAsia"/>
          <w:strike/>
          <w:lang w:eastAsia="ja-JP"/>
        </w:rPr>
        <w:t>.</w:t>
      </w:r>
      <w:r w:rsidR="008B4FBB" w:rsidRPr="008B4FBB">
        <w:rPr>
          <w:rFonts w:hint="eastAsia"/>
          <w:strike/>
          <w:lang w:eastAsia="ja-JP"/>
        </w:rPr>
        <w:t>1.</w:t>
      </w:r>
      <w:r w:rsidRPr="008B4FBB">
        <w:rPr>
          <w:rFonts w:hint="eastAsia"/>
          <w:b/>
          <w:lang w:eastAsia="ja-JP"/>
        </w:rPr>
        <w:tab/>
      </w:r>
      <w:r w:rsidR="0048388E">
        <w:rPr>
          <w:b/>
          <w:lang w:eastAsia="ja-JP"/>
        </w:rPr>
        <w:tab/>
      </w:r>
      <w:r w:rsidR="008B4FBB" w:rsidRPr="008B4FBB">
        <w:rPr>
          <w:strike/>
        </w:rPr>
        <w:t>Pause</w:t>
      </w:r>
      <w:proofErr w:type="gramEnd"/>
      <w:r w:rsidR="008B4FBB" w:rsidRPr="008B4FBB">
        <w:rPr>
          <w:strike/>
        </w:rPr>
        <w:t xml:space="preserve"> switch (yes/no)</w:t>
      </w:r>
    </w:p>
    <w:p w:rsidR="009D7FD8" w:rsidRDefault="008B4FBB" w:rsidP="00AA2921">
      <w:pPr>
        <w:pStyle w:val="SingleTxtG"/>
        <w:rPr>
          <w:iCs/>
          <w:lang w:eastAsia="ja-JP"/>
        </w:rPr>
      </w:pPr>
      <w:r w:rsidRPr="008B4FBB">
        <w:rPr>
          <w:rFonts w:hint="eastAsia"/>
          <w:iCs/>
          <w:strike/>
          <w:lang w:eastAsia="ja-JP"/>
        </w:rPr>
        <w:t>1.2.2.</w:t>
      </w:r>
      <w:r w:rsidRPr="008B4FBB">
        <w:rPr>
          <w:rFonts w:hint="eastAsia"/>
          <w:b/>
          <w:iCs/>
          <w:lang w:eastAsia="ja-JP"/>
        </w:rPr>
        <w:t>1.2.1.</w:t>
      </w:r>
      <w:r w:rsidRPr="008B4FBB">
        <w:rPr>
          <w:rFonts w:hint="eastAsia"/>
          <w:iCs/>
          <w:lang w:eastAsia="ja-JP"/>
        </w:rPr>
        <w:tab/>
      </w:r>
      <w:r>
        <w:t>Sound at Stationary (yes/no)</w:t>
      </w:r>
    </w:p>
    <w:p w:rsidR="00915EF6" w:rsidRPr="0048388E" w:rsidRDefault="008B4FBB" w:rsidP="00AA2921">
      <w:pPr>
        <w:pStyle w:val="SingleTxtG"/>
        <w:rPr>
          <w:sz w:val="28"/>
          <w:lang w:val="en-US" w:eastAsia="ja-JP"/>
        </w:rPr>
      </w:pPr>
      <w:r w:rsidRPr="008B4FBB">
        <w:rPr>
          <w:rFonts w:hint="eastAsia"/>
          <w:iCs/>
          <w:strike/>
          <w:lang w:eastAsia="ja-JP"/>
        </w:rPr>
        <w:t>1.2.3.</w:t>
      </w:r>
      <w:r w:rsidRPr="008B4FBB">
        <w:rPr>
          <w:rFonts w:hint="eastAsia"/>
          <w:b/>
          <w:iCs/>
          <w:lang w:eastAsia="ja-JP"/>
        </w:rPr>
        <w:t>1.2.2.</w:t>
      </w:r>
      <w:r>
        <w:rPr>
          <w:rFonts w:hint="eastAsia"/>
          <w:iCs/>
          <w:lang w:eastAsia="ja-JP"/>
        </w:rPr>
        <w:tab/>
      </w:r>
      <w:r>
        <w:t>No. of driver selectable sounds (1/2/3/…)</w:t>
      </w:r>
      <w:r w:rsidR="0048388E">
        <w:t>"</w:t>
      </w:r>
    </w:p>
    <w:p w:rsidR="00677B4A" w:rsidRPr="0048388E" w:rsidRDefault="0048388E" w:rsidP="0048388E">
      <w:pPr>
        <w:pStyle w:val="HChG"/>
        <w:rPr>
          <w:rFonts w:eastAsia="Times New Roman"/>
          <w:lang w:val="en-US"/>
        </w:rPr>
      </w:pPr>
      <w:r w:rsidRPr="0048388E">
        <w:rPr>
          <w:rFonts w:eastAsia="Times New Roman"/>
          <w:lang w:val="en-US"/>
        </w:rPr>
        <w:tab/>
      </w:r>
      <w:r w:rsidR="00677B4A" w:rsidRPr="0048388E">
        <w:rPr>
          <w:rFonts w:eastAsia="Times New Roman"/>
          <w:lang w:val="en-US"/>
        </w:rPr>
        <w:t xml:space="preserve">II. </w:t>
      </w:r>
      <w:r w:rsidR="00AA2921" w:rsidRPr="0048388E">
        <w:rPr>
          <w:rFonts w:eastAsia="Times New Roman"/>
          <w:lang w:val="en-US"/>
        </w:rPr>
        <w:tab/>
      </w:r>
      <w:r w:rsidR="00677B4A" w:rsidRPr="0048388E">
        <w:rPr>
          <w:rFonts w:eastAsia="Times New Roman"/>
          <w:lang w:val="en-US"/>
        </w:rPr>
        <w:t xml:space="preserve">Justification </w:t>
      </w:r>
    </w:p>
    <w:p w:rsidR="006E605C" w:rsidRDefault="006E605C" w:rsidP="00AA2921">
      <w:pPr>
        <w:ind w:leftChars="567" w:left="1134" w:rightChars="567" w:right="1134" w:firstLine="567"/>
        <w:jc w:val="both"/>
        <w:rPr>
          <w:lang w:eastAsia="ja-JP"/>
        </w:rPr>
      </w:pPr>
      <w:r>
        <w:rPr>
          <w:lang w:eastAsia="ja-JP"/>
        </w:rPr>
        <w:t xml:space="preserve">Although the </w:t>
      </w:r>
      <w:r w:rsidR="00747367">
        <w:rPr>
          <w:lang w:eastAsia="ja-JP"/>
        </w:rPr>
        <w:t xml:space="preserve">current </w:t>
      </w:r>
      <w:r>
        <w:rPr>
          <w:lang w:eastAsia="ja-JP"/>
        </w:rPr>
        <w:t>Regulation</w:t>
      </w:r>
      <w:r>
        <w:rPr>
          <w:rFonts w:hint="eastAsia"/>
          <w:lang w:eastAsia="ja-JP"/>
        </w:rPr>
        <w:t xml:space="preserve"> No.</w:t>
      </w:r>
      <w:r>
        <w:rPr>
          <w:lang w:eastAsia="ja-JP"/>
        </w:rPr>
        <w:t xml:space="preserve"> </w:t>
      </w:r>
      <w:r w:rsidR="001336D4" w:rsidRPr="001336D4">
        <w:rPr>
          <w:lang w:eastAsia="ja-JP"/>
        </w:rPr>
        <w:t>138</w:t>
      </w:r>
      <w:r>
        <w:rPr>
          <w:rFonts w:hint="eastAsia"/>
          <w:lang w:eastAsia="ja-JP"/>
        </w:rPr>
        <w:t xml:space="preserve"> (</w:t>
      </w:r>
      <w:r w:rsidR="007B1C2D" w:rsidRPr="007B1C2D">
        <w:rPr>
          <w:lang w:eastAsia="ja-JP"/>
        </w:rPr>
        <w:t>Quiet road transport vehicles</w:t>
      </w:r>
      <w:r>
        <w:rPr>
          <w:rFonts w:hint="eastAsia"/>
          <w:lang w:eastAsia="ja-JP"/>
        </w:rPr>
        <w:t>)</w:t>
      </w:r>
      <w:r>
        <w:rPr>
          <w:lang w:eastAsia="ja-JP"/>
        </w:rPr>
        <w:t xml:space="preserve"> permits the installation of </w:t>
      </w:r>
      <w:r w:rsidR="007B1C2D">
        <w:rPr>
          <w:lang w:eastAsia="ja-JP"/>
        </w:rPr>
        <w:t xml:space="preserve">the </w:t>
      </w:r>
      <w:r>
        <w:rPr>
          <w:lang w:eastAsia="ja-JP"/>
        </w:rPr>
        <w:t>pause function as specified in</w:t>
      </w:r>
      <w:r>
        <w:rPr>
          <w:rFonts w:hint="eastAsia"/>
          <w:lang w:eastAsia="ja-JP"/>
        </w:rPr>
        <w:t xml:space="preserve"> </w:t>
      </w:r>
      <w:r>
        <w:rPr>
          <w:lang w:eastAsia="ja-JP"/>
        </w:rPr>
        <w:t>paragraph 6.2.6.1</w:t>
      </w:r>
      <w:r w:rsidR="00AE421D">
        <w:rPr>
          <w:lang w:eastAsia="ja-JP"/>
        </w:rPr>
        <w:t xml:space="preserve">. - </w:t>
      </w:r>
      <w:r>
        <w:rPr>
          <w:lang w:eastAsia="ja-JP"/>
        </w:rPr>
        <w:t xml:space="preserve">6.2.6.4., </w:t>
      </w:r>
      <w:r w:rsidR="007B1C2D">
        <w:rPr>
          <w:lang w:eastAsia="ja-JP"/>
        </w:rPr>
        <w:t>an a</w:t>
      </w:r>
      <w:r w:rsidR="007B1C2D" w:rsidRPr="007B1C2D">
        <w:rPr>
          <w:lang w:eastAsia="ja-JP"/>
        </w:rPr>
        <w:t xml:space="preserve">coustic </w:t>
      </w:r>
      <w:r w:rsidR="007B1C2D">
        <w:rPr>
          <w:lang w:eastAsia="ja-JP"/>
        </w:rPr>
        <w:t>v</w:t>
      </w:r>
      <w:r w:rsidR="007B1C2D" w:rsidRPr="007B1C2D">
        <w:rPr>
          <w:lang w:eastAsia="ja-JP"/>
        </w:rPr>
        <w:t xml:space="preserve">ehicle </w:t>
      </w:r>
      <w:r w:rsidR="007B1C2D">
        <w:rPr>
          <w:lang w:eastAsia="ja-JP"/>
        </w:rPr>
        <w:t>a</w:t>
      </w:r>
      <w:r w:rsidR="007B1C2D" w:rsidRPr="007B1C2D">
        <w:rPr>
          <w:lang w:eastAsia="ja-JP"/>
        </w:rPr>
        <w:t xml:space="preserve">lerting </w:t>
      </w:r>
      <w:r w:rsidR="007B1C2D">
        <w:rPr>
          <w:lang w:eastAsia="ja-JP"/>
        </w:rPr>
        <w:t>s</w:t>
      </w:r>
      <w:r w:rsidR="007B1C2D" w:rsidRPr="007B1C2D">
        <w:rPr>
          <w:lang w:eastAsia="ja-JP"/>
        </w:rPr>
        <w:t xml:space="preserve">ystem </w:t>
      </w:r>
      <w:r w:rsidR="007B1C2D">
        <w:rPr>
          <w:lang w:eastAsia="ja-JP"/>
        </w:rPr>
        <w:t>(</w:t>
      </w:r>
      <w:r>
        <w:rPr>
          <w:lang w:eastAsia="ja-JP"/>
        </w:rPr>
        <w:t>AVAS</w:t>
      </w:r>
      <w:r w:rsidR="007B1C2D">
        <w:rPr>
          <w:lang w:eastAsia="ja-JP"/>
        </w:rPr>
        <w:t>)</w:t>
      </w:r>
      <w:r>
        <w:rPr>
          <w:lang w:eastAsia="ja-JP"/>
        </w:rPr>
        <w:t xml:space="preserve"> is crucially important for </w:t>
      </w:r>
      <w:r w:rsidR="007B1C2D">
        <w:rPr>
          <w:lang w:eastAsia="ja-JP"/>
        </w:rPr>
        <w:t xml:space="preserve">the </w:t>
      </w:r>
      <w:r>
        <w:rPr>
          <w:lang w:eastAsia="ja-JP"/>
        </w:rPr>
        <w:t>safety of pedestrians and</w:t>
      </w:r>
      <w:r>
        <w:rPr>
          <w:rFonts w:hint="eastAsia"/>
          <w:lang w:eastAsia="ja-JP"/>
        </w:rPr>
        <w:t xml:space="preserve"> </w:t>
      </w:r>
      <w:r>
        <w:rPr>
          <w:lang w:eastAsia="ja-JP"/>
        </w:rPr>
        <w:t>cyclists</w:t>
      </w:r>
      <w:r w:rsidR="007B1C2D">
        <w:rPr>
          <w:lang w:eastAsia="ja-JP"/>
        </w:rPr>
        <w:t>,</w:t>
      </w:r>
      <w:r>
        <w:rPr>
          <w:lang w:eastAsia="ja-JP"/>
        </w:rPr>
        <w:t xml:space="preserve"> especially of blind people. </w:t>
      </w:r>
      <w:r w:rsidR="007B1C2D">
        <w:rPr>
          <w:lang w:eastAsia="ja-JP"/>
        </w:rPr>
        <w:t>The p</w:t>
      </w:r>
      <w:r>
        <w:rPr>
          <w:lang w:eastAsia="ja-JP"/>
        </w:rPr>
        <w:t xml:space="preserve">ause function </w:t>
      </w:r>
      <w:r w:rsidR="007B1C2D">
        <w:rPr>
          <w:lang w:eastAsia="ja-JP"/>
        </w:rPr>
        <w:t>deactivates AVAS and</w:t>
      </w:r>
      <w:r>
        <w:rPr>
          <w:lang w:eastAsia="ja-JP"/>
        </w:rPr>
        <w:t xml:space="preserve"> </w:t>
      </w:r>
      <w:proofErr w:type="gramStart"/>
      <w:r>
        <w:rPr>
          <w:lang w:eastAsia="ja-JP"/>
        </w:rPr>
        <w:t>sh</w:t>
      </w:r>
      <w:r w:rsidR="007B1C2D">
        <w:rPr>
          <w:lang w:eastAsia="ja-JP"/>
        </w:rPr>
        <w:t>ould</w:t>
      </w:r>
      <w:r>
        <w:rPr>
          <w:lang w:eastAsia="ja-JP"/>
        </w:rPr>
        <w:t xml:space="preserve"> be prohibited</w:t>
      </w:r>
      <w:proofErr w:type="gramEnd"/>
      <w:r>
        <w:rPr>
          <w:lang w:eastAsia="ja-JP"/>
        </w:rPr>
        <w:t>.</w:t>
      </w:r>
    </w:p>
    <w:p w:rsidR="00DF2316" w:rsidRPr="00B74FCB" w:rsidRDefault="00DF2316" w:rsidP="00DF2316">
      <w:pPr>
        <w:spacing w:before="240"/>
        <w:ind w:left="1134" w:right="1134"/>
        <w:jc w:val="center"/>
        <w:rPr>
          <w:u w:val="single"/>
        </w:rPr>
      </w:pPr>
      <w:r w:rsidRPr="00B74FCB">
        <w:rPr>
          <w:u w:val="single"/>
        </w:rPr>
        <w:tab/>
      </w:r>
      <w:r w:rsidRPr="00B74FCB">
        <w:rPr>
          <w:u w:val="single"/>
        </w:rPr>
        <w:tab/>
      </w:r>
      <w:r w:rsidRPr="00B74FCB">
        <w:rPr>
          <w:u w:val="single"/>
        </w:rPr>
        <w:tab/>
      </w:r>
    </w:p>
    <w:p w:rsidR="00DF2316" w:rsidRPr="006E605C" w:rsidRDefault="00DF2316" w:rsidP="00AA2921">
      <w:pPr>
        <w:ind w:leftChars="567" w:left="1134" w:rightChars="567" w:right="1134" w:firstLine="567"/>
        <w:jc w:val="both"/>
        <w:rPr>
          <w:lang w:eastAsia="ja-JP"/>
        </w:rPr>
      </w:pPr>
    </w:p>
    <w:sectPr w:rsidR="00DF2316" w:rsidRPr="006E605C" w:rsidSect="003D198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68" w:rsidRDefault="005E7568"/>
  </w:endnote>
  <w:endnote w:type="continuationSeparator" w:id="0">
    <w:p w:rsidR="005E7568" w:rsidRDefault="005E7568"/>
  </w:endnote>
  <w:endnote w:type="continuationNotice" w:id="1">
    <w:p w:rsidR="005E7568" w:rsidRDefault="005E7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60" w:rsidRDefault="003D1989"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C0113D">
      <w:rPr>
        <w:b/>
        <w:noProof/>
        <w:sz w:val="18"/>
      </w:rPr>
      <w:t>2</w:t>
    </w:r>
    <w:r w:rsidRPr="003D198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60" w:rsidRDefault="003D1989"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C0113D">
      <w:rPr>
        <w:b/>
        <w:noProof/>
        <w:sz w:val="18"/>
      </w:rPr>
      <w:t>3</w:t>
    </w:r>
    <w:r w:rsidRPr="003D19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A2" w:rsidRDefault="006A44A2" w:rsidP="006A44A2">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A44A2" w:rsidRDefault="006A44A2" w:rsidP="006A44A2">
    <w:pPr>
      <w:pStyle w:val="Footer"/>
      <w:ind w:right="1134"/>
      <w:rPr>
        <w:sz w:val="20"/>
      </w:rPr>
    </w:pPr>
    <w:r>
      <w:rPr>
        <w:sz w:val="20"/>
      </w:rPr>
      <w:t>GE.16-09809(E)</w:t>
    </w:r>
  </w:p>
  <w:p w:rsidR="006A44A2" w:rsidRPr="006A44A2" w:rsidRDefault="006A44A2" w:rsidP="006A44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 name="Picture 1" descr="http://undocs.org/m2/QRCode.ashx?DS=ECE/TRANS/WP.29/GRB/2016/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68" w:rsidRPr="000B175B" w:rsidRDefault="005E7568" w:rsidP="000B175B">
      <w:pPr>
        <w:tabs>
          <w:tab w:val="right" w:pos="2155"/>
        </w:tabs>
        <w:spacing w:after="80"/>
        <w:ind w:left="680"/>
        <w:rPr>
          <w:u w:val="single"/>
        </w:rPr>
      </w:pPr>
      <w:r>
        <w:rPr>
          <w:u w:val="single"/>
        </w:rPr>
        <w:tab/>
      </w:r>
    </w:p>
  </w:footnote>
  <w:footnote w:type="continuationSeparator" w:id="0">
    <w:p w:rsidR="005E7568" w:rsidRPr="00FC68B7" w:rsidRDefault="005E7568" w:rsidP="00FC68B7">
      <w:pPr>
        <w:tabs>
          <w:tab w:val="left" w:pos="2155"/>
        </w:tabs>
        <w:spacing w:after="80"/>
        <w:ind w:left="680"/>
        <w:rPr>
          <w:u w:val="single"/>
        </w:rPr>
      </w:pPr>
      <w:r>
        <w:rPr>
          <w:u w:val="single"/>
        </w:rPr>
        <w:tab/>
      </w:r>
    </w:p>
  </w:footnote>
  <w:footnote w:type="continuationNotice" w:id="1">
    <w:p w:rsidR="005E7568" w:rsidRDefault="005E7568"/>
  </w:footnote>
  <w:footnote w:id="2">
    <w:p w:rsidR="003D1989" w:rsidRDefault="003D1989" w:rsidP="003D1989">
      <w:pPr>
        <w:pStyle w:val="FootnoteText"/>
        <w:rPr>
          <w:lang w:val="en-US"/>
        </w:rPr>
      </w:pPr>
      <w:r>
        <w:tab/>
      </w:r>
      <w:r>
        <w:rPr>
          <w:rStyle w:val="FootnoteReference"/>
          <w:sz w:val="20"/>
          <w:lang w:val="en-US"/>
        </w:rPr>
        <w:t>*</w:t>
      </w:r>
      <w:r>
        <w:rPr>
          <w:sz w:val="20"/>
          <w:lang w:val="en-US"/>
        </w:rPr>
        <w:tab/>
      </w:r>
      <w:r w:rsidR="00AA2921" w:rsidRPr="00AA2921">
        <w:rPr>
          <w:lang w:val="en-US"/>
        </w:rPr>
        <w:t xml:space="preserve">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27" w:rsidRPr="003D1989" w:rsidRDefault="007B0A56">
    <w:pPr>
      <w:pStyle w:val="Header"/>
      <w:rPr>
        <w:lang w:eastAsia="ja-JP"/>
      </w:rPr>
    </w:pPr>
    <w:r>
      <w:t>ECE/TRANS/WP.29/GRB/201</w:t>
    </w:r>
    <w:r w:rsidR="00033C6C">
      <w:rPr>
        <w:rFonts w:hint="eastAsia"/>
        <w:lang w:eastAsia="ja-JP"/>
      </w:rPr>
      <w:t>6</w:t>
    </w:r>
    <w:r>
      <w:t>/</w:t>
    </w:r>
    <w:r w:rsidR="00AA2921">
      <w:t>8</w:t>
    </w:r>
  </w:p>
  <w:p w:rsidR="00604060" w:rsidRDefault="006040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89" w:rsidRPr="003D1989" w:rsidRDefault="007B0A56" w:rsidP="003D1989">
    <w:pPr>
      <w:pStyle w:val="Header"/>
      <w:jc w:val="right"/>
    </w:pPr>
    <w:r>
      <w:t>ECE/TRANS/WP.29/GRB/201</w:t>
    </w:r>
    <w:r w:rsidR="00AA2921">
      <w:t>6</w:t>
    </w:r>
    <w:r>
      <w:t>/</w:t>
    </w:r>
    <w:r w:rsidR="00AA2921">
      <w:t>8</w:t>
    </w:r>
  </w:p>
  <w:p w:rsidR="00604060" w:rsidRDefault="006040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9"/>
    <w:rsid w:val="00000787"/>
    <w:rsid w:val="00002D13"/>
    <w:rsid w:val="00033C6C"/>
    <w:rsid w:val="00046B1F"/>
    <w:rsid w:val="00050F6B"/>
    <w:rsid w:val="00052635"/>
    <w:rsid w:val="00057E97"/>
    <w:rsid w:val="00064613"/>
    <w:rsid w:val="000646F4"/>
    <w:rsid w:val="00072C8C"/>
    <w:rsid w:val="000733B5"/>
    <w:rsid w:val="0008119B"/>
    <w:rsid w:val="00081815"/>
    <w:rsid w:val="000931C0"/>
    <w:rsid w:val="000B0595"/>
    <w:rsid w:val="000B175B"/>
    <w:rsid w:val="000B2F02"/>
    <w:rsid w:val="000B3A0F"/>
    <w:rsid w:val="000B4C8D"/>
    <w:rsid w:val="000B4EF7"/>
    <w:rsid w:val="000C2C03"/>
    <w:rsid w:val="000C2D2E"/>
    <w:rsid w:val="000E0415"/>
    <w:rsid w:val="001074A1"/>
    <w:rsid w:val="001103AA"/>
    <w:rsid w:val="00114573"/>
    <w:rsid w:val="0011666B"/>
    <w:rsid w:val="001336D4"/>
    <w:rsid w:val="0014557D"/>
    <w:rsid w:val="0015190D"/>
    <w:rsid w:val="00165F3A"/>
    <w:rsid w:val="00182290"/>
    <w:rsid w:val="00186B6C"/>
    <w:rsid w:val="001A3955"/>
    <w:rsid w:val="001B4B04"/>
    <w:rsid w:val="001C6663"/>
    <w:rsid w:val="001C7895"/>
    <w:rsid w:val="001D0C8C"/>
    <w:rsid w:val="001D1419"/>
    <w:rsid w:val="001D26DF"/>
    <w:rsid w:val="001D3A03"/>
    <w:rsid w:val="001E5F23"/>
    <w:rsid w:val="001E7B67"/>
    <w:rsid w:val="00200DB0"/>
    <w:rsid w:val="00202DA8"/>
    <w:rsid w:val="00211E0B"/>
    <w:rsid w:val="00225B17"/>
    <w:rsid w:val="00231AAD"/>
    <w:rsid w:val="0024772E"/>
    <w:rsid w:val="00267F5F"/>
    <w:rsid w:val="00286B4D"/>
    <w:rsid w:val="002A35FB"/>
    <w:rsid w:val="002A75E0"/>
    <w:rsid w:val="002B53DD"/>
    <w:rsid w:val="002D4643"/>
    <w:rsid w:val="002E18B3"/>
    <w:rsid w:val="002F175C"/>
    <w:rsid w:val="002F7DE0"/>
    <w:rsid w:val="00300DFD"/>
    <w:rsid w:val="00302622"/>
    <w:rsid w:val="00302E18"/>
    <w:rsid w:val="00322153"/>
    <w:rsid w:val="003229D8"/>
    <w:rsid w:val="00323274"/>
    <w:rsid w:val="0033214D"/>
    <w:rsid w:val="00334546"/>
    <w:rsid w:val="00352709"/>
    <w:rsid w:val="003619B5"/>
    <w:rsid w:val="00361AC3"/>
    <w:rsid w:val="00365763"/>
    <w:rsid w:val="00371178"/>
    <w:rsid w:val="00373F11"/>
    <w:rsid w:val="00391144"/>
    <w:rsid w:val="00392E47"/>
    <w:rsid w:val="003A6810"/>
    <w:rsid w:val="003B7B56"/>
    <w:rsid w:val="003C2CC4"/>
    <w:rsid w:val="003C3030"/>
    <w:rsid w:val="003C534D"/>
    <w:rsid w:val="003D1989"/>
    <w:rsid w:val="003D4B23"/>
    <w:rsid w:val="003E130E"/>
    <w:rsid w:val="00410C89"/>
    <w:rsid w:val="00413802"/>
    <w:rsid w:val="00422E03"/>
    <w:rsid w:val="00426B9B"/>
    <w:rsid w:val="004325CB"/>
    <w:rsid w:val="00442A83"/>
    <w:rsid w:val="0045495B"/>
    <w:rsid w:val="004561E5"/>
    <w:rsid w:val="00464BF7"/>
    <w:rsid w:val="004829B1"/>
    <w:rsid w:val="0048388E"/>
    <w:rsid w:val="0048397A"/>
    <w:rsid w:val="00485CBB"/>
    <w:rsid w:val="004866B7"/>
    <w:rsid w:val="00492B41"/>
    <w:rsid w:val="004A1C0C"/>
    <w:rsid w:val="004B251D"/>
    <w:rsid w:val="004C2461"/>
    <w:rsid w:val="004C7462"/>
    <w:rsid w:val="004C7BB5"/>
    <w:rsid w:val="004D7F47"/>
    <w:rsid w:val="004E16EA"/>
    <w:rsid w:val="004E77B2"/>
    <w:rsid w:val="00504B2D"/>
    <w:rsid w:val="00512B5A"/>
    <w:rsid w:val="0051578A"/>
    <w:rsid w:val="0052136D"/>
    <w:rsid w:val="0052775E"/>
    <w:rsid w:val="005420F2"/>
    <w:rsid w:val="00545F4B"/>
    <w:rsid w:val="0056209A"/>
    <w:rsid w:val="005628B6"/>
    <w:rsid w:val="0056461B"/>
    <w:rsid w:val="005938F5"/>
    <w:rsid w:val="005941EC"/>
    <w:rsid w:val="00595D98"/>
    <w:rsid w:val="0059724D"/>
    <w:rsid w:val="005A2998"/>
    <w:rsid w:val="005B320C"/>
    <w:rsid w:val="005B3DB3"/>
    <w:rsid w:val="005B4E13"/>
    <w:rsid w:val="005C2F5F"/>
    <w:rsid w:val="005C342F"/>
    <w:rsid w:val="005C7D1E"/>
    <w:rsid w:val="005D6AB3"/>
    <w:rsid w:val="005E7568"/>
    <w:rsid w:val="005F7B75"/>
    <w:rsid w:val="006001EE"/>
    <w:rsid w:val="00604060"/>
    <w:rsid w:val="00605042"/>
    <w:rsid w:val="00611FC4"/>
    <w:rsid w:val="006176FB"/>
    <w:rsid w:val="006378B2"/>
    <w:rsid w:val="00640B26"/>
    <w:rsid w:val="00652D0A"/>
    <w:rsid w:val="00662BB6"/>
    <w:rsid w:val="00663FC0"/>
    <w:rsid w:val="00671B51"/>
    <w:rsid w:val="0067362F"/>
    <w:rsid w:val="00676606"/>
    <w:rsid w:val="00677B4A"/>
    <w:rsid w:val="00684C21"/>
    <w:rsid w:val="006873E5"/>
    <w:rsid w:val="006932DD"/>
    <w:rsid w:val="006A2530"/>
    <w:rsid w:val="006A44A2"/>
    <w:rsid w:val="006C1E95"/>
    <w:rsid w:val="006C3589"/>
    <w:rsid w:val="006D37AF"/>
    <w:rsid w:val="006D51D0"/>
    <w:rsid w:val="006D5FB9"/>
    <w:rsid w:val="006D658E"/>
    <w:rsid w:val="006E564B"/>
    <w:rsid w:val="006E605C"/>
    <w:rsid w:val="006E7191"/>
    <w:rsid w:val="00700049"/>
    <w:rsid w:val="00703577"/>
    <w:rsid w:val="00705894"/>
    <w:rsid w:val="00717ED4"/>
    <w:rsid w:val="0072632A"/>
    <w:rsid w:val="007327D5"/>
    <w:rsid w:val="00734AF1"/>
    <w:rsid w:val="00747367"/>
    <w:rsid w:val="007629C8"/>
    <w:rsid w:val="0077047D"/>
    <w:rsid w:val="00785126"/>
    <w:rsid w:val="00792A7A"/>
    <w:rsid w:val="007B0A56"/>
    <w:rsid w:val="007B1C2D"/>
    <w:rsid w:val="007B6BA5"/>
    <w:rsid w:val="007C3390"/>
    <w:rsid w:val="007C4724"/>
    <w:rsid w:val="007C4F4B"/>
    <w:rsid w:val="007C7184"/>
    <w:rsid w:val="007E01E9"/>
    <w:rsid w:val="007E0FD3"/>
    <w:rsid w:val="007E63F3"/>
    <w:rsid w:val="007F6611"/>
    <w:rsid w:val="00804912"/>
    <w:rsid w:val="00811920"/>
    <w:rsid w:val="00815AD0"/>
    <w:rsid w:val="00815EDB"/>
    <w:rsid w:val="008242D7"/>
    <w:rsid w:val="008257B1"/>
    <w:rsid w:val="00832334"/>
    <w:rsid w:val="00832A04"/>
    <w:rsid w:val="008355C5"/>
    <w:rsid w:val="00842FF0"/>
    <w:rsid w:val="00843191"/>
    <w:rsid w:val="00843767"/>
    <w:rsid w:val="008558E2"/>
    <w:rsid w:val="008679D9"/>
    <w:rsid w:val="008878DE"/>
    <w:rsid w:val="0088799F"/>
    <w:rsid w:val="00887D83"/>
    <w:rsid w:val="008979B1"/>
    <w:rsid w:val="008A1ED5"/>
    <w:rsid w:val="008A46D7"/>
    <w:rsid w:val="008A68C3"/>
    <w:rsid w:val="008A6B25"/>
    <w:rsid w:val="008A6C4F"/>
    <w:rsid w:val="008B2335"/>
    <w:rsid w:val="008B2E36"/>
    <w:rsid w:val="008B4FBB"/>
    <w:rsid w:val="008C6A99"/>
    <w:rsid w:val="008E0678"/>
    <w:rsid w:val="008F092F"/>
    <w:rsid w:val="008F31D2"/>
    <w:rsid w:val="009065D8"/>
    <w:rsid w:val="0091325B"/>
    <w:rsid w:val="00915EF6"/>
    <w:rsid w:val="009223CA"/>
    <w:rsid w:val="00940F93"/>
    <w:rsid w:val="00942A3B"/>
    <w:rsid w:val="009448C3"/>
    <w:rsid w:val="00962EB5"/>
    <w:rsid w:val="00974AA8"/>
    <w:rsid w:val="009760F3"/>
    <w:rsid w:val="00976CFB"/>
    <w:rsid w:val="009A0830"/>
    <w:rsid w:val="009A0E8D"/>
    <w:rsid w:val="009A2AE6"/>
    <w:rsid w:val="009B26E7"/>
    <w:rsid w:val="009B64BB"/>
    <w:rsid w:val="009D7FD8"/>
    <w:rsid w:val="009E393E"/>
    <w:rsid w:val="00A00697"/>
    <w:rsid w:val="00A00A3F"/>
    <w:rsid w:val="00A01489"/>
    <w:rsid w:val="00A27F27"/>
    <w:rsid w:val="00A3026E"/>
    <w:rsid w:val="00A338F1"/>
    <w:rsid w:val="00A35BE0"/>
    <w:rsid w:val="00A6129C"/>
    <w:rsid w:val="00A71168"/>
    <w:rsid w:val="00A72F22"/>
    <w:rsid w:val="00A7360F"/>
    <w:rsid w:val="00A748A6"/>
    <w:rsid w:val="00A769F4"/>
    <w:rsid w:val="00A776B4"/>
    <w:rsid w:val="00A94361"/>
    <w:rsid w:val="00A966E9"/>
    <w:rsid w:val="00AA2921"/>
    <w:rsid w:val="00AA293C"/>
    <w:rsid w:val="00AB72A9"/>
    <w:rsid w:val="00AC3AA3"/>
    <w:rsid w:val="00AE023C"/>
    <w:rsid w:val="00AE0FB0"/>
    <w:rsid w:val="00AE421D"/>
    <w:rsid w:val="00AF2FF4"/>
    <w:rsid w:val="00AF598C"/>
    <w:rsid w:val="00B051C2"/>
    <w:rsid w:val="00B06794"/>
    <w:rsid w:val="00B24EBC"/>
    <w:rsid w:val="00B30179"/>
    <w:rsid w:val="00B421C1"/>
    <w:rsid w:val="00B53C21"/>
    <w:rsid w:val="00B55C71"/>
    <w:rsid w:val="00B56E4A"/>
    <w:rsid w:val="00B56E9C"/>
    <w:rsid w:val="00B6104A"/>
    <w:rsid w:val="00B64B1F"/>
    <w:rsid w:val="00B65226"/>
    <w:rsid w:val="00B6553F"/>
    <w:rsid w:val="00B74FCB"/>
    <w:rsid w:val="00B77D05"/>
    <w:rsid w:val="00B81206"/>
    <w:rsid w:val="00B81B9C"/>
    <w:rsid w:val="00B81E12"/>
    <w:rsid w:val="00B90A5E"/>
    <w:rsid w:val="00B9263D"/>
    <w:rsid w:val="00B9679E"/>
    <w:rsid w:val="00BA72ED"/>
    <w:rsid w:val="00BC3BB0"/>
    <w:rsid w:val="00BC3FA0"/>
    <w:rsid w:val="00BC74E9"/>
    <w:rsid w:val="00BD208E"/>
    <w:rsid w:val="00BF30B3"/>
    <w:rsid w:val="00BF68A8"/>
    <w:rsid w:val="00C0113D"/>
    <w:rsid w:val="00C11A03"/>
    <w:rsid w:val="00C22C0C"/>
    <w:rsid w:val="00C4527F"/>
    <w:rsid w:val="00C46192"/>
    <w:rsid w:val="00C463DD"/>
    <w:rsid w:val="00C4724C"/>
    <w:rsid w:val="00C56ECE"/>
    <w:rsid w:val="00C629A0"/>
    <w:rsid w:val="00C64629"/>
    <w:rsid w:val="00C745C3"/>
    <w:rsid w:val="00C8138C"/>
    <w:rsid w:val="00C8160E"/>
    <w:rsid w:val="00C852C3"/>
    <w:rsid w:val="00C8720E"/>
    <w:rsid w:val="00C96DF2"/>
    <w:rsid w:val="00CB02A9"/>
    <w:rsid w:val="00CB3E03"/>
    <w:rsid w:val="00CC467C"/>
    <w:rsid w:val="00CD4AA6"/>
    <w:rsid w:val="00CE4A8F"/>
    <w:rsid w:val="00CF4017"/>
    <w:rsid w:val="00D2031B"/>
    <w:rsid w:val="00D203D1"/>
    <w:rsid w:val="00D248B6"/>
    <w:rsid w:val="00D25FE2"/>
    <w:rsid w:val="00D26E07"/>
    <w:rsid w:val="00D33426"/>
    <w:rsid w:val="00D43252"/>
    <w:rsid w:val="00D47EEA"/>
    <w:rsid w:val="00D773DF"/>
    <w:rsid w:val="00D924F1"/>
    <w:rsid w:val="00D95303"/>
    <w:rsid w:val="00D978C6"/>
    <w:rsid w:val="00DA3C1C"/>
    <w:rsid w:val="00DC2D46"/>
    <w:rsid w:val="00DC6D39"/>
    <w:rsid w:val="00DD171F"/>
    <w:rsid w:val="00DE6EB5"/>
    <w:rsid w:val="00DF2316"/>
    <w:rsid w:val="00E03252"/>
    <w:rsid w:val="00E046DF"/>
    <w:rsid w:val="00E05B89"/>
    <w:rsid w:val="00E22B0C"/>
    <w:rsid w:val="00E27346"/>
    <w:rsid w:val="00E40A45"/>
    <w:rsid w:val="00E560CA"/>
    <w:rsid w:val="00E71BC8"/>
    <w:rsid w:val="00E7260F"/>
    <w:rsid w:val="00E73F5D"/>
    <w:rsid w:val="00E77E4E"/>
    <w:rsid w:val="00E84869"/>
    <w:rsid w:val="00E8514F"/>
    <w:rsid w:val="00E90EC1"/>
    <w:rsid w:val="00E9574E"/>
    <w:rsid w:val="00E96630"/>
    <w:rsid w:val="00EA2A77"/>
    <w:rsid w:val="00ED1255"/>
    <w:rsid w:val="00ED7A2A"/>
    <w:rsid w:val="00EE420A"/>
    <w:rsid w:val="00EF1D7F"/>
    <w:rsid w:val="00EF5FDF"/>
    <w:rsid w:val="00F00E31"/>
    <w:rsid w:val="00F110CC"/>
    <w:rsid w:val="00F31E5F"/>
    <w:rsid w:val="00F35819"/>
    <w:rsid w:val="00F6100A"/>
    <w:rsid w:val="00F705EB"/>
    <w:rsid w:val="00F71954"/>
    <w:rsid w:val="00F80554"/>
    <w:rsid w:val="00F846B5"/>
    <w:rsid w:val="00F93421"/>
    <w:rsid w:val="00F93781"/>
    <w:rsid w:val="00FB0B62"/>
    <w:rsid w:val="00FB613B"/>
    <w:rsid w:val="00FC1000"/>
    <w:rsid w:val="00FC68B7"/>
    <w:rsid w:val="00FD3F98"/>
    <w:rsid w:val="00FE106A"/>
    <w:rsid w:val="00FE50C7"/>
    <w:rsid w:val="00FE7450"/>
    <w:rsid w:val="00FF145D"/>
    <w:rsid w:val="00FF37F3"/>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cs="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val="en-US"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cs="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val="en-US"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8503">
      <w:bodyDiv w:val="1"/>
      <w:marLeft w:val="0"/>
      <w:marRight w:val="0"/>
      <w:marTop w:val="0"/>
      <w:marBottom w:val="0"/>
      <w:divBdr>
        <w:top w:val="none" w:sz="0" w:space="0" w:color="auto"/>
        <w:left w:val="none" w:sz="0" w:space="0" w:color="auto"/>
        <w:bottom w:val="none" w:sz="0" w:space="0" w:color="auto"/>
        <w:right w:val="none" w:sz="0" w:space="0" w:color="auto"/>
      </w:divBdr>
    </w:div>
    <w:div w:id="568350847">
      <w:bodyDiv w:val="1"/>
      <w:marLeft w:val="0"/>
      <w:marRight w:val="0"/>
      <w:marTop w:val="0"/>
      <w:marBottom w:val="0"/>
      <w:divBdr>
        <w:top w:val="none" w:sz="0" w:space="0" w:color="auto"/>
        <w:left w:val="none" w:sz="0" w:space="0" w:color="auto"/>
        <w:bottom w:val="none" w:sz="0" w:space="0" w:color="auto"/>
        <w:right w:val="none" w:sz="0" w:space="0" w:color="auto"/>
      </w:divBdr>
      <w:divsChild>
        <w:div w:id="1478062325">
          <w:marLeft w:val="0"/>
          <w:marRight w:val="0"/>
          <w:marTop w:val="0"/>
          <w:marBottom w:val="0"/>
          <w:divBdr>
            <w:top w:val="none" w:sz="0" w:space="0" w:color="auto"/>
            <w:left w:val="none" w:sz="0" w:space="0" w:color="auto"/>
            <w:bottom w:val="none" w:sz="0" w:space="0" w:color="auto"/>
            <w:right w:val="none" w:sz="0" w:space="0" w:color="auto"/>
          </w:divBdr>
          <w:divsChild>
            <w:div w:id="533226798">
              <w:marLeft w:val="0"/>
              <w:marRight w:val="0"/>
              <w:marTop w:val="0"/>
              <w:marBottom w:val="0"/>
              <w:divBdr>
                <w:top w:val="none" w:sz="0" w:space="0" w:color="auto"/>
                <w:left w:val="none" w:sz="0" w:space="0" w:color="auto"/>
                <w:bottom w:val="none" w:sz="0" w:space="0" w:color="auto"/>
                <w:right w:val="none" w:sz="0" w:space="0" w:color="auto"/>
              </w:divBdr>
            </w:div>
          </w:divsChild>
        </w:div>
        <w:div w:id="1563247784">
          <w:marLeft w:val="0"/>
          <w:marRight w:val="0"/>
          <w:marTop w:val="0"/>
          <w:marBottom w:val="0"/>
          <w:divBdr>
            <w:top w:val="none" w:sz="0" w:space="0" w:color="auto"/>
            <w:left w:val="none" w:sz="0" w:space="0" w:color="auto"/>
            <w:bottom w:val="none" w:sz="0" w:space="0" w:color="auto"/>
            <w:right w:val="none" w:sz="0" w:space="0" w:color="auto"/>
          </w:divBdr>
          <w:divsChild>
            <w:div w:id="855730040">
              <w:marLeft w:val="0"/>
              <w:marRight w:val="0"/>
              <w:marTop w:val="0"/>
              <w:marBottom w:val="0"/>
              <w:divBdr>
                <w:top w:val="none" w:sz="0" w:space="0" w:color="auto"/>
                <w:left w:val="none" w:sz="0" w:space="0" w:color="auto"/>
                <w:bottom w:val="none" w:sz="0" w:space="0" w:color="auto"/>
                <w:right w:val="none" w:sz="0" w:space="0" w:color="auto"/>
              </w:divBdr>
              <w:divsChild>
                <w:div w:id="232082425">
                  <w:marLeft w:val="0"/>
                  <w:marRight w:val="0"/>
                  <w:marTop w:val="0"/>
                  <w:marBottom w:val="0"/>
                  <w:divBdr>
                    <w:top w:val="none" w:sz="0" w:space="0" w:color="auto"/>
                    <w:left w:val="none" w:sz="0" w:space="0" w:color="auto"/>
                    <w:bottom w:val="none" w:sz="0" w:space="0" w:color="auto"/>
                    <w:right w:val="none" w:sz="0" w:space="0" w:color="auto"/>
                  </w:divBdr>
                  <w:divsChild>
                    <w:div w:id="1707750604">
                      <w:marLeft w:val="0"/>
                      <w:marRight w:val="0"/>
                      <w:marTop w:val="0"/>
                      <w:marBottom w:val="0"/>
                      <w:divBdr>
                        <w:top w:val="none" w:sz="0" w:space="0" w:color="auto"/>
                        <w:left w:val="none" w:sz="0" w:space="0" w:color="auto"/>
                        <w:bottom w:val="none" w:sz="0" w:space="0" w:color="auto"/>
                        <w:right w:val="none" w:sz="0" w:space="0" w:color="auto"/>
                      </w:divBdr>
                      <w:divsChild>
                        <w:div w:id="1003321168">
                          <w:marLeft w:val="0"/>
                          <w:marRight w:val="0"/>
                          <w:marTop w:val="0"/>
                          <w:marBottom w:val="0"/>
                          <w:divBdr>
                            <w:top w:val="none" w:sz="0" w:space="0" w:color="auto"/>
                            <w:left w:val="none" w:sz="0" w:space="0" w:color="auto"/>
                            <w:bottom w:val="none" w:sz="0" w:space="0" w:color="auto"/>
                            <w:right w:val="none" w:sz="0" w:space="0" w:color="auto"/>
                          </w:divBdr>
                          <w:divsChild>
                            <w:div w:id="1085421924">
                              <w:marLeft w:val="0"/>
                              <w:marRight w:val="0"/>
                              <w:marTop w:val="0"/>
                              <w:marBottom w:val="0"/>
                              <w:divBdr>
                                <w:top w:val="none" w:sz="0" w:space="0" w:color="auto"/>
                                <w:left w:val="none" w:sz="0" w:space="0" w:color="auto"/>
                                <w:bottom w:val="none" w:sz="0" w:space="0" w:color="auto"/>
                                <w:right w:val="none" w:sz="0" w:space="0" w:color="auto"/>
                              </w:divBdr>
                              <w:divsChild>
                                <w:div w:id="190341125">
                                  <w:marLeft w:val="0"/>
                                  <w:marRight w:val="0"/>
                                  <w:marTop w:val="0"/>
                                  <w:marBottom w:val="0"/>
                                  <w:divBdr>
                                    <w:top w:val="none" w:sz="0" w:space="0" w:color="auto"/>
                                    <w:left w:val="none" w:sz="0" w:space="0" w:color="auto"/>
                                    <w:bottom w:val="none" w:sz="0" w:space="0" w:color="auto"/>
                                    <w:right w:val="none" w:sz="0" w:space="0" w:color="auto"/>
                                  </w:divBdr>
                                  <w:divsChild>
                                    <w:div w:id="462388206">
                                      <w:marLeft w:val="0"/>
                                      <w:marRight w:val="0"/>
                                      <w:marTop w:val="0"/>
                                      <w:marBottom w:val="0"/>
                                      <w:divBdr>
                                        <w:top w:val="none" w:sz="0" w:space="0" w:color="auto"/>
                                        <w:left w:val="none" w:sz="0" w:space="0" w:color="auto"/>
                                        <w:bottom w:val="none" w:sz="0" w:space="0" w:color="auto"/>
                                        <w:right w:val="none" w:sz="0" w:space="0" w:color="auto"/>
                                      </w:divBdr>
                                      <w:divsChild>
                                        <w:div w:id="336345740">
                                          <w:marLeft w:val="0"/>
                                          <w:marRight w:val="0"/>
                                          <w:marTop w:val="0"/>
                                          <w:marBottom w:val="0"/>
                                          <w:divBdr>
                                            <w:top w:val="none" w:sz="0" w:space="0" w:color="auto"/>
                                            <w:left w:val="none" w:sz="0" w:space="0" w:color="auto"/>
                                            <w:bottom w:val="none" w:sz="0" w:space="0" w:color="auto"/>
                                            <w:right w:val="none" w:sz="0" w:space="0" w:color="auto"/>
                                          </w:divBdr>
                                        </w:div>
                                      </w:divsChild>
                                    </w:div>
                                    <w:div w:id="798570140">
                                      <w:marLeft w:val="0"/>
                                      <w:marRight w:val="0"/>
                                      <w:marTop w:val="0"/>
                                      <w:marBottom w:val="0"/>
                                      <w:divBdr>
                                        <w:top w:val="none" w:sz="0" w:space="0" w:color="auto"/>
                                        <w:left w:val="none" w:sz="0" w:space="0" w:color="auto"/>
                                        <w:bottom w:val="none" w:sz="0" w:space="0" w:color="auto"/>
                                        <w:right w:val="none" w:sz="0" w:space="0" w:color="auto"/>
                                      </w:divBdr>
                                      <w:divsChild>
                                        <w:div w:id="117066952">
                                          <w:marLeft w:val="0"/>
                                          <w:marRight w:val="0"/>
                                          <w:marTop w:val="0"/>
                                          <w:marBottom w:val="0"/>
                                          <w:divBdr>
                                            <w:top w:val="none" w:sz="0" w:space="0" w:color="auto"/>
                                            <w:left w:val="none" w:sz="0" w:space="0" w:color="auto"/>
                                            <w:bottom w:val="none" w:sz="0" w:space="0" w:color="auto"/>
                                            <w:right w:val="none" w:sz="0" w:space="0" w:color="auto"/>
                                          </w:divBdr>
                                        </w:div>
                                      </w:divsChild>
                                    </w:div>
                                    <w:div w:id="956059540">
                                      <w:marLeft w:val="0"/>
                                      <w:marRight w:val="0"/>
                                      <w:marTop w:val="0"/>
                                      <w:marBottom w:val="0"/>
                                      <w:divBdr>
                                        <w:top w:val="none" w:sz="0" w:space="0" w:color="auto"/>
                                        <w:left w:val="none" w:sz="0" w:space="0" w:color="auto"/>
                                        <w:bottom w:val="none" w:sz="0" w:space="0" w:color="auto"/>
                                        <w:right w:val="none" w:sz="0" w:space="0" w:color="auto"/>
                                      </w:divBdr>
                                      <w:divsChild>
                                        <w:div w:id="2095317764">
                                          <w:marLeft w:val="0"/>
                                          <w:marRight w:val="0"/>
                                          <w:marTop w:val="0"/>
                                          <w:marBottom w:val="0"/>
                                          <w:divBdr>
                                            <w:top w:val="none" w:sz="0" w:space="0" w:color="auto"/>
                                            <w:left w:val="none" w:sz="0" w:space="0" w:color="auto"/>
                                            <w:bottom w:val="none" w:sz="0" w:space="0" w:color="auto"/>
                                            <w:right w:val="none" w:sz="0" w:space="0" w:color="auto"/>
                                          </w:divBdr>
                                        </w:div>
                                      </w:divsChild>
                                    </w:div>
                                    <w:div w:id="1503739725">
                                      <w:marLeft w:val="0"/>
                                      <w:marRight w:val="0"/>
                                      <w:marTop w:val="0"/>
                                      <w:marBottom w:val="0"/>
                                      <w:divBdr>
                                        <w:top w:val="none" w:sz="0" w:space="0" w:color="auto"/>
                                        <w:left w:val="none" w:sz="0" w:space="0" w:color="auto"/>
                                        <w:bottom w:val="none" w:sz="0" w:space="0" w:color="auto"/>
                                        <w:right w:val="none" w:sz="0" w:space="0" w:color="auto"/>
                                      </w:divBdr>
                                      <w:divsChild>
                                        <w:div w:id="208304592">
                                          <w:marLeft w:val="0"/>
                                          <w:marRight w:val="0"/>
                                          <w:marTop w:val="0"/>
                                          <w:marBottom w:val="0"/>
                                          <w:divBdr>
                                            <w:top w:val="none" w:sz="0" w:space="0" w:color="auto"/>
                                            <w:left w:val="none" w:sz="0" w:space="0" w:color="auto"/>
                                            <w:bottom w:val="none" w:sz="0" w:space="0" w:color="auto"/>
                                            <w:right w:val="none" w:sz="0" w:space="0" w:color="auto"/>
                                          </w:divBdr>
                                        </w:div>
                                      </w:divsChild>
                                    </w:div>
                                    <w:div w:id="1661108137">
                                      <w:marLeft w:val="0"/>
                                      <w:marRight w:val="0"/>
                                      <w:marTop w:val="0"/>
                                      <w:marBottom w:val="0"/>
                                      <w:divBdr>
                                        <w:top w:val="none" w:sz="0" w:space="0" w:color="auto"/>
                                        <w:left w:val="none" w:sz="0" w:space="0" w:color="auto"/>
                                        <w:bottom w:val="none" w:sz="0" w:space="0" w:color="auto"/>
                                        <w:right w:val="none" w:sz="0" w:space="0" w:color="auto"/>
                                      </w:divBdr>
                                      <w:divsChild>
                                        <w:div w:id="1142506263">
                                          <w:marLeft w:val="0"/>
                                          <w:marRight w:val="0"/>
                                          <w:marTop w:val="0"/>
                                          <w:marBottom w:val="0"/>
                                          <w:divBdr>
                                            <w:top w:val="none" w:sz="0" w:space="0" w:color="auto"/>
                                            <w:left w:val="none" w:sz="0" w:space="0" w:color="auto"/>
                                            <w:bottom w:val="none" w:sz="0" w:space="0" w:color="auto"/>
                                            <w:right w:val="none" w:sz="0" w:space="0" w:color="auto"/>
                                          </w:divBdr>
                                        </w:div>
                                      </w:divsChild>
                                    </w:div>
                                    <w:div w:id="1715109680">
                                      <w:marLeft w:val="0"/>
                                      <w:marRight w:val="0"/>
                                      <w:marTop w:val="0"/>
                                      <w:marBottom w:val="0"/>
                                      <w:divBdr>
                                        <w:top w:val="none" w:sz="0" w:space="0" w:color="auto"/>
                                        <w:left w:val="none" w:sz="0" w:space="0" w:color="auto"/>
                                        <w:bottom w:val="none" w:sz="0" w:space="0" w:color="auto"/>
                                        <w:right w:val="none" w:sz="0" w:space="0" w:color="auto"/>
                                      </w:divBdr>
                                      <w:divsChild>
                                        <w:div w:id="3986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6191">
                  <w:marLeft w:val="0"/>
                  <w:marRight w:val="0"/>
                  <w:marTop w:val="0"/>
                  <w:marBottom w:val="0"/>
                  <w:divBdr>
                    <w:top w:val="none" w:sz="0" w:space="0" w:color="auto"/>
                    <w:left w:val="none" w:sz="0" w:space="0" w:color="auto"/>
                    <w:bottom w:val="none" w:sz="0" w:space="0" w:color="auto"/>
                    <w:right w:val="none" w:sz="0" w:space="0" w:color="auto"/>
                  </w:divBdr>
                  <w:divsChild>
                    <w:div w:id="1208178055">
                      <w:marLeft w:val="0"/>
                      <w:marRight w:val="0"/>
                      <w:marTop w:val="0"/>
                      <w:marBottom w:val="0"/>
                      <w:divBdr>
                        <w:top w:val="none" w:sz="0" w:space="0" w:color="auto"/>
                        <w:left w:val="none" w:sz="0" w:space="0" w:color="auto"/>
                        <w:bottom w:val="none" w:sz="0" w:space="0" w:color="auto"/>
                        <w:right w:val="none" w:sz="0" w:space="0" w:color="auto"/>
                      </w:divBdr>
                      <w:divsChild>
                        <w:div w:id="512191247">
                          <w:marLeft w:val="0"/>
                          <w:marRight w:val="0"/>
                          <w:marTop w:val="0"/>
                          <w:marBottom w:val="0"/>
                          <w:divBdr>
                            <w:top w:val="none" w:sz="0" w:space="0" w:color="auto"/>
                            <w:left w:val="none" w:sz="0" w:space="0" w:color="auto"/>
                            <w:bottom w:val="none" w:sz="0" w:space="0" w:color="auto"/>
                            <w:right w:val="none" w:sz="0" w:space="0" w:color="auto"/>
                          </w:divBdr>
                          <w:divsChild>
                            <w:div w:id="1777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2968">
              <w:marLeft w:val="0"/>
              <w:marRight w:val="0"/>
              <w:marTop w:val="0"/>
              <w:marBottom w:val="0"/>
              <w:divBdr>
                <w:top w:val="none" w:sz="0" w:space="0" w:color="auto"/>
                <w:left w:val="none" w:sz="0" w:space="0" w:color="auto"/>
                <w:bottom w:val="none" w:sz="0" w:space="0" w:color="auto"/>
                <w:right w:val="none" w:sz="0" w:space="0" w:color="auto"/>
              </w:divBdr>
              <w:divsChild>
                <w:div w:id="1206791810">
                  <w:marLeft w:val="0"/>
                  <w:marRight w:val="0"/>
                  <w:marTop w:val="0"/>
                  <w:marBottom w:val="0"/>
                  <w:divBdr>
                    <w:top w:val="none" w:sz="0" w:space="0" w:color="auto"/>
                    <w:left w:val="none" w:sz="0" w:space="0" w:color="auto"/>
                    <w:bottom w:val="none" w:sz="0" w:space="0" w:color="auto"/>
                    <w:right w:val="none" w:sz="0" w:space="0" w:color="auto"/>
                  </w:divBdr>
                  <w:divsChild>
                    <w:div w:id="1616214580">
                      <w:marLeft w:val="0"/>
                      <w:marRight w:val="0"/>
                      <w:marTop w:val="0"/>
                      <w:marBottom w:val="0"/>
                      <w:divBdr>
                        <w:top w:val="none" w:sz="0" w:space="0" w:color="auto"/>
                        <w:left w:val="none" w:sz="0" w:space="0" w:color="auto"/>
                        <w:bottom w:val="none" w:sz="0" w:space="0" w:color="auto"/>
                        <w:right w:val="none" w:sz="0" w:space="0" w:color="auto"/>
                      </w:divBdr>
                    </w:div>
                    <w:div w:id="1960791591">
                      <w:marLeft w:val="0"/>
                      <w:marRight w:val="0"/>
                      <w:marTop w:val="0"/>
                      <w:marBottom w:val="0"/>
                      <w:divBdr>
                        <w:top w:val="none" w:sz="0" w:space="0" w:color="auto"/>
                        <w:left w:val="none" w:sz="0" w:space="0" w:color="auto"/>
                        <w:bottom w:val="none" w:sz="0" w:space="0" w:color="auto"/>
                        <w:right w:val="none" w:sz="0" w:space="0" w:color="auto"/>
                      </w:divBdr>
                      <w:divsChild>
                        <w:div w:id="382097444">
                          <w:marLeft w:val="0"/>
                          <w:marRight w:val="0"/>
                          <w:marTop w:val="0"/>
                          <w:marBottom w:val="0"/>
                          <w:divBdr>
                            <w:top w:val="none" w:sz="0" w:space="0" w:color="auto"/>
                            <w:left w:val="none" w:sz="0" w:space="0" w:color="auto"/>
                            <w:bottom w:val="none" w:sz="0" w:space="0" w:color="auto"/>
                            <w:right w:val="none" w:sz="0" w:space="0" w:color="auto"/>
                          </w:divBdr>
                        </w:div>
                        <w:div w:id="1801606116">
                          <w:marLeft w:val="0"/>
                          <w:marRight w:val="0"/>
                          <w:marTop w:val="0"/>
                          <w:marBottom w:val="0"/>
                          <w:divBdr>
                            <w:top w:val="none" w:sz="0" w:space="0" w:color="auto"/>
                            <w:left w:val="none" w:sz="0" w:space="0" w:color="auto"/>
                            <w:bottom w:val="none" w:sz="0" w:space="0" w:color="auto"/>
                            <w:right w:val="none" w:sz="0" w:space="0" w:color="auto"/>
                          </w:divBdr>
                          <w:divsChild>
                            <w:div w:id="69618412">
                              <w:marLeft w:val="0"/>
                              <w:marRight w:val="0"/>
                              <w:marTop w:val="0"/>
                              <w:marBottom w:val="0"/>
                              <w:divBdr>
                                <w:top w:val="none" w:sz="0" w:space="0" w:color="auto"/>
                                <w:left w:val="none" w:sz="0" w:space="0" w:color="auto"/>
                                <w:bottom w:val="none" w:sz="0" w:space="0" w:color="auto"/>
                                <w:right w:val="none" w:sz="0" w:space="0" w:color="auto"/>
                              </w:divBdr>
                            </w:div>
                          </w:divsChild>
                        </w:div>
                        <w:div w:id="199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283">
                  <w:marLeft w:val="0"/>
                  <w:marRight w:val="0"/>
                  <w:marTop w:val="0"/>
                  <w:marBottom w:val="0"/>
                  <w:divBdr>
                    <w:top w:val="none" w:sz="0" w:space="0" w:color="auto"/>
                    <w:left w:val="none" w:sz="0" w:space="0" w:color="auto"/>
                    <w:bottom w:val="none" w:sz="0" w:space="0" w:color="auto"/>
                    <w:right w:val="none" w:sz="0" w:space="0" w:color="auto"/>
                  </w:divBdr>
                </w:div>
              </w:divsChild>
            </w:div>
            <w:div w:id="1721204137">
              <w:marLeft w:val="0"/>
              <w:marRight w:val="0"/>
              <w:marTop w:val="0"/>
              <w:marBottom w:val="0"/>
              <w:divBdr>
                <w:top w:val="none" w:sz="0" w:space="0" w:color="auto"/>
                <w:left w:val="none" w:sz="0" w:space="0" w:color="auto"/>
                <w:bottom w:val="none" w:sz="0" w:space="0" w:color="auto"/>
                <w:right w:val="none" w:sz="0" w:space="0" w:color="auto"/>
              </w:divBdr>
              <w:divsChild>
                <w:div w:id="1478760224">
                  <w:marLeft w:val="0"/>
                  <w:marRight w:val="0"/>
                  <w:marTop w:val="0"/>
                  <w:marBottom w:val="0"/>
                  <w:divBdr>
                    <w:top w:val="none" w:sz="0" w:space="0" w:color="auto"/>
                    <w:left w:val="none" w:sz="0" w:space="0" w:color="auto"/>
                    <w:bottom w:val="none" w:sz="0" w:space="0" w:color="auto"/>
                    <w:right w:val="none" w:sz="0" w:space="0" w:color="auto"/>
                  </w:divBdr>
                </w:div>
                <w:div w:id="1488010223">
                  <w:marLeft w:val="0"/>
                  <w:marRight w:val="0"/>
                  <w:marTop w:val="0"/>
                  <w:marBottom w:val="0"/>
                  <w:divBdr>
                    <w:top w:val="none" w:sz="0" w:space="0" w:color="auto"/>
                    <w:left w:val="none" w:sz="0" w:space="0" w:color="auto"/>
                    <w:bottom w:val="none" w:sz="0" w:space="0" w:color="auto"/>
                    <w:right w:val="none" w:sz="0" w:space="0" w:color="auto"/>
                  </w:divBdr>
                  <w:divsChild>
                    <w:div w:id="1752462036">
                      <w:marLeft w:val="0"/>
                      <w:marRight w:val="0"/>
                      <w:marTop w:val="0"/>
                      <w:marBottom w:val="0"/>
                      <w:divBdr>
                        <w:top w:val="none" w:sz="0" w:space="0" w:color="auto"/>
                        <w:left w:val="none" w:sz="0" w:space="0" w:color="auto"/>
                        <w:bottom w:val="none" w:sz="0" w:space="0" w:color="auto"/>
                        <w:right w:val="none" w:sz="0" w:space="0" w:color="auto"/>
                      </w:divBdr>
                      <w:divsChild>
                        <w:div w:id="55008919">
                          <w:marLeft w:val="0"/>
                          <w:marRight w:val="0"/>
                          <w:marTop w:val="0"/>
                          <w:marBottom w:val="0"/>
                          <w:divBdr>
                            <w:top w:val="none" w:sz="0" w:space="0" w:color="auto"/>
                            <w:left w:val="none" w:sz="0" w:space="0" w:color="auto"/>
                            <w:bottom w:val="none" w:sz="0" w:space="0" w:color="auto"/>
                            <w:right w:val="none" w:sz="0" w:space="0" w:color="auto"/>
                          </w:divBdr>
                          <w:divsChild>
                            <w:div w:id="416365559">
                              <w:marLeft w:val="0"/>
                              <w:marRight w:val="0"/>
                              <w:marTop w:val="0"/>
                              <w:marBottom w:val="0"/>
                              <w:divBdr>
                                <w:top w:val="none" w:sz="0" w:space="0" w:color="auto"/>
                                <w:left w:val="none" w:sz="0" w:space="0" w:color="auto"/>
                                <w:bottom w:val="none" w:sz="0" w:space="0" w:color="auto"/>
                                <w:right w:val="none" w:sz="0" w:space="0" w:color="auto"/>
                              </w:divBdr>
                              <w:divsChild>
                                <w:div w:id="931667617">
                                  <w:marLeft w:val="0"/>
                                  <w:marRight w:val="0"/>
                                  <w:marTop w:val="0"/>
                                  <w:marBottom w:val="0"/>
                                  <w:divBdr>
                                    <w:top w:val="none" w:sz="0" w:space="0" w:color="auto"/>
                                    <w:left w:val="none" w:sz="0" w:space="0" w:color="auto"/>
                                    <w:bottom w:val="none" w:sz="0" w:space="0" w:color="auto"/>
                                    <w:right w:val="none" w:sz="0" w:space="0" w:color="auto"/>
                                  </w:divBdr>
                                </w:div>
                              </w:divsChild>
                            </w:div>
                            <w:div w:id="572660025">
                              <w:marLeft w:val="0"/>
                              <w:marRight w:val="0"/>
                              <w:marTop w:val="0"/>
                              <w:marBottom w:val="0"/>
                              <w:divBdr>
                                <w:top w:val="none" w:sz="0" w:space="0" w:color="auto"/>
                                <w:left w:val="none" w:sz="0" w:space="0" w:color="auto"/>
                                <w:bottom w:val="none" w:sz="0" w:space="0" w:color="auto"/>
                                <w:right w:val="none" w:sz="0" w:space="0" w:color="auto"/>
                              </w:divBdr>
                              <w:divsChild>
                                <w:div w:id="908344732">
                                  <w:marLeft w:val="0"/>
                                  <w:marRight w:val="0"/>
                                  <w:marTop w:val="0"/>
                                  <w:marBottom w:val="0"/>
                                  <w:divBdr>
                                    <w:top w:val="none" w:sz="0" w:space="0" w:color="auto"/>
                                    <w:left w:val="none" w:sz="0" w:space="0" w:color="auto"/>
                                    <w:bottom w:val="none" w:sz="0" w:space="0" w:color="auto"/>
                                    <w:right w:val="none" w:sz="0" w:space="0" w:color="auto"/>
                                  </w:divBdr>
                                  <w:divsChild>
                                    <w:div w:id="628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7126">
              <w:marLeft w:val="0"/>
              <w:marRight w:val="0"/>
              <w:marTop w:val="0"/>
              <w:marBottom w:val="0"/>
              <w:divBdr>
                <w:top w:val="none" w:sz="0" w:space="0" w:color="auto"/>
                <w:left w:val="none" w:sz="0" w:space="0" w:color="auto"/>
                <w:bottom w:val="none" w:sz="0" w:space="0" w:color="auto"/>
                <w:right w:val="none" w:sz="0" w:space="0" w:color="auto"/>
              </w:divBdr>
              <w:divsChild>
                <w:div w:id="2143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F5FB-4884-4613-8912-249F3843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13</TotalTime>
  <Pages>3</Pages>
  <Words>661</Words>
  <Characters>3772</Characters>
  <Application>Microsoft Office Word</Application>
  <DocSecurity>4</DocSecurity>
  <Lines>31</Lines>
  <Paragraphs>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1609809</vt:lpstr>
      <vt:lpstr>United Nations</vt:lpstr>
      <vt:lpstr>United Nations</vt:lpstr>
    </vt:vector>
  </TitlesOfParts>
  <Company>CSD</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1609809</dc:title>
  <dc:subject>ECE/TRANS/WP.29/GRB/2016/8</dc:subject>
  <dc:creator>gianotti</dc:creator>
  <cp:lastModifiedBy>Benedicte Boudol</cp:lastModifiedBy>
  <cp:revision>2</cp:revision>
  <cp:lastPrinted>2016-06-14T13:01:00Z</cp:lastPrinted>
  <dcterms:created xsi:type="dcterms:W3CDTF">2016-07-18T12:09:00Z</dcterms:created>
  <dcterms:modified xsi:type="dcterms:W3CDTF">2016-07-18T12:09:00Z</dcterms:modified>
</cp:coreProperties>
</file>