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1C2" w:rsidRDefault="00CF0FEF" w:rsidP="00A90DB0">
      <w:pPr>
        <w:pStyle w:val="HChG"/>
        <w:pBdr>
          <w:top w:val="none" w:sz="0" w:space="0" w:color="auto"/>
          <w:left w:val="none" w:sz="0" w:space="0" w:color="auto"/>
          <w:bottom w:val="none" w:sz="0" w:space="0" w:color="auto"/>
          <w:right w:val="none" w:sz="0" w:space="0" w:color="auto"/>
          <w:between w:val="none" w:sz="0" w:space="0" w:color="auto"/>
          <w:bar w:val="none" w:sz="0" w:color="auto"/>
        </w:pBdr>
      </w:pPr>
      <w:r>
        <w:t xml:space="preserve">  </w:t>
      </w:r>
      <w:r w:rsidR="007B025E" w:rsidRPr="00A13680">
        <w:tab/>
      </w:r>
      <w:r w:rsidR="007B025E" w:rsidRPr="00A13680">
        <w:tab/>
      </w:r>
      <w:r w:rsidR="009D0F05">
        <w:t>The performance of a</w:t>
      </w:r>
      <w:r w:rsidR="005C4A93">
        <w:t>utomotive systems in conditions other than those tested in the framework of type-approval or self-certification</w:t>
      </w:r>
      <w:r w:rsidR="005E1BF6">
        <w:t>, with TPMS as a case study</w:t>
      </w:r>
      <w:bookmarkStart w:id="0" w:name="_GoBack"/>
      <w:bookmarkEnd w:id="0"/>
    </w:p>
    <w:p w:rsidR="001F31C2" w:rsidRPr="00A13680" w:rsidRDefault="00911AE2" w:rsidP="00A90DB0">
      <w:pPr>
        <w:pStyle w:val="HChG"/>
        <w:pBdr>
          <w:top w:val="none" w:sz="0" w:space="0" w:color="auto"/>
          <w:left w:val="none" w:sz="0" w:space="0" w:color="auto"/>
          <w:bottom w:val="none" w:sz="0" w:space="0" w:color="auto"/>
          <w:right w:val="none" w:sz="0" w:space="0" w:color="auto"/>
          <w:between w:val="none" w:sz="0" w:space="0" w:color="auto"/>
          <w:bar w:val="none" w:sz="0" w:color="auto"/>
        </w:pBdr>
      </w:pPr>
      <w:r w:rsidRPr="00A13680">
        <w:tab/>
      </w:r>
      <w:r w:rsidR="00A13680" w:rsidRPr="00A13680">
        <w:t>1.</w:t>
      </w:r>
      <w:r w:rsidR="00A13680" w:rsidRPr="00A13680">
        <w:tab/>
      </w:r>
      <w:r w:rsidR="00F26AB0">
        <w:t>General context</w:t>
      </w:r>
    </w:p>
    <w:p w:rsidR="001F31C2" w:rsidRDefault="006D6C52" w:rsidP="00A90DB0">
      <w:pPr>
        <w:pStyle w:val="SingleTxtG"/>
      </w:pPr>
      <w:r>
        <w:t>1</w:t>
      </w:r>
      <w:r w:rsidR="00911AE2" w:rsidRPr="00A13680">
        <w:t>.</w:t>
      </w:r>
      <w:r w:rsidR="00911AE2" w:rsidRPr="00A13680">
        <w:tab/>
      </w:r>
      <w:r w:rsidR="005C4A93">
        <w:t xml:space="preserve">The </w:t>
      </w:r>
      <w:r w:rsidR="0077066C">
        <w:t>"</w:t>
      </w:r>
      <w:r w:rsidR="005C4A93">
        <w:t xml:space="preserve">emission </w:t>
      </w:r>
      <w:r w:rsidR="0077066C">
        <w:t>case"</w:t>
      </w:r>
      <w:r w:rsidR="0091475E">
        <w:t xml:space="preserve"> </w:t>
      </w:r>
      <w:r w:rsidR="0077066C">
        <w:t>(</w:t>
      </w:r>
      <w:r w:rsidR="005C4A93">
        <w:t>revealed in September 2015</w:t>
      </w:r>
      <w:r w:rsidR="0077066C">
        <w:t>)</w:t>
      </w:r>
      <w:r w:rsidR="005C4A93">
        <w:t xml:space="preserve"> related to the use of defeat devices</w:t>
      </w:r>
      <w:r w:rsidR="00AB6D38">
        <w:t xml:space="preserve"> through a software manipulation</w:t>
      </w:r>
      <w:r w:rsidR="00E27C23">
        <w:t>,</w:t>
      </w:r>
      <w:r w:rsidR="0091475E">
        <w:t xml:space="preserve"> </w:t>
      </w:r>
      <w:r w:rsidR="005C4A93">
        <w:t xml:space="preserve">highlighted the fact that automotive systems might not perform as expected </w:t>
      </w:r>
      <w:r w:rsidR="00D3515B">
        <w:t xml:space="preserve">(i) </w:t>
      </w:r>
      <w:r w:rsidR="005C4A93">
        <w:t>by the general public</w:t>
      </w:r>
      <w:r w:rsidR="00936A1C">
        <w:t xml:space="preserve"> and those dealing with environmental issues</w:t>
      </w:r>
      <w:r w:rsidR="00253743">
        <w:t>,</w:t>
      </w:r>
      <w:r w:rsidR="005C4A93">
        <w:t xml:space="preserve"> </w:t>
      </w:r>
      <w:r w:rsidR="00936A1C">
        <w:t>and/</w:t>
      </w:r>
      <w:r w:rsidR="005C4A93">
        <w:t xml:space="preserve">or </w:t>
      </w:r>
      <w:r w:rsidR="00D3515B">
        <w:t xml:space="preserve">(ii) </w:t>
      </w:r>
      <w:r w:rsidR="00E27C23">
        <w:t>in other conditions than those described in</w:t>
      </w:r>
      <w:r w:rsidR="005C4A93">
        <w:t xml:space="preserve"> testing procedures</w:t>
      </w:r>
      <w:r w:rsidR="007B025E" w:rsidRPr="00A13680">
        <w:t xml:space="preserve">. </w:t>
      </w:r>
      <w:r w:rsidR="00AB6D38">
        <w:t xml:space="preserve">The use of defeat device is prohibited by UN Regulation </w:t>
      </w:r>
      <w:r w:rsidR="0091475E" w:rsidRPr="00E430C3">
        <w:rPr>
          <w:lang w:val="en-US"/>
        </w:rPr>
        <w:t xml:space="preserve">No. </w:t>
      </w:r>
      <w:r w:rsidR="00AB6D38">
        <w:t xml:space="preserve">83, but no </w:t>
      </w:r>
      <w:r w:rsidR="00611C76">
        <w:t xml:space="preserve">procedures are defined to demonstrate compliance during </w:t>
      </w:r>
      <w:r w:rsidR="00AB6D38">
        <w:t>type-approval.</w:t>
      </w:r>
    </w:p>
    <w:p w:rsidR="00AB6D38" w:rsidRDefault="00AB6D38" w:rsidP="00A90DB0">
      <w:pPr>
        <w:pStyle w:val="SingleTxtG"/>
      </w:pPr>
      <w:r>
        <w:t>2.</w:t>
      </w:r>
      <w:r>
        <w:tab/>
        <w:t xml:space="preserve">This case </w:t>
      </w:r>
      <w:r w:rsidR="002B4F25">
        <w:t xml:space="preserve">can be instructive for developing procedures for use in type </w:t>
      </w:r>
      <w:r>
        <w:t>approval</w:t>
      </w:r>
      <w:r w:rsidR="00936A1C">
        <w:t xml:space="preserve"> or compliance</w:t>
      </w:r>
      <w:r>
        <w:t xml:space="preserve"> </w:t>
      </w:r>
      <w:r w:rsidR="002D2495">
        <w:t xml:space="preserve">tests </w:t>
      </w:r>
      <w:r w:rsidR="002B4F25">
        <w:t xml:space="preserve">given </w:t>
      </w:r>
      <w:r>
        <w:t>an increasing use of software in vehicles.</w:t>
      </w:r>
    </w:p>
    <w:p w:rsidR="005E1BF6" w:rsidRPr="00A13680" w:rsidRDefault="005E1BF6" w:rsidP="00A90DB0">
      <w:pPr>
        <w:pStyle w:val="SingleTxtG"/>
      </w:pPr>
      <w:r>
        <w:t>3.</w:t>
      </w:r>
      <w:r>
        <w:tab/>
        <w:t>WP.29 received information about the</w:t>
      </w:r>
      <w:r w:rsidRPr="00BA2EEB">
        <w:t xml:space="preserve"> discussion that took place at GRRF in the context of IWVTA (WP.29-168-15) and, separately, on the issue of the performance of automotive systems in conditions other than those tested according to the regulated test procedures. </w:t>
      </w:r>
      <w:r>
        <w:t xml:space="preserve">WP.29 noted that </w:t>
      </w:r>
      <w:r w:rsidRPr="00BA2EEB">
        <w:t xml:space="preserve">there are inherent risks that some systems, especially those relying on software (e.g. TPMS and AEBS) could be designed to work only in the limited conditions corresponding to those tested rather than in all the relevant driving conditions. </w:t>
      </w:r>
      <w:r>
        <w:t xml:space="preserve">WP.29 agreed that </w:t>
      </w:r>
      <w:r w:rsidRPr="00BA2EEB">
        <w:t>the new regulation on TPMS systems could serve as a case study to inform future cons</w:t>
      </w:r>
      <w:r>
        <w:t>ideration by the working party.</w:t>
      </w:r>
    </w:p>
    <w:p w:rsidR="001F31C2" w:rsidRPr="00A13680" w:rsidRDefault="007B025E" w:rsidP="00A90DB0">
      <w:pPr>
        <w:pStyle w:val="HChG"/>
        <w:pBdr>
          <w:top w:val="none" w:sz="0" w:space="0" w:color="auto"/>
          <w:left w:val="none" w:sz="0" w:space="0" w:color="auto"/>
          <w:bottom w:val="none" w:sz="0" w:space="0" w:color="auto"/>
          <w:right w:val="none" w:sz="0" w:space="0" w:color="auto"/>
          <w:between w:val="none" w:sz="0" w:space="0" w:color="auto"/>
          <w:bar w:val="none" w:sz="0" w:color="auto"/>
        </w:pBdr>
      </w:pPr>
      <w:r w:rsidRPr="00A13680">
        <w:tab/>
      </w:r>
      <w:r w:rsidR="00A07A36">
        <w:t>2</w:t>
      </w:r>
      <w:r w:rsidR="00A13680" w:rsidRPr="00A13680">
        <w:t>.</w:t>
      </w:r>
      <w:r w:rsidR="00A13680" w:rsidRPr="00A13680">
        <w:tab/>
      </w:r>
      <w:r w:rsidR="006C1B93">
        <w:t>Possible interpretation</w:t>
      </w:r>
      <w:r w:rsidR="007A7ECB">
        <w:t>s</w:t>
      </w:r>
      <w:r w:rsidR="006C1B93">
        <w:t xml:space="preserve"> of technical provisions</w:t>
      </w:r>
    </w:p>
    <w:p w:rsidR="005E1BF6" w:rsidRDefault="009360DE" w:rsidP="006A5BAA">
      <w:pPr>
        <w:pStyle w:val="SingleTxtG"/>
        <w:rPr>
          <w:rFonts w:hAnsi="Times New Roman" w:cs="Times New Roman"/>
        </w:rPr>
      </w:pPr>
      <w:r>
        <w:rPr>
          <w:rFonts w:hAnsi="Times New Roman" w:cs="Times New Roman"/>
        </w:rPr>
        <w:t>4</w:t>
      </w:r>
      <w:r w:rsidR="00517952">
        <w:rPr>
          <w:rFonts w:hAnsi="Times New Roman" w:cs="Times New Roman"/>
        </w:rPr>
        <w:t>.</w:t>
      </w:r>
      <w:r w:rsidR="00517952">
        <w:rPr>
          <w:rFonts w:hAnsi="Times New Roman" w:cs="Times New Roman"/>
        </w:rPr>
        <w:tab/>
      </w:r>
      <w:r w:rsidR="006C1B93">
        <w:rPr>
          <w:rFonts w:hAnsi="Times New Roman" w:cs="Times New Roman"/>
        </w:rPr>
        <w:t xml:space="preserve">Systems </w:t>
      </w:r>
      <w:r w:rsidR="00936A1C">
        <w:rPr>
          <w:rFonts w:hAnsi="Times New Roman" w:cs="Times New Roman"/>
        </w:rPr>
        <w:t>controlled by</w:t>
      </w:r>
      <w:r w:rsidR="006C1B93">
        <w:rPr>
          <w:rFonts w:hAnsi="Times New Roman" w:cs="Times New Roman"/>
        </w:rPr>
        <w:t xml:space="preserve"> software</w:t>
      </w:r>
      <w:r w:rsidR="00D3515B">
        <w:rPr>
          <w:rFonts w:hAnsi="Times New Roman" w:cs="Times New Roman"/>
        </w:rPr>
        <w:t>,</w:t>
      </w:r>
      <w:r w:rsidR="006C1B93">
        <w:rPr>
          <w:rFonts w:hAnsi="Times New Roman" w:cs="Times New Roman"/>
        </w:rPr>
        <w:t xml:space="preserve"> </w:t>
      </w:r>
      <w:r w:rsidR="00D3515B">
        <w:rPr>
          <w:rFonts w:hAnsi="Times New Roman" w:cs="Times New Roman"/>
        </w:rPr>
        <w:t xml:space="preserve">which are </w:t>
      </w:r>
      <w:r w:rsidR="006C1B93">
        <w:rPr>
          <w:rFonts w:hAnsi="Times New Roman" w:cs="Times New Roman"/>
        </w:rPr>
        <w:t xml:space="preserve">subject to technical provisions in </w:t>
      </w:r>
      <w:r w:rsidR="004576B5">
        <w:rPr>
          <w:rFonts w:hAnsi="Times New Roman" w:cs="Times New Roman"/>
        </w:rPr>
        <w:t xml:space="preserve">UN </w:t>
      </w:r>
      <w:r w:rsidR="006C1B93">
        <w:rPr>
          <w:rFonts w:hAnsi="Times New Roman" w:cs="Times New Roman"/>
        </w:rPr>
        <w:t>Regulations</w:t>
      </w:r>
      <w:r w:rsidR="00936A1C">
        <w:rPr>
          <w:rFonts w:hAnsi="Times New Roman" w:cs="Times New Roman"/>
        </w:rPr>
        <w:t xml:space="preserve"> and UN GTRs</w:t>
      </w:r>
      <w:r w:rsidR="00D3515B">
        <w:rPr>
          <w:rFonts w:hAnsi="Times New Roman" w:cs="Times New Roman"/>
        </w:rPr>
        <w:t>,</w:t>
      </w:r>
      <w:r w:rsidR="006C1B93">
        <w:rPr>
          <w:rFonts w:hAnsi="Times New Roman" w:cs="Times New Roman"/>
        </w:rPr>
        <w:t xml:space="preserve"> may lawfully be programmed o</w:t>
      </w:r>
      <w:r w:rsidR="004576B5">
        <w:rPr>
          <w:rFonts w:hAnsi="Times New Roman" w:cs="Times New Roman"/>
        </w:rPr>
        <w:t>n the basis of these provisions:</w:t>
      </w:r>
      <w:r w:rsidR="006C1B93">
        <w:rPr>
          <w:rFonts w:hAnsi="Times New Roman" w:cs="Times New Roman"/>
        </w:rPr>
        <w:t xml:space="preserve"> </w:t>
      </w:r>
      <w:r w:rsidR="004576B5">
        <w:rPr>
          <w:rFonts w:hAnsi="Times New Roman" w:cs="Times New Roman"/>
        </w:rPr>
        <w:t>f</w:t>
      </w:r>
      <w:r w:rsidR="006C1B93">
        <w:rPr>
          <w:rFonts w:hAnsi="Times New Roman" w:cs="Times New Roman"/>
        </w:rPr>
        <w:t>rom the engineering perspective, the provisions set in the applicable regulation(s) may represent the unique (or main) engineering specification, especially if there is no additional functional o</w:t>
      </w:r>
      <w:r w:rsidR="006C4204">
        <w:rPr>
          <w:rFonts w:hAnsi="Times New Roman" w:cs="Times New Roman"/>
        </w:rPr>
        <w:t>r</w:t>
      </w:r>
      <w:r w:rsidR="006C1B93">
        <w:rPr>
          <w:rFonts w:hAnsi="Times New Roman" w:cs="Times New Roman"/>
        </w:rPr>
        <w:t xml:space="preserve"> customer need to be addressed. This </w:t>
      </w:r>
      <w:r w:rsidR="00672228">
        <w:rPr>
          <w:rFonts w:hAnsi="Times New Roman" w:cs="Times New Roman"/>
        </w:rPr>
        <w:t xml:space="preserve">simple </w:t>
      </w:r>
      <w:r w:rsidR="006C1B93">
        <w:rPr>
          <w:rFonts w:hAnsi="Times New Roman" w:cs="Times New Roman"/>
        </w:rPr>
        <w:t xml:space="preserve">fact may explain why the performance of </w:t>
      </w:r>
      <w:r w:rsidR="006C1B93" w:rsidRPr="002B4F25">
        <w:rPr>
          <w:rFonts w:hAnsi="Times New Roman" w:cs="Times New Roman"/>
        </w:rPr>
        <w:t xml:space="preserve">systems </w:t>
      </w:r>
      <w:r w:rsidR="004576B5" w:rsidRPr="002B4F25">
        <w:rPr>
          <w:rFonts w:hAnsi="Times New Roman" w:cs="Times New Roman"/>
        </w:rPr>
        <w:t xml:space="preserve">relying on software </w:t>
      </w:r>
      <w:r w:rsidR="002B4F25">
        <w:rPr>
          <w:rFonts w:hAnsi="Times New Roman" w:cs="Times New Roman"/>
        </w:rPr>
        <w:t xml:space="preserve">do not </w:t>
      </w:r>
      <w:r w:rsidR="006C1B93">
        <w:rPr>
          <w:rFonts w:hAnsi="Times New Roman" w:cs="Times New Roman"/>
        </w:rPr>
        <w:t>always</w:t>
      </w:r>
      <w:r w:rsidR="004576B5">
        <w:rPr>
          <w:rFonts w:hAnsi="Times New Roman" w:cs="Times New Roman"/>
        </w:rPr>
        <w:t xml:space="preserve"> fully </w:t>
      </w:r>
      <w:r w:rsidR="006C1B93">
        <w:rPr>
          <w:rFonts w:hAnsi="Times New Roman" w:cs="Times New Roman"/>
        </w:rPr>
        <w:t>meet the exp</w:t>
      </w:r>
      <w:r w:rsidR="004576B5">
        <w:rPr>
          <w:rFonts w:hAnsi="Times New Roman" w:cs="Times New Roman"/>
        </w:rPr>
        <w:t>ectations of the general public.</w:t>
      </w:r>
    </w:p>
    <w:p w:rsidR="00D3515B" w:rsidRDefault="009360DE" w:rsidP="006A5BAA">
      <w:pPr>
        <w:pStyle w:val="SingleTxtG"/>
        <w:rPr>
          <w:rFonts w:hAnsi="Times New Roman" w:cs="Times New Roman"/>
        </w:rPr>
      </w:pPr>
      <w:r>
        <w:rPr>
          <w:rFonts w:hAnsi="Times New Roman" w:cs="Times New Roman"/>
        </w:rPr>
        <w:t>5</w:t>
      </w:r>
      <w:r w:rsidR="006C1B93">
        <w:rPr>
          <w:rFonts w:hAnsi="Times New Roman" w:cs="Times New Roman"/>
        </w:rPr>
        <w:t>.</w:t>
      </w:r>
      <w:r w:rsidR="006C1B93">
        <w:rPr>
          <w:rFonts w:hAnsi="Times New Roman" w:cs="Times New Roman"/>
        </w:rPr>
        <w:tab/>
        <w:t xml:space="preserve">In some cases, </w:t>
      </w:r>
      <w:r w:rsidR="002B4F25">
        <w:rPr>
          <w:rFonts w:hAnsi="Times New Roman" w:cs="Times New Roman"/>
        </w:rPr>
        <w:t xml:space="preserve">functionality </w:t>
      </w:r>
      <w:r w:rsidR="00B62FFA">
        <w:rPr>
          <w:rFonts w:hAnsi="Times New Roman" w:cs="Times New Roman"/>
        </w:rPr>
        <w:t xml:space="preserve">may be required of a system beyond that identified by the regulatory objective, </w:t>
      </w:r>
      <w:r w:rsidR="004576B5">
        <w:rPr>
          <w:rFonts w:hAnsi="Times New Roman" w:cs="Times New Roman"/>
        </w:rPr>
        <w:t xml:space="preserve">e.g. </w:t>
      </w:r>
      <w:r w:rsidR="00CC54A9">
        <w:rPr>
          <w:rFonts w:hAnsi="Times New Roman" w:cs="Times New Roman"/>
        </w:rPr>
        <w:t>for airbags, that don't deploy when the driver e.g. drive</w:t>
      </w:r>
      <w:r w:rsidR="008D1175">
        <w:rPr>
          <w:rFonts w:hAnsi="Times New Roman" w:cs="Times New Roman"/>
        </w:rPr>
        <w:t>s</w:t>
      </w:r>
      <w:r w:rsidR="00CC54A9">
        <w:rPr>
          <w:rFonts w:hAnsi="Times New Roman" w:cs="Times New Roman"/>
        </w:rPr>
        <w:t xml:space="preserve"> on kerbstones. Without the programmed "filters", the vehicle sensors would recognize a strong deceleration, interpret </w:t>
      </w:r>
      <w:r w:rsidR="008D1175">
        <w:rPr>
          <w:rFonts w:hAnsi="Times New Roman" w:cs="Times New Roman"/>
        </w:rPr>
        <w:t>it</w:t>
      </w:r>
      <w:r w:rsidR="00CC54A9">
        <w:rPr>
          <w:rFonts w:hAnsi="Times New Roman" w:cs="Times New Roman"/>
        </w:rPr>
        <w:t xml:space="preserve"> as a </w:t>
      </w:r>
      <w:r w:rsidR="00672228">
        <w:rPr>
          <w:rFonts w:hAnsi="Times New Roman" w:cs="Times New Roman"/>
        </w:rPr>
        <w:t>crash</w:t>
      </w:r>
      <w:r w:rsidR="00CC54A9">
        <w:rPr>
          <w:rFonts w:hAnsi="Times New Roman" w:cs="Times New Roman"/>
        </w:rPr>
        <w:t xml:space="preserve"> and deploy airbags.</w:t>
      </w:r>
      <w:r w:rsidR="006C4204">
        <w:rPr>
          <w:rFonts w:hAnsi="Times New Roman" w:cs="Times New Roman"/>
        </w:rPr>
        <w:t xml:space="preserve"> </w:t>
      </w:r>
      <w:r w:rsidR="00B62FFA">
        <w:rPr>
          <w:rFonts w:hAnsi="Times New Roman" w:cs="Times New Roman"/>
        </w:rPr>
        <w:t>Nevertheless, this functionality should not be contrary to the purpose of the Regulation.</w:t>
      </w:r>
    </w:p>
    <w:p w:rsidR="006C1B93" w:rsidRPr="00B62FFA" w:rsidRDefault="00255505" w:rsidP="006A5BAA">
      <w:pPr>
        <w:pStyle w:val="SingleTxtG"/>
      </w:pPr>
      <w:r>
        <w:rPr>
          <w:rFonts w:hAnsi="Times New Roman" w:cs="Times New Roman"/>
        </w:rPr>
        <w:t>6</w:t>
      </w:r>
      <w:r w:rsidR="00D3515B">
        <w:rPr>
          <w:rFonts w:hAnsi="Times New Roman" w:cs="Times New Roman"/>
        </w:rPr>
        <w:t>.</w:t>
      </w:r>
      <w:r w:rsidR="00D3515B">
        <w:rPr>
          <w:rFonts w:hAnsi="Times New Roman" w:cs="Times New Roman"/>
        </w:rPr>
        <w:tab/>
      </w:r>
      <w:r w:rsidR="006C4204" w:rsidRPr="00B62FFA">
        <w:rPr>
          <w:rFonts w:hAnsi="Times New Roman" w:cs="Times New Roman"/>
        </w:rPr>
        <w:t>In other cases</w:t>
      </w:r>
      <w:r w:rsidR="00672228" w:rsidRPr="00B62FFA">
        <w:rPr>
          <w:rFonts w:hAnsi="Times New Roman" w:cs="Times New Roman"/>
        </w:rPr>
        <w:t xml:space="preserve"> in the past</w:t>
      </w:r>
      <w:r w:rsidR="006C4204" w:rsidRPr="00B62FFA">
        <w:rPr>
          <w:rFonts w:hAnsi="Times New Roman" w:cs="Times New Roman"/>
        </w:rPr>
        <w:t xml:space="preserve">, it was demonstrated that </w:t>
      </w:r>
      <w:r w:rsidR="00672228" w:rsidRPr="00B62FFA">
        <w:rPr>
          <w:rFonts w:hAnsi="Times New Roman" w:cs="Times New Roman"/>
        </w:rPr>
        <w:t>software</w:t>
      </w:r>
      <w:r w:rsidR="006C4204" w:rsidRPr="00B62FFA">
        <w:rPr>
          <w:rFonts w:hAnsi="Times New Roman" w:cs="Times New Roman"/>
        </w:rPr>
        <w:t xml:space="preserve"> could be used that </w:t>
      </w:r>
      <w:r w:rsidR="006C4204" w:rsidRPr="00B62FFA">
        <w:t>circumvent requirements contained in emissions Regulations.</w:t>
      </w:r>
    </w:p>
    <w:p w:rsidR="005E1BF6" w:rsidRDefault="00255505" w:rsidP="006A5BAA">
      <w:pPr>
        <w:pStyle w:val="SingleTxtG"/>
      </w:pPr>
      <w:r w:rsidRPr="00B62FFA">
        <w:t>7</w:t>
      </w:r>
      <w:r w:rsidR="009360DE" w:rsidRPr="00B62FFA">
        <w:t>.</w:t>
      </w:r>
      <w:r w:rsidR="00CC54A9" w:rsidRPr="00B62FFA">
        <w:tab/>
        <w:t xml:space="preserve">In order to avoid </w:t>
      </w:r>
      <w:r w:rsidR="00B62FFA">
        <w:t>unnecessarily restrictive</w:t>
      </w:r>
      <w:r w:rsidR="00CC54A9">
        <w:t xml:space="preserve"> provisions in Regulations, the Regulator tends to introduce </w:t>
      </w:r>
      <w:r w:rsidR="00CC54A9" w:rsidRPr="004576B5">
        <w:rPr>
          <w:i/>
        </w:rPr>
        <w:t>general provisions</w:t>
      </w:r>
      <w:r w:rsidR="00CC54A9">
        <w:t xml:space="preserve"> </w:t>
      </w:r>
      <w:r w:rsidR="004576B5">
        <w:t xml:space="preserve">in </w:t>
      </w:r>
      <w:r w:rsidR="00936A1C">
        <w:t>r</w:t>
      </w:r>
      <w:r w:rsidR="004576B5">
        <w:t xml:space="preserve">egulations </w:t>
      </w:r>
      <w:r w:rsidR="00CC54A9">
        <w:t xml:space="preserve">stating that the systems shall </w:t>
      </w:r>
      <w:r w:rsidR="00672228">
        <w:t xml:space="preserve">also </w:t>
      </w:r>
      <w:r w:rsidR="00CC54A9">
        <w:t xml:space="preserve">perform in conditions </w:t>
      </w:r>
      <w:r w:rsidR="006C4204">
        <w:t xml:space="preserve">other </w:t>
      </w:r>
      <w:r w:rsidR="00CC54A9">
        <w:t xml:space="preserve">than those specified in </w:t>
      </w:r>
      <w:r w:rsidR="00672228">
        <w:t>testing procedure (</w:t>
      </w:r>
      <w:r w:rsidR="00936A1C">
        <w:t>containing</w:t>
      </w:r>
      <w:r w:rsidR="00672228">
        <w:t xml:space="preserve"> </w:t>
      </w:r>
      <w:r w:rsidR="00CC54A9">
        <w:t xml:space="preserve">precise performance requirements </w:t>
      </w:r>
      <w:r w:rsidR="006C4204">
        <w:t xml:space="preserve">providing </w:t>
      </w:r>
      <w:r w:rsidR="00CC54A9">
        <w:t>robust and</w:t>
      </w:r>
      <w:r w:rsidR="00672228">
        <w:t xml:space="preserve"> reproducible test results)</w:t>
      </w:r>
      <w:r w:rsidR="00CC54A9">
        <w:t>.</w:t>
      </w:r>
    </w:p>
    <w:p w:rsidR="00CC54A9" w:rsidRDefault="00255505" w:rsidP="006A5BAA">
      <w:pPr>
        <w:pStyle w:val="SingleTxtG"/>
      </w:pPr>
      <w:r>
        <w:t>8</w:t>
      </w:r>
      <w:r w:rsidR="00CC54A9">
        <w:t>.</w:t>
      </w:r>
      <w:r w:rsidR="00CC54A9">
        <w:tab/>
        <w:t xml:space="preserve">These </w:t>
      </w:r>
      <w:r w:rsidR="00CC54A9" w:rsidRPr="004576B5">
        <w:rPr>
          <w:i/>
        </w:rPr>
        <w:t>general provisions</w:t>
      </w:r>
      <w:r w:rsidR="00CC54A9">
        <w:t xml:space="preserve"> are </w:t>
      </w:r>
      <w:r w:rsidR="007A7ECB">
        <w:t xml:space="preserve">initiating practical questions raised by the manufacturers and the </w:t>
      </w:r>
      <w:r w:rsidR="004576B5">
        <w:t>a</w:t>
      </w:r>
      <w:r w:rsidR="007A7ECB">
        <w:t>uthorities</w:t>
      </w:r>
      <w:r w:rsidR="00672228">
        <w:t xml:space="preserve"> about the correct way to verify the compliance of a product with these general provisions</w:t>
      </w:r>
      <w:r w:rsidR="007A7ECB">
        <w:t xml:space="preserve">. To overcome this </w:t>
      </w:r>
      <w:r w:rsidR="004576B5">
        <w:t xml:space="preserve">type of </w:t>
      </w:r>
      <w:r w:rsidR="007A7ECB">
        <w:t xml:space="preserve">difficulty, the Working </w:t>
      </w:r>
      <w:r w:rsidR="007A7ECB">
        <w:lastRenderedPageBreak/>
        <w:t xml:space="preserve">Party on Noise (GRB) developed </w:t>
      </w:r>
      <w:r w:rsidR="00672228">
        <w:t>A</w:t>
      </w:r>
      <w:r w:rsidR="007A7ECB">
        <w:t xml:space="preserve">dditional Sound Emission </w:t>
      </w:r>
      <w:r w:rsidR="00672228">
        <w:t>P</w:t>
      </w:r>
      <w:r w:rsidR="007A7ECB">
        <w:t>rovisions</w:t>
      </w:r>
      <w:r w:rsidR="00672228">
        <w:t xml:space="preserve"> (ASEP) in Regulation No. 51</w:t>
      </w:r>
      <w:r w:rsidR="007A7ECB">
        <w:t xml:space="preserve">, which </w:t>
      </w:r>
      <w:r w:rsidR="00D3515B">
        <w:t>correspond</w:t>
      </w:r>
      <w:r w:rsidR="007A7ECB">
        <w:t xml:space="preserve"> to an off-cycle </w:t>
      </w:r>
      <w:r w:rsidR="00672228">
        <w:t xml:space="preserve">noise </w:t>
      </w:r>
      <w:r w:rsidR="007A7ECB">
        <w:t>test.</w:t>
      </w:r>
    </w:p>
    <w:p w:rsidR="00D3515B" w:rsidRDefault="00255505" w:rsidP="006A5BAA">
      <w:pPr>
        <w:pStyle w:val="SingleTxtG"/>
      </w:pPr>
      <w:r>
        <w:t>9</w:t>
      </w:r>
      <w:r w:rsidR="007A7ECB">
        <w:t>.</w:t>
      </w:r>
      <w:r w:rsidR="007A7ECB">
        <w:tab/>
        <w:t>UN Regulation No. 64 set</w:t>
      </w:r>
      <w:r w:rsidR="00672228">
        <w:t>s</w:t>
      </w:r>
      <w:r w:rsidR="007A7ECB">
        <w:t xml:space="preserve"> performance requirements applied to the evaluation of TPMS</w:t>
      </w:r>
      <w:r w:rsidR="006C4204">
        <w:t xml:space="preserve"> responsiveness to puncture, diffusion and malfunction</w:t>
      </w:r>
      <w:r w:rsidR="007A7ECB">
        <w:t xml:space="preserve">. The text of the regulation </w:t>
      </w:r>
      <w:r w:rsidR="00731D71">
        <w:t>contains</w:t>
      </w:r>
      <w:r w:rsidR="007A7ECB">
        <w:t xml:space="preserve"> very specific </w:t>
      </w:r>
      <w:r w:rsidR="00731D71">
        <w:t xml:space="preserve">testing provisions </w:t>
      </w:r>
      <w:r w:rsidR="004576B5">
        <w:t>resulting from</w:t>
      </w:r>
      <w:r w:rsidR="00731D71">
        <w:t xml:space="preserve"> </w:t>
      </w:r>
      <w:r w:rsidR="004576B5">
        <w:t>a long</w:t>
      </w:r>
      <w:r w:rsidR="00731D71">
        <w:t xml:space="preserve"> technical discussion</w:t>
      </w:r>
      <w:r w:rsidR="006C4204">
        <w:t>,</w:t>
      </w:r>
      <w:r w:rsidR="00731D71">
        <w:t xml:space="preserve"> influenced</w:t>
      </w:r>
      <w:r w:rsidR="00672228">
        <w:t>, among others,</w:t>
      </w:r>
      <w:r w:rsidR="00731D71">
        <w:t xml:space="preserve"> by the competition between system manufacturers delivering direct pressure measuring systems and </w:t>
      </w:r>
      <w:r w:rsidR="004576B5">
        <w:t xml:space="preserve">others delivering </w:t>
      </w:r>
      <w:r w:rsidR="00731D71">
        <w:t xml:space="preserve">indirect one. The requirements for TPMS were exclusively defined by performance requirements within </w:t>
      </w:r>
      <w:r w:rsidR="00672228">
        <w:t xml:space="preserve">precise </w:t>
      </w:r>
      <w:r w:rsidR="00731D71">
        <w:t xml:space="preserve">testing </w:t>
      </w:r>
      <w:r w:rsidR="00672228">
        <w:t>protocols</w:t>
      </w:r>
      <w:r w:rsidR="00731D71">
        <w:t xml:space="preserve">. The system shall warn </w:t>
      </w:r>
      <w:r w:rsidR="006B1DE1">
        <w:t>within</w:t>
      </w:r>
      <w:r w:rsidR="00731D71">
        <w:t xml:space="preserve"> a given timeframe</w:t>
      </w:r>
      <w:r w:rsidR="004576B5">
        <w:t>,</w:t>
      </w:r>
      <w:r w:rsidR="00731D71">
        <w:t xml:space="preserve"> </w:t>
      </w:r>
      <w:r w:rsidR="004576B5">
        <w:t>when</w:t>
      </w:r>
      <w:r w:rsidR="00731D71">
        <w:t xml:space="preserve"> tested under certain conditions</w:t>
      </w:r>
      <w:r w:rsidR="006B1DE1">
        <w:t xml:space="preserve">. </w:t>
      </w:r>
    </w:p>
    <w:p w:rsidR="006B1DE1" w:rsidRDefault="00255505" w:rsidP="006A5BAA">
      <w:pPr>
        <w:pStyle w:val="SingleTxtG"/>
      </w:pPr>
      <w:r>
        <w:t>10</w:t>
      </w:r>
      <w:r w:rsidR="00D3515B">
        <w:t>.</w:t>
      </w:r>
      <w:r w:rsidR="00D3515B">
        <w:tab/>
      </w:r>
      <w:r w:rsidR="006B1DE1">
        <w:t>If a test is performed in slightly different condition</w:t>
      </w:r>
      <w:r w:rsidR="004576B5">
        <w:t>s</w:t>
      </w:r>
      <w:r w:rsidR="006B1DE1">
        <w:t xml:space="preserve"> </w:t>
      </w:r>
      <w:r w:rsidR="00672228">
        <w:t xml:space="preserve">(from those defined in the test procedure) </w:t>
      </w:r>
      <w:r w:rsidR="006B1DE1">
        <w:t>and the performance criterion is not achieved</w:t>
      </w:r>
      <w:r w:rsidR="006C4204">
        <w:t>, even though it could be expected that the system provide a similar response</w:t>
      </w:r>
      <w:r w:rsidR="006B1DE1">
        <w:t xml:space="preserve">, no hint is given in the regulation, whether the system performs </w:t>
      </w:r>
      <w:r w:rsidR="008D1175">
        <w:t xml:space="preserve">legitimately i.e. </w:t>
      </w:r>
      <w:r w:rsidR="006B1DE1">
        <w:t>as expected or not.</w:t>
      </w:r>
    </w:p>
    <w:p w:rsidR="006A5BAA" w:rsidRPr="00A13680" w:rsidRDefault="006A5BAA" w:rsidP="006A5BAA">
      <w:pPr>
        <w:pStyle w:val="HChG"/>
        <w:pBdr>
          <w:top w:val="none" w:sz="0" w:space="0" w:color="auto"/>
          <w:left w:val="none" w:sz="0" w:space="0" w:color="auto"/>
          <w:bottom w:val="none" w:sz="0" w:space="0" w:color="auto"/>
          <w:right w:val="none" w:sz="0" w:space="0" w:color="auto"/>
          <w:between w:val="none" w:sz="0" w:space="0" w:color="auto"/>
          <w:bar w:val="none" w:sz="0" w:color="auto"/>
        </w:pBdr>
      </w:pPr>
      <w:r>
        <w:tab/>
      </w:r>
      <w:r w:rsidR="00F26AB0">
        <w:t>3</w:t>
      </w:r>
      <w:r w:rsidRPr="00A13680">
        <w:t>.</w:t>
      </w:r>
      <w:r w:rsidRPr="00A13680">
        <w:tab/>
      </w:r>
      <w:r w:rsidR="006B1DE1">
        <w:t>New draft Regulation on TPMS</w:t>
      </w:r>
    </w:p>
    <w:p w:rsidR="006B1DE1" w:rsidRDefault="00255505" w:rsidP="00311466">
      <w:pPr>
        <w:pStyle w:val="SingleTxtG"/>
      </w:pPr>
      <w:r>
        <w:t>11</w:t>
      </w:r>
      <w:r w:rsidR="006B1DE1">
        <w:t>.</w:t>
      </w:r>
      <w:r w:rsidR="006B1DE1">
        <w:tab/>
      </w:r>
      <w:r w:rsidR="00A519D9">
        <w:t xml:space="preserve">In the </w:t>
      </w:r>
      <w:r w:rsidR="00936A1C">
        <w:t>f</w:t>
      </w:r>
      <w:r w:rsidR="00A519D9">
        <w:t>ramework of</w:t>
      </w:r>
      <w:r w:rsidR="006B1DE1">
        <w:t xml:space="preserve"> the work done on International Whole Vehicle Type Approval, it was decided to separate the provisions </w:t>
      </w:r>
      <w:r w:rsidR="009360DE">
        <w:t>related to TPMS from Regulation No. 64 and to create a new regulation</w:t>
      </w:r>
      <w:r w:rsidR="00A519D9">
        <w:t xml:space="preserve"> specifically on TPMS</w:t>
      </w:r>
      <w:r w:rsidR="009360DE">
        <w:t xml:space="preserve">. In this context, the Working Party on Brakes and Running Gear agreed to remove the reference (initially </w:t>
      </w:r>
      <w:r w:rsidR="00A519D9">
        <w:t xml:space="preserve">present </w:t>
      </w:r>
      <w:r w:rsidR="009360DE">
        <w:t>in Regulation No. 64) to the testing procedure</w:t>
      </w:r>
      <w:r w:rsidR="00A519D9">
        <w:t>,</w:t>
      </w:r>
      <w:r w:rsidR="00672228">
        <w:t xml:space="preserve"> whenever possible</w:t>
      </w:r>
      <w:r w:rsidR="009360DE">
        <w:t xml:space="preserve">. A paragraph was </w:t>
      </w:r>
      <w:r w:rsidR="00A519D9">
        <w:t xml:space="preserve">also </w:t>
      </w:r>
      <w:r w:rsidR="009360DE">
        <w:t>clarified</w:t>
      </w:r>
      <w:r w:rsidR="004576B5">
        <w:t xml:space="preserve"> in order </w:t>
      </w:r>
      <w:r w:rsidR="009360DE">
        <w:t>to explicitly specify that TPMS shall meet the performance requirements of the Regulation over a wide range of road and environmental conditions encountered within the territory of the Contacting Parties</w:t>
      </w:r>
      <w:r w:rsidR="00672228">
        <w:t xml:space="preserve"> (</w:t>
      </w:r>
      <w:r w:rsidR="00672228" w:rsidRPr="00672228">
        <w:rPr>
          <w:i/>
        </w:rPr>
        <w:t>general provision</w:t>
      </w:r>
      <w:r w:rsidR="00672228">
        <w:t>)</w:t>
      </w:r>
      <w:r w:rsidR="009360DE">
        <w:t>.</w:t>
      </w:r>
    </w:p>
    <w:p w:rsidR="00B55392" w:rsidRDefault="00255505" w:rsidP="00B55392">
      <w:pPr>
        <w:pStyle w:val="SingleTxtG"/>
      </w:pPr>
      <w:r>
        <w:t>12</w:t>
      </w:r>
      <w:r w:rsidR="009360DE" w:rsidRPr="00B55392">
        <w:t>.</w:t>
      </w:r>
      <w:r w:rsidR="009360DE" w:rsidRPr="00B55392">
        <w:tab/>
      </w:r>
      <w:r w:rsidR="00A519D9" w:rsidRPr="00A519D9">
        <w:t xml:space="preserve">Such </w:t>
      </w:r>
      <w:r w:rsidR="00A519D9" w:rsidRPr="004576B5">
        <w:rPr>
          <w:i/>
        </w:rPr>
        <w:t xml:space="preserve">general </w:t>
      </w:r>
      <w:r w:rsidR="00A519D9" w:rsidRPr="00672228">
        <w:rPr>
          <w:i/>
        </w:rPr>
        <w:t>provisions</w:t>
      </w:r>
      <w:r w:rsidR="004576B5">
        <w:t xml:space="preserve">, </w:t>
      </w:r>
      <w:r w:rsidR="00A519D9" w:rsidRPr="004576B5">
        <w:t>with</w:t>
      </w:r>
      <w:r w:rsidR="00A519D9" w:rsidRPr="00A519D9">
        <w:t xml:space="preserve"> the requirements related to overall vehicle performance</w:t>
      </w:r>
      <w:r w:rsidR="004576B5" w:rsidRPr="00B62FFA">
        <w:t>,</w:t>
      </w:r>
      <w:r w:rsidR="00A519D9" w:rsidRPr="00B62FFA">
        <w:t xml:space="preserve"> </w:t>
      </w:r>
      <w:r w:rsidR="00B62FFA">
        <w:t>have existed</w:t>
      </w:r>
      <w:r w:rsidR="00B62FFA" w:rsidRPr="00B62FFA">
        <w:t xml:space="preserve"> </w:t>
      </w:r>
      <w:r w:rsidR="00A519D9" w:rsidRPr="00B62FFA">
        <w:t>for quite a long</w:t>
      </w:r>
      <w:r w:rsidR="00A519D9" w:rsidRPr="00A519D9">
        <w:t xml:space="preserve"> time</w:t>
      </w:r>
      <w:r w:rsidR="00B62FFA">
        <w:t xml:space="preserve"> often with durability and reliability objectives</w:t>
      </w:r>
      <w:r w:rsidR="00A519D9" w:rsidRPr="00A519D9">
        <w:t xml:space="preserve">. </w:t>
      </w:r>
      <w:r w:rsidR="00B62FFA">
        <w:t>R</w:t>
      </w:r>
      <w:r w:rsidR="00A519D9" w:rsidRPr="00A519D9">
        <w:t xml:space="preserve">eference can be made, for example, to para. 5.1.4. of UN Regulation No. 79 stating: </w:t>
      </w:r>
      <w:r w:rsidR="00A519D9">
        <w:t>"</w:t>
      </w:r>
      <w:r w:rsidR="00A519D9" w:rsidRPr="00A519D9">
        <w:t>The steering equipment shall be designed, constructed and fitted in such a way that it is capable of withstanding the stresses arising during normal operation of the vehicle, or combination of vehicles...</w:t>
      </w:r>
      <w:r w:rsidR="00A519D9">
        <w:t>"</w:t>
      </w:r>
      <w:r w:rsidR="00A519D9" w:rsidRPr="00A519D9">
        <w:t>. This provision obliges vehicle manufacturers to ensure reliability of steering systems for the entire lifecycle</w:t>
      </w:r>
      <w:r w:rsidR="00A519D9">
        <w:t xml:space="preserve"> but doesn't specify the enforcement method to verify the compliance with this provision</w:t>
      </w:r>
      <w:r w:rsidR="003B67CD">
        <w:t xml:space="preserve"> nor the purpose of such provision (product liability, warranty, penalty in case of non-compliance?)</w:t>
      </w:r>
      <w:r w:rsidR="00A519D9" w:rsidRPr="00A519D9">
        <w:t>.</w:t>
      </w:r>
    </w:p>
    <w:p w:rsidR="00B55392" w:rsidRPr="0078114C" w:rsidRDefault="00B55392" w:rsidP="0078114C">
      <w:pPr>
        <w:pStyle w:val="HChG"/>
      </w:pPr>
      <w:r w:rsidRPr="0078114C">
        <w:tab/>
        <w:t>4.</w:t>
      </w:r>
      <w:r w:rsidRPr="0078114C">
        <w:tab/>
      </w:r>
      <w:r w:rsidR="00AE3566">
        <w:t>Possible ways forward</w:t>
      </w:r>
    </w:p>
    <w:p w:rsidR="009810DA" w:rsidRDefault="00255505" w:rsidP="00B55392">
      <w:pPr>
        <w:pStyle w:val="SingleTxtG"/>
      </w:pPr>
      <w:r>
        <w:t>13</w:t>
      </w:r>
      <w:r w:rsidR="00B55392">
        <w:t>.</w:t>
      </w:r>
      <w:r w:rsidR="00B55392">
        <w:tab/>
      </w:r>
      <w:r w:rsidR="003D317E">
        <w:t>There might</w:t>
      </w:r>
      <w:r w:rsidR="00B55392" w:rsidRPr="00B55392">
        <w:t xml:space="preserve"> </w:t>
      </w:r>
      <w:r w:rsidR="003D317E">
        <w:t>be an</w:t>
      </w:r>
      <w:r w:rsidR="00B55392" w:rsidRPr="00B55392">
        <w:t xml:space="preserve"> uncertainty for the </w:t>
      </w:r>
      <w:r w:rsidR="00F0638A">
        <w:t>a</w:t>
      </w:r>
      <w:r w:rsidR="00B55392" w:rsidRPr="00B55392">
        <w:t xml:space="preserve">uthorities </w:t>
      </w:r>
      <w:r w:rsidR="00AE3566" w:rsidRPr="00B55392">
        <w:t>on</w:t>
      </w:r>
      <w:r w:rsidR="00B55392" w:rsidRPr="00B55392">
        <w:t xml:space="preserve"> the w</w:t>
      </w:r>
      <w:r w:rsidR="00672228">
        <w:t>ay to check the compliance with</w:t>
      </w:r>
      <w:r w:rsidR="003D317E">
        <w:t xml:space="preserve"> such </w:t>
      </w:r>
      <w:r w:rsidR="003D317E" w:rsidRPr="00672228">
        <w:rPr>
          <w:i/>
        </w:rPr>
        <w:t>general provisions</w:t>
      </w:r>
      <w:r w:rsidR="00B55392" w:rsidRPr="00B55392">
        <w:t>.</w:t>
      </w:r>
      <w:r w:rsidR="00A519D9">
        <w:t xml:space="preserve"> This uncertainty </w:t>
      </w:r>
      <w:r w:rsidR="00F0638A">
        <w:t xml:space="preserve">could </w:t>
      </w:r>
      <w:r w:rsidR="00A519D9">
        <w:t>certainly lead to divergence</w:t>
      </w:r>
      <w:r w:rsidR="00F0638A">
        <w:t>s</w:t>
      </w:r>
      <w:r w:rsidR="00A519D9">
        <w:t xml:space="preserve"> in the way to verify the compliance with the provisions of the given </w:t>
      </w:r>
      <w:r w:rsidR="00936A1C">
        <w:t>r</w:t>
      </w:r>
      <w:r w:rsidR="00A519D9">
        <w:t>egulation</w:t>
      </w:r>
      <w:r w:rsidR="00936A1C">
        <w:t>.</w:t>
      </w:r>
      <w:r w:rsidR="00A519D9">
        <w:t xml:space="preserve"> </w:t>
      </w:r>
      <w:r w:rsidR="00936A1C">
        <w:t>It</w:t>
      </w:r>
      <w:r w:rsidR="00A519D9">
        <w:t xml:space="preserve"> might impact a harmonious mutual recognition of approvals. </w:t>
      </w:r>
      <w:r w:rsidR="00936A1C">
        <w:t>It could create confusion in the case of self-certification regimes.</w:t>
      </w:r>
    </w:p>
    <w:p w:rsidR="009810DA" w:rsidRDefault="00255505" w:rsidP="00B55392">
      <w:pPr>
        <w:pStyle w:val="SingleTxtG"/>
      </w:pPr>
      <w:r>
        <w:t>14</w:t>
      </w:r>
      <w:r w:rsidR="009810DA">
        <w:t>.</w:t>
      </w:r>
      <w:r w:rsidR="009810DA">
        <w:tab/>
      </w:r>
      <w:r w:rsidR="003D317E">
        <w:t xml:space="preserve">Trying to check the compliance with these provisions </w:t>
      </w:r>
      <w:r w:rsidR="008D1175">
        <w:t>on an ad</w:t>
      </w:r>
      <w:r w:rsidR="00F1270C">
        <w:t>-</w:t>
      </w:r>
      <w:r w:rsidR="008D1175">
        <w:t xml:space="preserve">hoc basis </w:t>
      </w:r>
      <w:r w:rsidR="003D317E">
        <w:t xml:space="preserve">might be </w:t>
      </w:r>
      <w:r w:rsidR="003D317E" w:rsidRPr="00B62FFA">
        <w:t>very time consuming</w:t>
      </w:r>
      <w:r w:rsidR="009810DA">
        <w:t xml:space="preserve">. Long and extensive tests </w:t>
      </w:r>
      <w:r w:rsidR="00AA44B4">
        <w:t xml:space="preserve">during the type approval process, </w:t>
      </w:r>
      <w:r w:rsidR="009810DA">
        <w:t xml:space="preserve">aimed at </w:t>
      </w:r>
      <w:r w:rsidR="00F1270C">
        <w:t>identifying</w:t>
      </w:r>
      <w:r w:rsidR="009810DA" w:rsidRPr="00F1270C">
        <w:t xml:space="preserve"> non</w:t>
      </w:r>
      <w:r w:rsidR="009810DA">
        <w:t>-legitimate strategies</w:t>
      </w:r>
      <w:r w:rsidR="00AA44B4">
        <w:t>,</w:t>
      </w:r>
      <w:r w:rsidR="009810DA">
        <w:t xml:space="preserve"> may not be efficient especially because Type Approval tests may be performed with prototypes</w:t>
      </w:r>
      <w:r w:rsidR="00F1270C">
        <w:t>; is there certainty that the software presented at type approval would be the same as that employed in production if a manufacture was intent on defeating the requirement?</w:t>
      </w:r>
      <w:r w:rsidR="009810DA">
        <w:t xml:space="preserve"> Imposing extensive tests to new vehicles in the framework of C</w:t>
      </w:r>
      <w:r w:rsidR="00AA44B4">
        <w:t xml:space="preserve">onformity of </w:t>
      </w:r>
      <w:r w:rsidR="009810DA">
        <w:t>P</w:t>
      </w:r>
      <w:r w:rsidR="00AA44B4">
        <w:t>roduction</w:t>
      </w:r>
      <w:r w:rsidR="009810DA">
        <w:t xml:space="preserve"> may </w:t>
      </w:r>
      <w:r w:rsidR="00AA44B4">
        <w:t>not be practical</w:t>
      </w:r>
      <w:r w:rsidR="009810DA">
        <w:t xml:space="preserve"> for manufacturers and </w:t>
      </w:r>
      <w:r w:rsidR="00AA44B4">
        <w:t xml:space="preserve">not acceptable for </w:t>
      </w:r>
      <w:r w:rsidR="009810DA">
        <w:t>consumers.</w:t>
      </w:r>
    </w:p>
    <w:p w:rsidR="00582CFF" w:rsidRPr="00B55392" w:rsidRDefault="00255505" w:rsidP="00B55392">
      <w:pPr>
        <w:pStyle w:val="SingleTxtG"/>
      </w:pPr>
      <w:r>
        <w:t>15</w:t>
      </w:r>
      <w:r w:rsidR="009810DA">
        <w:t>.</w:t>
      </w:r>
      <w:r w:rsidR="009810DA">
        <w:tab/>
      </w:r>
      <w:r w:rsidR="00AE3566">
        <w:t>Inserting</w:t>
      </w:r>
      <w:r w:rsidR="00AA44B4">
        <w:t xml:space="preserve"> the said </w:t>
      </w:r>
      <w:r w:rsidR="00AA44B4" w:rsidRPr="00AA44B4">
        <w:rPr>
          <w:i/>
        </w:rPr>
        <w:t>general provisions</w:t>
      </w:r>
      <w:r w:rsidR="00AA44B4">
        <w:t xml:space="preserve"> in a </w:t>
      </w:r>
      <w:r w:rsidR="00936A1C">
        <w:t>r</w:t>
      </w:r>
      <w:r w:rsidR="00AA44B4">
        <w:t xml:space="preserve">egulation could </w:t>
      </w:r>
      <w:r w:rsidR="00AE3566">
        <w:t xml:space="preserve">even </w:t>
      </w:r>
      <w:r w:rsidR="00A519D9">
        <w:t xml:space="preserve">lead to difficulties when a non-compliant case is revealed. </w:t>
      </w:r>
      <w:r w:rsidR="00F0638A">
        <w:t xml:space="preserve">The general public might reproach the authorities </w:t>
      </w:r>
      <w:r w:rsidR="00F0638A" w:rsidRPr="00F1270C">
        <w:lastRenderedPageBreak/>
        <w:t xml:space="preserve">and </w:t>
      </w:r>
      <w:r w:rsidR="00AA44B4" w:rsidRPr="00F1270C">
        <w:t>regulator</w:t>
      </w:r>
      <w:r w:rsidR="00F0638A" w:rsidRPr="00F1270C">
        <w:t xml:space="preserve"> </w:t>
      </w:r>
      <w:r w:rsidR="00F1270C">
        <w:t>as being</w:t>
      </w:r>
      <w:r w:rsidR="00F0638A" w:rsidRPr="00F1270C">
        <w:t xml:space="preserve"> </w:t>
      </w:r>
      <w:r w:rsidR="00F1270C">
        <w:t>ineffective</w:t>
      </w:r>
      <w:r w:rsidR="00F1270C" w:rsidRPr="00F1270C">
        <w:t xml:space="preserve"> </w:t>
      </w:r>
      <w:r w:rsidR="00F0638A" w:rsidRPr="00F1270C">
        <w:t xml:space="preserve">as </w:t>
      </w:r>
      <w:r w:rsidR="00A519D9" w:rsidRPr="00F1270C">
        <w:t>they</w:t>
      </w:r>
      <w:r w:rsidR="00A519D9">
        <w:t xml:space="preserve"> didn't </w:t>
      </w:r>
      <w:r w:rsidR="00AE3566">
        <w:t>manage</w:t>
      </w:r>
      <w:r w:rsidR="00A519D9">
        <w:t>, on the basis of these provisions, to prevent the approval of a non-compliant product.</w:t>
      </w:r>
    </w:p>
    <w:p w:rsidR="00B55392" w:rsidRDefault="00255505" w:rsidP="00311466">
      <w:pPr>
        <w:pStyle w:val="SingleTxtG"/>
      </w:pPr>
      <w:r>
        <w:t>16</w:t>
      </w:r>
      <w:r w:rsidR="00AA44B4">
        <w:t>.</w:t>
      </w:r>
      <w:r w:rsidR="00AA44B4">
        <w:tab/>
        <w:t xml:space="preserve">Based on these </w:t>
      </w:r>
      <w:r w:rsidR="00F1270C">
        <w:t>observations</w:t>
      </w:r>
      <w:r w:rsidR="00A519D9">
        <w:t xml:space="preserve">, it is proposed to explore possible ways to best address this uncertainty. </w:t>
      </w:r>
    </w:p>
    <w:p w:rsidR="0078114C" w:rsidRDefault="0078114C" w:rsidP="0078114C">
      <w:pPr>
        <w:pStyle w:val="HMGFG"/>
      </w:pPr>
      <w:r>
        <w:tab/>
        <w:t>A.</w:t>
      </w:r>
      <w:r>
        <w:tab/>
        <w:t>Additional tests, extending the range of the boundary conditions of the specific type approval tests</w:t>
      </w:r>
    </w:p>
    <w:p w:rsidR="00AA36B5" w:rsidRDefault="00255505" w:rsidP="00311466">
      <w:pPr>
        <w:pStyle w:val="SingleTxtG"/>
      </w:pPr>
      <w:r>
        <w:t>17</w:t>
      </w:r>
      <w:r w:rsidR="00582CFF">
        <w:t>.</w:t>
      </w:r>
      <w:r w:rsidR="00582CFF">
        <w:tab/>
      </w:r>
      <w:r w:rsidR="008D1175" w:rsidRPr="00961A60">
        <w:t>I</w:t>
      </w:r>
      <w:r w:rsidR="00582CFF" w:rsidRPr="00961A60">
        <w:t xml:space="preserve">n </w:t>
      </w:r>
      <w:r w:rsidR="00F1270C" w:rsidRPr="00961A60">
        <w:t xml:space="preserve">the </w:t>
      </w:r>
      <w:r w:rsidR="00582CFF" w:rsidRPr="00961A60">
        <w:t xml:space="preserve">case </w:t>
      </w:r>
      <w:r w:rsidR="00F1270C" w:rsidRPr="00961A60">
        <w:t xml:space="preserve">where </w:t>
      </w:r>
      <w:r w:rsidR="008D1175" w:rsidRPr="00961A60">
        <w:t xml:space="preserve">a </w:t>
      </w:r>
      <w:r w:rsidR="00582CFF" w:rsidRPr="00961A60">
        <w:t xml:space="preserve">conformity test </w:t>
      </w:r>
      <w:r w:rsidR="008D1175" w:rsidRPr="00961A60">
        <w:t xml:space="preserve">would be performed for a TPMS system </w:t>
      </w:r>
      <w:r w:rsidR="00582CFF" w:rsidRPr="00961A60">
        <w:t xml:space="preserve">in </w:t>
      </w:r>
      <w:r w:rsidR="00282AC4" w:rsidRPr="00961A60">
        <w:t>condition</w:t>
      </w:r>
      <w:r w:rsidR="00F1270C" w:rsidRPr="00961A60">
        <w:t>s</w:t>
      </w:r>
      <w:r w:rsidR="00582CFF" w:rsidRPr="00961A60">
        <w:t xml:space="preserve"> outside of the boundaries defined by the testing procedure, but in similar conditions to those defined in the testing procedure, can we expect that the system still meet the performance requirements? </w:t>
      </w:r>
      <w:r w:rsidR="00282AC4" w:rsidRPr="00961A60">
        <w:t xml:space="preserve">The answer to this question may be argued, especially in the absence of clarifications in the Regulation. Based on the experience gained from Regulations on emissions, one could propose to clarify the regulation with </w:t>
      </w:r>
      <w:r w:rsidR="00961A60" w:rsidRPr="00961A60">
        <w:t>extended</w:t>
      </w:r>
      <w:r w:rsidR="00582CFF" w:rsidRPr="00961A60">
        <w:t xml:space="preserve"> performance requirements </w:t>
      </w:r>
      <w:r w:rsidR="00961A60" w:rsidRPr="00961A60">
        <w:t>beyond those</w:t>
      </w:r>
      <w:r w:rsidR="00582CFF" w:rsidRPr="00961A60">
        <w:t xml:space="preserve"> defined </w:t>
      </w:r>
      <w:r w:rsidR="00961A60" w:rsidRPr="00961A60">
        <w:t xml:space="preserve">for assessment </w:t>
      </w:r>
      <w:r w:rsidR="00582CFF" w:rsidRPr="00961A60">
        <w:t>in the Type Approval Test(s).</w:t>
      </w:r>
      <w:r w:rsidR="00282AC4">
        <w:t xml:space="preserve"> </w:t>
      </w:r>
    </w:p>
    <w:p w:rsidR="00AA36B5" w:rsidRDefault="00255505" w:rsidP="00311466">
      <w:pPr>
        <w:pStyle w:val="SingleTxtG"/>
      </w:pPr>
      <w:r>
        <w:t>18</w:t>
      </w:r>
      <w:r w:rsidR="00AA36B5">
        <w:t>.</w:t>
      </w:r>
      <w:r w:rsidR="00AA36B5">
        <w:tab/>
        <w:t>Regulation No. 51 (Noise) contains Additional Sound Emissions Provisions ("off cycle" test outside of the test procedure ("cycle") in Annex III)</w:t>
      </w:r>
      <w:r w:rsidR="003B67CD">
        <w:t xml:space="preserve"> as </w:t>
      </w:r>
      <w:r w:rsidR="00AE3566">
        <w:t>software</w:t>
      </w:r>
      <w:r w:rsidR="003B67CD">
        <w:t xml:space="preserve"> could be used to trigger sound reduction exclusively during driving conditions corresponding to those of the type approval test.</w:t>
      </w:r>
    </w:p>
    <w:p w:rsidR="00582CFF" w:rsidRDefault="00255505" w:rsidP="00311466">
      <w:pPr>
        <w:pStyle w:val="SingleTxtG"/>
      </w:pPr>
      <w:r>
        <w:t>19</w:t>
      </w:r>
      <w:r w:rsidR="00282AC4">
        <w:t>.</w:t>
      </w:r>
      <w:r w:rsidR="00282AC4">
        <w:tab/>
        <w:t>In general, testing procedures and the</w:t>
      </w:r>
      <w:r w:rsidR="003B67CD">
        <w:t>ir</w:t>
      </w:r>
      <w:r w:rsidR="00282AC4">
        <w:t xml:space="preserve"> boundary conditions are chosen to reflect typical conditions that reflect the real world use</w:t>
      </w:r>
      <w:r w:rsidR="00936A1C">
        <w:t>, as far as possible</w:t>
      </w:r>
      <w:r w:rsidR="00282AC4">
        <w:t>.</w:t>
      </w:r>
    </w:p>
    <w:p w:rsidR="00582CFF" w:rsidRDefault="00277ACD" w:rsidP="00AA36B5">
      <w:pPr>
        <w:pStyle w:val="SingleTxtG"/>
        <w:jc w:val="center"/>
      </w:pPr>
      <w:r>
        <w:rPr>
          <w:noProof/>
          <w:lang w:val="en-US"/>
        </w:rPr>
        <w:drawing>
          <wp:inline distT="0" distB="0" distL="0" distR="0" wp14:anchorId="6B0CABC7" wp14:editId="6026F16B">
            <wp:extent cx="2435961" cy="12599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36633" cy="1260328"/>
                    </a:xfrm>
                    <a:prstGeom prst="rect">
                      <a:avLst/>
                    </a:prstGeom>
                  </pic:spPr>
                </pic:pic>
              </a:graphicData>
            </a:graphic>
          </wp:inline>
        </w:drawing>
      </w:r>
    </w:p>
    <w:p w:rsidR="00582CFF" w:rsidRDefault="00277ACD" w:rsidP="00311466">
      <w:pPr>
        <w:pStyle w:val="SingleTxtG"/>
      </w:pPr>
      <w:r>
        <w:t>20</w:t>
      </w:r>
      <w:r w:rsidR="0078114C">
        <w:t>.</w:t>
      </w:r>
      <w:r w:rsidR="0078114C">
        <w:tab/>
      </w:r>
      <w:r w:rsidR="00AA36B5">
        <w:t xml:space="preserve">If </w:t>
      </w:r>
      <w:r w:rsidR="00936A1C">
        <w:t>a</w:t>
      </w:r>
      <w:r w:rsidR="00AA36B5">
        <w:t xml:space="preserve"> test </w:t>
      </w:r>
      <w:r w:rsidR="00936A1C">
        <w:t xml:space="preserve">procedure </w:t>
      </w:r>
      <w:r w:rsidR="003B67CD">
        <w:t xml:space="preserve">broadly </w:t>
      </w:r>
      <w:r w:rsidR="00AA36B5">
        <w:t>covers the different possible real situation</w:t>
      </w:r>
      <w:r w:rsidR="004F2ABC">
        <w:t>s</w:t>
      </w:r>
      <w:r w:rsidR="00AE3566">
        <w:t>,</w:t>
      </w:r>
      <w:r w:rsidR="00AA36B5">
        <w:t xml:space="preserve"> additional provisions might have a little impact. </w:t>
      </w:r>
      <w:r w:rsidR="00961A60">
        <w:t>Alternatively</w:t>
      </w:r>
      <w:r w:rsidR="004F2ABC">
        <w:t xml:space="preserve">, if </w:t>
      </w:r>
      <w:r w:rsidR="00AA36B5">
        <w:t xml:space="preserve">the variance </w:t>
      </w:r>
      <w:r w:rsidR="003B67CD">
        <w:t>of real driving situation</w:t>
      </w:r>
      <w:r w:rsidR="004F2ABC">
        <w:t>s</w:t>
      </w:r>
      <w:r w:rsidR="003B67CD">
        <w:t xml:space="preserve"> </w:t>
      </w:r>
      <w:r w:rsidR="00AA36B5">
        <w:t xml:space="preserve">is </w:t>
      </w:r>
      <w:r w:rsidR="00AE3566">
        <w:t xml:space="preserve">high and is </w:t>
      </w:r>
      <w:r w:rsidR="004F2ABC">
        <w:t>poorly</w:t>
      </w:r>
      <w:r w:rsidR="00AE3566">
        <w:t xml:space="preserve"> covered by the conditions tested</w:t>
      </w:r>
      <w:r w:rsidR="006C4204">
        <w:t>,</w:t>
      </w:r>
      <w:r w:rsidR="00AA36B5">
        <w:t xml:space="preserve"> the test procedure might need to be complemented by additional provisions</w:t>
      </w:r>
      <w:r w:rsidR="004F2ABC">
        <w:t xml:space="preserve"> </w:t>
      </w:r>
      <w:r w:rsidR="00AA36B5">
        <w:t xml:space="preserve">to cover most of the relevant real world situations. </w:t>
      </w:r>
    </w:p>
    <w:p w:rsidR="0078114C" w:rsidRDefault="0078114C" w:rsidP="0078114C">
      <w:pPr>
        <w:pStyle w:val="HMGFG"/>
      </w:pPr>
      <w:r>
        <w:tab/>
        <w:t>B.</w:t>
      </w:r>
      <w:r>
        <w:tab/>
        <w:t>Additional provision</w:t>
      </w:r>
      <w:r w:rsidR="003B67CD">
        <w:t>s</w:t>
      </w:r>
      <w:r>
        <w:t xml:space="preserve"> addressing other aspects than those covered by the type approval tests</w:t>
      </w:r>
      <w:r w:rsidR="008D1175">
        <w:t xml:space="preserve"> that address software performance</w:t>
      </w:r>
    </w:p>
    <w:p w:rsidR="00582CFF" w:rsidRDefault="00277ACD" w:rsidP="00AF15D4">
      <w:pPr>
        <w:pStyle w:val="SingleTxtG"/>
      </w:pPr>
      <w:r>
        <w:t>21</w:t>
      </w:r>
      <w:r w:rsidR="00AA36B5">
        <w:t>.</w:t>
      </w:r>
      <w:r w:rsidR="00AA36B5">
        <w:tab/>
      </w:r>
      <w:r w:rsidR="002D2495">
        <w:t xml:space="preserve">Regulations </w:t>
      </w:r>
      <w:r w:rsidR="00A37944">
        <w:t xml:space="preserve">Nos. </w:t>
      </w:r>
      <w:r w:rsidR="002D2495">
        <w:t>13</w:t>
      </w:r>
      <w:r w:rsidR="005F6733">
        <w:t>, 13</w:t>
      </w:r>
      <w:r w:rsidR="00253743">
        <w:t>-</w:t>
      </w:r>
      <w:r w:rsidR="005F6733">
        <w:t>H</w:t>
      </w:r>
      <w:r w:rsidR="002D2495">
        <w:t xml:space="preserve"> and 79 </w:t>
      </w:r>
      <w:r w:rsidR="004F2ABC">
        <w:t>contain specific</w:t>
      </w:r>
      <w:r w:rsidR="002D2495">
        <w:t xml:space="preserve"> </w:t>
      </w:r>
      <w:r w:rsidR="004F2ABC">
        <w:t xml:space="preserve">provisions for the </w:t>
      </w:r>
      <w:r w:rsidR="002D2495">
        <w:t>assess</w:t>
      </w:r>
      <w:r w:rsidR="004F2ABC">
        <w:t>ment of Complex</w:t>
      </w:r>
      <w:r w:rsidR="002D2495">
        <w:t xml:space="preserve"> </w:t>
      </w:r>
      <w:r w:rsidR="002F1983">
        <w:t>E</w:t>
      </w:r>
      <w:r w:rsidR="004F2ABC">
        <w:t>l</w:t>
      </w:r>
      <w:r w:rsidR="002D2495">
        <w:t xml:space="preserve">ectronic </w:t>
      </w:r>
      <w:r w:rsidR="004F2ABC">
        <w:t xml:space="preserve">(CEL) </w:t>
      </w:r>
      <w:r w:rsidR="002D2495">
        <w:t>systems.</w:t>
      </w:r>
      <w:r w:rsidR="00A37944">
        <w:t xml:space="preserve"> </w:t>
      </w:r>
      <w:r w:rsidR="00BC5035">
        <w:t xml:space="preserve">The type approval tests verify the overall performance of the given system but can't provide sufficient performance verifications </w:t>
      </w:r>
      <w:r w:rsidR="00AE3566">
        <w:t>of</w:t>
      </w:r>
      <w:r w:rsidR="00BC5035">
        <w:t xml:space="preserve"> all sub-functions of </w:t>
      </w:r>
      <w:r w:rsidR="004F2ABC">
        <w:t xml:space="preserve">a </w:t>
      </w:r>
      <w:r w:rsidR="00BC5035">
        <w:t xml:space="preserve">complex electronic system. Therefore the Regulation requests from the applicant, in addition to the documentation and the type approval tests, the application of the CEL Annex which corresponds to </w:t>
      </w:r>
      <w:r w:rsidR="00D46545">
        <w:t xml:space="preserve">a </w:t>
      </w:r>
      <w:r w:rsidR="00BC5035">
        <w:t xml:space="preserve">functional safety </w:t>
      </w:r>
      <w:r w:rsidR="00D46545">
        <w:t>requirements</w:t>
      </w:r>
      <w:r w:rsidR="00BC5035">
        <w:t xml:space="preserve"> and </w:t>
      </w:r>
      <w:r w:rsidR="00AA44B4">
        <w:t xml:space="preserve">a </w:t>
      </w:r>
      <w:r w:rsidR="00BC5035">
        <w:t xml:space="preserve">verification test with a simulated </w:t>
      </w:r>
      <w:r w:rsidR="004F2ABC">
        <w:t>malfunction</w:t>
      </w:r>
      <w:r w:rsidR="00D46545">
        <w:t xml:space="preserve"> /faulty</w:t>
      </w:r>
      <w:r w:rsidR="00BC5035">
        <w:t>.</w:t>
      </w:r>
    </w:p>
    <w:p w:rsidR="0078114C" w:rsidRDefault="003B67CD" w:rsidP="00AF15D4">
      <w:pPr>
        <w:pStyle w:val="SingleTxtG"/>
      </w:pPr>
      <w:r w:rsidRPr="00AF15D4">
        <w:rPr>
          <w:i/>
        </w:rPr>
        <w:t>Note:</w:t>
      </w:r>
      <w:r>
        <w:t xml:space="preserve"> </w:t>
      </w:r>
      <w:r w:rsidR="004F2ABC">
        <w:t xml:space="preserve">The </w:t>
      </w:r>
      <w:r w:rsidR="0078114C">
        <w:t xml:space="preserve">TPMS malfunction </w:t>
      </w:r>
      <w:r w:rsidR="004F2ABC">
        <w:t>is</w:t>
      </w:r>
      <w:r w:rsidR="0078114C">
        <w:t xml:space="preserve"> </w:t>
      </w:r>
      <w:r w:rsidR="00AF15D4">
        <w:t xml:space="preserve">already </w:t>
      </w:r>
      <w:r w:rsidR="0078114C">
        <w:t>covered by specific requirements</w:t>
      </w:r>
      <w:r w:rsidR="004F2ABC">
        <w:t xml:space="preserve"> differing from the Complex Electronic systems Annex</w:t>
      </w:r>
      <w:r w:rsidR="00AA44B4">
        <w:t>.</w:t>
      </w:r>
    </w:p>
    <w:p w:rsidR="0078114C" w:rsidRDefault="0078114C" w:rsidP="0078114C">
      <w:pPr>
        <w:pStyle w:val="HMGFG"/>
      </w:pPr>
      <w:r>
        <w:lastRenderedPageBreak/>
        <w:tab/>
        <w:t>C.</w:t>
      </w:r>
      <w:r>
        <w:tab/>
      </w:r>
      <w:r w:rsidRPr="00255505">
        <w:rPr>
          <w:i/>
        </w:rPr>
        <w:t>General provisions</w:t>
      </w:r>
      <w:r w:rsidR="00A07A36">
        <w:t xml:space="preserve"> with clarification of their purpose</w:t>
      </w:r>
    </w:p>
    <w:p w:rsidR="003B67CD" w:rsidRDefault="00277ACD" w:rsidP="00311466">
      <w:pPr>
        <w:pStyle w:val="SingleTxtG"/>
      </w:pPr>
      <w:r>
        <w:t>22</w:t>
      </w:r>
      <w:r w:rsidR="0078114C">
        <w:t>.</w:t>
      </w:r>
      <w:r w:rsidR="0078114C">
        <w:tab/>
      </w:r>
      <w:r w:rsidR="0003358C" w:rsidRPr="00961A60">
        <w:t>Despite the comments above</w:t>
      </w:r>
      <w:r w:rsidR="0003358C">
        <w:t>, g</w:t>
      </w:r>
      <w:r w:rsidR="0078114C" w:rsidRPr="00255505">
        <w:rPr>
          <w:i/>
        </w:rPr>
        <w:t>eneral provisions</w:t>
      </w:r>
      <w:r w:rsidR="0078114C">
        <w:t xml:space="preserve"> </w:t>
      </w:r>
      <w:r w:rsidR="0078114C" w:rsidRPr="00961A60">
        <w:t xml:space="preserve">without </w:t>
      </w:r>
      <w:r w:rsidR="00936A1C" w:rsidRPr="00961A60">
        <w:t xml:space="preserve">specified </w:t>
      </w:r>
      <w:r w:rsidR="00A07A36" w:rsidRPr="00961A60">
        <w:t xml:space="preserve">practical </w:t>
      </w:r>
      <w:r w:rsidR="00961A60">
        <w:t xml:space="preserve">assessment </w:t>
      </w:r>
      <w:r w:rsidR="0078114C">
        <w:t xml:space="preserve">may be </w:t>
      </w:r>
      <w:r w:rsidR="00A07A36">
        <w:t>inserted</w:t>
      </w:r>
      <w:r w:rsidR="0078114C">
        <w:t xml:space="preserve"> </w:t>
      </w:r>
      <w:r w:rsidR="00936A1C">
        <w:t xml:space="preserve">in regulations </w:t>
      </w:r>
      <w:r w:rsidR="0078114C">
        <w:t xml:space="preserve">to specify </w:t>
      </w:r>
      <w:r w:rsidR="003B67CD">
        <w:t xml:space="preserve">the intention of the </w:t>
      </w:r>
      <w:r w:rsidR="0003358C">
        <w:t>r</w:t>
      </w:r>
      <w:r w:rsidR="00E130FA">
        <w:t>egulation</w:t>
      </w:r>
      <w:r w:rsidR="003B67CD">
        <w:t xml:space="preserve">, as it was proposed for </w:t>
      </w:r>
      <w:r w:rsidR="003B67CD" w:rsidRPr="00961A60">
        <w:t>TPMS</w:t>
      </w:r>
      <w:r w:rsidR="00A07A36" w:rsidRPr="00961A60">
        <w:t xml:space="preserve">. </w:t>
      </w:r>
      <w:r w:rsidR="00961A60">
        <w:t>However,</w:t>
      </w:r>
      <w:r w:rsidR="00961A60" w:rsidRPr="00961A60">
        <w:t xml:space="preserve"> </w:t>
      </w:r>
      <w:r w:rsidR="0003358C" w:rsidRPr="00961A60">
        <w:t>i</w:t>
      </w:r>
      <w:r w:rsidR="00A07A36" w:rsidRPr="00961A60">
        <w:t>deally</w:t>
      </w:r>
      <w:r w:rsidR="00A07A36">
        <w:t xml:space="preserve"> they </w:t>
      </w:r>
      <w:r w:rsidR="00961A60">
        <w:t xml:space="preserve">would </w:t>
      </w:r>
      <w:r w:rsidR="00A07A36">
        <w:t xml:space="preserve">be complemented </w:t>
      </w:r>
      <w:r w:rsidR="00255505">
        <w:t>by a</w:t>
      </w:r>
      <w:r w:rsidR="00A07A36">
        <w:t xml:space="preserve"> clarification about their purpose.</w:t>
      </w:r>
    </w:p>
    <w:p w:rsidR="0003358C" w:rsidRDefault="00277ACD" w:rsidP="00311466">
      <w:pPr>
        <w:pStyle w:val="SingleTxtG"/>
      </w:pPr>
      <w:r>
        <w:t>23</w:t>
      </w:r>
      <w:r w:rsidR="003B67CD">
        <w:t>.</w:t>
      </w:r>
      <w:r w:rsidR="003B67CD">
        <w:tab/>
      </w:r>
      <w:r w:rsidR="00E130FA">
        <w:t>In order to reduce the uncertainty related to their application by technical services and type approval authorities</w:t>
      </w:r>
      <w:r w:rsidR="003B67CD">
        <w:t>,</w:t>
      </w:r>
      <w:r w:rsidR="00E130FA">
        <w:t xml:space="preserve"> </w:t>
      </w:r>
      <w:r w:rsidR="003B67CD">
        <w:t>t</w:t>
      </w:r>
      <w:r w:rsidR="00E130FA">
        <w:t>he Regulato</w:t>
      </w:r>
      <w:r w:rsidR="008F18D4">
        <w:t>r may wish to</w:t>
      </w:r>
      <w:r w:rsidR="00E130FA">
        <w:t xml:space="preserve"> </w:t>
      </w:r>
      <w:r w:rsidR="004F2ABC">
        <w:t>clarify</w:t>
      </w:r>
      <w:r w:rsidR="003B67CD">
        <w:t xml:space="preserve"> that the approval granted doesn't certify th</w:t>
      </w:r>
      <w:r w:rsidR="00255505">
        <w:t xml:space="preserve">e compliance with this </w:t>
      </w:r>
      <w:r w:rsidR="0003358C">
        <w:t xml:space="preserve">general </w:t>
      </w:r>
      <w:r w:rsidR="00255505" w:rsidRPr="002F509B">
        <w:rPr>
          <w:i/>
        </w:rPr>
        <w:t>provision</w:t>
      </w:r>
      <w:r w:rsidR="00255505">
        <w:t xml:space="preserve"> </w:t>
      </w:r>
      <w:r w:rsidR="008F18D4">
        <w:t>and is not subject to verification during the type approval process</w:t>
      </w:r>
      <w:r w:rsidR="003B67CD">
        <w:t>. The Regulato</w:t>
      </w:r>
      <w:r w:rsidR="008F18D4">
        <w:t>r</w:t>
      </w:r>
      <w:r w:rsidR="003B67CD">
        <w:t xml:space="preserve"> would </w:t>
      </w:r>
      <w:r w:rsidR="00E130FA">
        <w:t>not specify the way to verify the compliance with these provisions</w:t>
      </w:r>
      <w:r w:rsidR="004F2ABC">
        <w:t xml:space="preserve"> but</w:t>
      </w:r>
      <w:r w:rsidR="00E130FA">
        <w:t xml:space="preserve"> </w:t>
      </w:r>
      <w:r w:rsidR="003B67CD">
        <w:t>would specify t</w:t>
      </w:r>
      <w:r w:rsidR="00E130FA">
        <w:t xml:space="preserve">he intention </w:t>
      </w:r>
      <w:r w:rsidR="004F2ABC">
        <w:t>of</w:t>
      </w:r>
      <w:r w:rsidR="00E130FA">
        <w:t xml:space="preserve"> these provisions, i.e. for compliance enforcement issue</w:t>
      </w:r>
      <w:r w:rsidR="008F18D4">
        <w:t>s</w:t>
      </w:r>
      <w:r w:rsidR="00E130FA">
        <w:t xml:space="preserve">. If proven that </w:t>
      </w:r>
      <w:r w:rsidR="008F18D4">
        <w:t>a given</w:t>
      </w:r>
      <w:r w:rsidR="00E130FA">
        <w:t xml:space="preserve"> product doesn't comply with the </w:t>
      </w:r>
      <w:r w:rsidR="00E130FA" w:rsidRPr="00A07A36">
        <w:rPr>
          <w:i/>
        </w:rPr>
        <w:t>general provision</w:t>
      </w:r>
      <w:r w:rsidR="008F18D4">
        <w:t xml:space="preserve"> </w:t>
      </w:r>
      <w:r w:rsidR="00255505">
        <w:t>(</w:t>
      </w:r>
      <w:r w:rsidR="008F18D4">
        <w:t>e.g. due to the use of a software circumventing the Regulation</w:t>
      </w:r>
      <w:r w:rsidR="00255505">
        <w:t>)</w:t>
      </w:r>
      <w:r w:rsidR="00E130FA">
        <w:t xml:space="preserve">, </w:t>
      </w:r>
      <w:r w:rsidR="008F18D4">
        <w:t>provision</w:t>
      </w:r>
      <w:r w:rsidR="004F2ABC">
        <w:t>s</w:t>
      </w:r>
      <w:r w:rsidR="008F18D4">
        <w:t xml:space="preserve"> of the Regulation</w:t>
      </w:r>
      <w:r w:rsidR="00E130FA">
        <w:t xml:space="preserve"> </w:t>
      </w:r>
      <w:r w:rsidR="00255505">
        <w:t>may</w:t>
      </w:r>
      <w:r w:rsidR="00E130FA">
        <w:t xml:space="preserve"> clarify that the </w:t>
      </w:r>
      <w:r w:rsidR="002F509B">
        <w:t xml:space="preserve">Type </w:t>
      </w:r>
      <w:r w:rsidR="00E130FA">
        <w:t xml:space="preserve">Approval could be withdrawn, that a recall could be </w:t>
      </w:r>
      <w:r w:rsidR="008F18D4">
        <w:t>initiated</w:t>
      </w:r>
      <w:r w:rsidR="00E130FA">
        <w:t xml:space="preserve"> or that penalties defined by international, regional of national regulations/laws may apply</w:t>
      </w:r>
      <w:r w:rsidR="00255505">
        <w:t>.</w:t>
      </w:r>
      <w:r w:rsidR="002F509B">
        <w:t xml:space="preserve"> </w:t>
      </w:r>
    </w:p>
    <w:p w:rsidR="0018243B" w:rsidRDefault="0003358C" w:rsidP="00311466">
      <w:pPr>
        <w:pStyle w:val="SingleTxtG"/>
      </w:pPr>
      <w:r>
        <w:t>24.</w:t>
      </w:r>
      <w:r>
        <w:tab/>
      </w:r>
      <w:r w:rsidR="00A07A36">
        <w:t xml:space="preserve">In order to keep </w:t>
      </w:r>
      <w:r>
        <w:t xml:space="preserve">these </w:t>
      </w:r>
      <w:r w:rsidRPr="0003358C">
        <w:rPr>
          <w:i/>
        </w:rPr>
        <w:t>general provisions</w:t>
      </w:r>
      <w:r w:rsidR="00A07A36">
        <w:t xml:space="preserve"> </w:t>
      </w:r>
      <w:r>
        <w:t xml:space="preserve">consistent </w:t>
      </w:r>
      <w:r w:rsidR="00A07A36">
        <w:t xml:space="preserve">with the usual practices </w:t>
      </w:r>
      <w:r w:rsidR="00255505">
        <w:t>within</w:t>
      </w:r>
      <w:r w:rsidR="00A07A36">
        <w:t xml:space="preserve"> the Type Approval</w:t>
      </w:r>
      <w:r w:rsidR="002F509B">
        <w:t xml:space="preserve"> p</w:t>
      </w:r>
      <w:r w:rsidR="00255505">
        <w:t>rocess</w:t>
      </w:r>
      <w:r w:rsidR="00A07A36">
        <w:t xml:space="preserve">, </w:t>
      </w:r>
      <w:r>
        <w:t xml:space="preserve">it is proposed that </w:t>
      </w:r>
      <w:r w:rsidR="00A07A36">
        <w:t xml:space="preserve">the information document may contain an item </w:t>
      </w:r>
      <w:r w:rsidR="00255505">
        <w:t>stating</w:t>
      </w:r>
      <w:r w:rsidR="00A07A36">
        <w:t xml:space="preserve"> that the </w:t>
      </w:r>
      <w:r>
        <w:t xml:space="preserve">whole </w:t>
      </w:r>
      <w:r w:rsidR="00A07A36">
        <w:t xml:space="preserve">vehicle </w:t>
      </w:r>
      <w:r>
        <w:t xml:space="preserve">type </w:t>
      </w:r>
      <w:r w:rsidR="00A07A36">
        <w:t xml:space="preserve">complies with the said </w:t>
      </w:r>
      <w:r w:rsidR="00A07A36" w:rsidRPr="00A07A36">
        <w:rPr>
          <w:i/>
        </w:rPr>
        <w:t>general provision</w:t>
      </w:r>
      <w:r w:rsidR="006C4204">
        <w:t>.</w:t>
      </w:r>
    </w:p>
    <w:p w:rsidR="00252A60" w:rsidRPr="00252A60" w:rsidRDefault="00252A60" w:rsidP="00252A60">
      <w:pPr>
        <w:pStyle w:val="SingleTxtG"/>
        <w:spacing w:before="240" w:after="0"/>
        <w:jc w:val="center"/>
        <w:rPr>
          <w:rFonts w:hAnsi="Times New Roman" w:cs="Times New Roman"/>
          <w:u w:val="single"/>
        </w:rPr>
      </w:pPr>
      <w:r>
        <w:rPr>
          <w:u w:val="single"/>
        </w:rPr>
        <w:tab/>
      </w:r>
      <w:r>
        <w:rPr>
          <w:u w:val="single"/>
        </w:rPr>
        <w:tab/>
      </w:r>
      <w:r>
        <w:rPr>
          <w:u w:val="single"/>
        </w:rPr>
        <w:tab/>
      </w:r>
    </w:p>
    <w:sectPr w:rsidR="00252A60" w:rsidRPr="00252A60" w:rsidSect="00BD7D15">
      <w:footerReference w:type="even" r:id="rId9"/>
      <w:footerReference w:type="default" r:id="rId10"/>
      <w:headerReference w:type="first" r:id="rId11"/>
      <w:footerReference w:type="first" r:id="rId12"/>
      <w:pgSz w:w="11900" w:h="16840"/>
      <w:pgMar w:top="1134" w:right="1106" w:bottom="1134" w:left="1134" w:header="567" w:footer="19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3DE" w:rsidRDefault="00FE63DE">
      <w:r>
        <w:separator/>
      </w:r>
    </w:p>
  </w:endnote>
  <w:endnote w:type="continuationSeparator" w:id="0">
    <w:p w:rsidR="00FE63DE" w:rsidRDefault="00FE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7365B2">
      <w:rPr>
        <w:b/>
        <w:bCs/>
        <w:noProof/>
        <w:sz w:val="18"/>
        <w:szCs w:val="18"/>
      </w:rPr>
      <w:t>4</w:t>
    </w:r>
    <w:r>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52" w:rsidRDefault="00941F4B" w:rsidP="00A13680">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7365B2">
      <w:rPr>
        <w:b/>
        <w:bCs/>
        <w:noProof/>
        <w:sz w:val="18"/>
        <w:szCs w:val="18"/>
      </w:rPr>
      <w:t>3</w:t>
    </w:r>
    <w:r>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7365B2">
      <w:rPr>
        <w:b/>
        <w:bCs/>
        <w:noProof/>
        <w:sz w:val="18"/>
        <w:szCs w:val="18"/>
      </w:rPr>
      <w:t>1</w:t>
    </w:r>
    <w:r>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3DE" w:rsidRDefault="00FE63DE">
      <w:r>
        <w:separator/>
      </w:r>
    </w:p>
  </w:footnote>
  <w:footnote w:type="continuationSeparator" w:id="0">
    <w:p w:rsidR="00FE63DE" w:rsidRDefault="00FE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000" w:firstRow="0" w:lastRow="0" w:firstColumn="0" w:lastColumn="0" w:noHBand="0" w:noVBand="0"/>
    </w:tblPr>
    <w:tblGrid>
      <w:gridCol w:w="4536"/>
      <w:gridCol w:w="5103"/>
    </w:tblGrid>
    <w:tr w:rsidR="00517952" w:rsidRPr="00FB298B">
      <w:tc>
        <w:tcPr>
          <w:tcW w:w="4536" w:type="dxa"/>
          <w:vAlign w:val="center"/>
        </w:tcPr>
        <w:p w:rsidR="00517952" w:rsidRPr="002F1983" w:rsidRDefault="00253743" w:rsidP="002F1983">
          <w:pPr>
            <w:tabs>
              <w:tab w:val="center" w:pos="4677"/>
              <w:tab w:val="right" w:pos="9355"/>
            </w:tabs>
            <w:ind w:left="601" w:hanging="108"/>
            <w:rPr>
              <w:sz w:val="20"/>
              <w:szCs w:val="20"/>
              <w:lang w:val="en-TT" w:eastAsia="ar-SA"/>
            </w:rPr>
          </w:pPr>
          <w:r w:rsidRPr="002F1983">
            <w:rPr>
              <w:sz w:val="20"/>
              <w:szCs w:val="20"/>
              <w:lang w:val="en-TT" w:eastAsia="ar-SA"/>
            </w:rPr>
            <w:t>Note by the secretariat</w:t>
          </w:r>
        </w:p>
      </w:tc>
      <w:tc>
        <w:tcPr>
          <w:tcW w:w="5103" w:type="dxa"/>
        </w:tcPr>
        <w:p w:rsidR="00517952" w:rsidRPr="00936A1C" w:rsidRDefault="00517952" w:rsidP="005C2979">
          <w:pPr>
            <w:ind w:left="1168" w:right="-108"/>
            <w:rPr>
              <w:b/>
              <w:bCs/>
              <w:sz w:val="20"/>
              <w:szCs w:val="20"/>
              <w:lang w:val="fr-CH" w:eastAsia="ar-SA"/>
            </w:rPr>
          </w:pPr>
          <w:r w:rsidRPr="00936A1C">
            <w:rPr>
              <w:sz w:val="20"/>
              <w:szCs w:val="20"/>
              <w:u w:val="single"/>
              <w:lang w:val="fr-CH" w:eastAsia="ar-SA"/>
            </w:rPr>
            <w:t>Informal document</w:t>
          </w:r>
          <w:r w:rsidR="00253743" w:rsidRPr="00936A1C">
            <w:rPr>
              <w:sz w:val="20"/>
              <w:szCs w:val="20"/>
              <w:u w:val="single"/>
              <w:lang w:val="fr-CH" w:eastAsia="ar-SA"/>
            </w:rPr>
            <w:t xml:space="preserve"> </w:t>
          </w:r>
          <w:r w:rsidR="008B3FED">
            <w:rPr>
              <w:b/>
              <w:bCs/>
              <w:sz w:val="20"/>
              <w:szCs w:val="20"/>
              <w:lang w:val="fr-CH" w:eastAsia="ar-SA"/>
            </w:rPr>
            <w:t>WP.29-169-13</w:t>
          </w:r>
        </w:p>
        <w:p w:rsidR="00517952" w:rsidRPr="008B3FED" w:rsidRDefault="008B3FED" w:rsidP="008B3FED">
          <w:pPr>
            <w:tabs>
              <w:tab w:val="center" w:pos="4677"/>
              <w:tab w:val="right" w:pos="9355"/>
            </w:tabs>
            <w:ind w:left="1168"/>
            <w:rPr>
              <w:sz w:val="20"/>
              <w:szCs w:val="20"/>
              <w:lang w:val="en-TT" w:eastAsia="ar-SA"/>
            </w:rPr>
          </w:pPr>
          <w:r w:rsidRPr="008B3FED">
            <w:rPr>
              <w:sz w:val="20"/>
              <w:szCs w:val="20"/>
              <w:lang w:val="pt-BR"/>
            </w:rPr>
            <w:t>(169</w:t>
          </w:r>
          <w:r w:rsidRPr="008B3FED">
            <w:rPr>
              <w:sz w:val="20"/>
              <w:szCs w:val="20"/>
              <w:vertAlign w:val="superscript"/>
              <w:lang w:val="pt-BR"/>
            </w:rPr>
            <w:t>th</w:t>
          </w:r>
          <w:r w:rsidRPr="008B3FED">
            <w:rPr>
              <w:sz w:val="20"/>
              <w:szCs w:val="20"/>
              <w:lang w:val="pt-BR"/>
            </w:rPr>
            <w:t xml:space="preserve"> WP.29, 21-24 June 2016,</w:t>
          </w:r>
          <w:r w:rsidRPr="008B3FED">
            <w:rPr>
              <w:sz w:val="20"/>
              <w:szCs w:val="20"/>
              <w:lang w:val="pt-BR"/>
            </w:rPr>
            <w:br/>
            <w:t xml:space="preserve">agenda item </w:t>
          </w:r>
          <w:r>
            <w:rPr>
              <w:sz w:val="20"/>
              <w:szCs w:val="20"/>
              <w:lang w:val="pt-BR"/>
            </w:rPr>
            <w:t>8.6</w:t>
          </w:r>
          <w:r w:rsidRPr="008B3FED">
            <w:rPr>
              <w:sz w:val="20"/>
              <w:szCs w:val="20"/>
              <w:lang w:val="pt-BR"/>
            </w:rPr>
            <w:t>)</w:t>
          </w:r>
        </w:p>
      </w:tc>
    </w:tr>
  </w:tbl>
  <w:p w:rsidR="00517952" w:rsidRPr="00E739E6" w:rsidRDefault="00517952" w:rsidP="00E73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54D71"/>
    <w:multiLevelType w:val="multilevel"/>
    <w:tmpl w:val="52889FBC"/>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 w15:restartNumberingAfterBreak="0">
    <w:nsid w:val="38A00922"/>
    <w:multiLevelType w:val="multilevel"/>
    <w:tmpl w:val="FD927360"/>
    <w:styleLink w:val="List0"/>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abstractNum w:abstractNumId="2" w15:restartNumberingAfterBreak="0">
    <w:nsid w:val="536A4C4D"/>
    <w:multiLevelType w:val="multilevel"/>
    <w:tmpl w:val="E8EE808E"/>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F31C2"/>
    <w:rsid w:val="00020E28"/>
    <w:rsid w:val="0003358C"/>
    <w:rsid w:val="0007080D"/>
    <w:rsid w:val="0008245F"/>
    <w:rsid w:val="00115110"/>
    <w:rsid w:val="00133137"/>
    <w:rsid w:val="00136D62"/>
    <w:rsid w:val="00145F35"/>
    <w:rsid w:val="0016141C"/>
    <w:rsid w:val="001737B5"/>
    <w:rsid w:val="0018243B"/>
    <w:rsid w:val="001A3F9E"/>
    <w:rsid w:val="001A496C"/>
    <w:rsid w:val="001C5684"/>
    <w:rsid w:val="001D7DCE"/>
    <w:rsid w:val="001F31C2"/>
    <w:rsid w:val="00206634"/>
    <w:rsid w:val="00252A60"/>
    <w:rsid w:val="0025310D"/>
    <w:rsid w:val="00253743"/>
    <w:rsid w:val="00255505"/>
    <w:rsid w:val="00261BE4"/>
    <w:rsid w:val="0027237B"/>
    <w:rsid w:val="00277ACD"/>
    <w:rsid w:val="002811C2"/>
    <w:rsid w:val="00282AC4"/>
    <w:rsid w:val="002B4F25"/>
    <w:rsid w:val="002D09F6"/>
    <w:rsid w:val="002D2495"/>
    <w:rsid w:val="002F1983"/>
    <w:rsid w:val="002F27D5"/>
    <w:rsid w:val="002F509B"/>
    <w:rsid w:val="00301432"/>
    <w:rsid w:val="00311466"/>
    <w:rsid w:val="00320D3A"/>
    <w:rsid w:val="00336BFA"/>
    <w:rsid w:val="0035316F"/>
    <w:rsid w:val="003605B4"/>
    <w:rsid w:val="00370B7C"/>
    <w:rsid w:val="003B67CD"/>
    <w:rsid w:val="003C191F"/>
    <w:rsid w:val="003D317E"/>
    <w:rsid w:val="004576B5"/>
    <w:rsid w:val="004704C4"/>
    <w:rsid w:val="004933FC"/>
    <w:rsid w:val="00495828"/>
    <w:rsid w:val="00495FD8"/>
    <w:rsid w:val="004A61F6"/>
    <w:rsid w:val="004D4762"/>
    <w:rsid w:val="004F2ABC"/>
    <w:rsid w:val="00517952"/>
    <w:rsid w:val="00544FED"/>
    <w:rsid w:val="00582CFF"/>
    <w:rsid w:val="0059060C"/>
    <w:rsid w:val="005B32AC"/>
    <w:rsid w:val="005C2979"/>
    <w:rsid w:val="005C2A1B"/>
    <w:rsid w:val="005C4A93"/>
    <w:rsid w:val="005E1BF6"/>
    <w:rsid w:val="005F6733"/>
    <w:rsid w:val="0061053C"/>
    <w:rsid w:val="00611C76"/>
    <w:rsid w:val="00672228"/>
    <w:rsid w:val="00676C58"/>
    <w:rsid w:val="006A5BAA"/>
    <w:rsid w:val="006B1DE1"/>
    <w:rsid w:val="006C1B93"/>
    <w:rsid w:val="006C4204"/>
    <w:rsid w:val="006D6C52"/>
    <w:rsid w:val="00731D71"/>
    <w:rsid w:val="007365B2"/>
    <w:rsid w:val="0077066C"/>
    <w:rsid w:val="0078114C"/>
    <w:rsid w:val="007846AE"/>
    <w:rsid w:val="00791AB8"/>
    <w:rsid w:val="0079578C"/>
    <w:rsid w:val="007A7ECB"/>
    <w:rsid w:val="007B025E"/>
    <w:rsid w:val="007D4915"/>
    <w:rsid w:val="00846F55"/>
    <w:rsid w:val="00872F30"/>
    <w:rsid w:val="008B3505"/>
    <w:rsid w:val="008B3FED"/>
    <w:rsid w:val="008C631A"/>
    <w:rsid w:val="008D1175"/>
    <w:rsid w:val="008F11BF"/>
    <w:rsid w:val="008F18D4"/>
    <w:rsid w:val="00907D66"/>
    <w:rsid w:val="00911AE2"/>
    <w:rsid w:val="0091475E"/>
    <w:rsid w:val="0091798A"/>
    <w:rsid w:val="00924D89"/>
    <w:rsid w:val="009360DE"/>
    <w:rsid w:val="00936A1C"/>
    <w:rsid w:val="00941F4B"/>
    <w:rsid w:val="00950638"/>
    <w:rsid w:val="00961A60"/>
    <w:rsid w:val="009810DA"/>
    <w:rsid w:val="00990389"/>
    <w:rsid w:val="009C2BA8"/>
    <w:rsid w:val="009D0F05"/>
    <w:rsid w:val="009E60EE"/>
    <w:rsid w:val="00A07A36"/>
    <w:rsid w:val="00A13680"/>
    <w:rsid w:val="00A13B0D"/>
    <w:rsid w:val="00A231A0"/>
    <w:rsid w:val="00A37944"/>
    <w:rsid w:val="00A44EF0"/>
    <w:rsid w:val="00A519D9"/>
    <w:rsid w:val="00A64DD8"/>
    <w:rsid w:val="00A726BB"/>
    <w:rsid w:val="00A76BB7"/>
    <w:rsid w:val="00A90DB0"/>
    <w:rsid w:val="00A95562"/>
    <w:rsid w:val="00AA36B5"/>
    <w:rsid w:val="00AA44B4"/>
    <w:rsid w:val="00AB01A9"/>
    <w:rsid w:val="00AB6D38"/>
    <w:rsid w:val="00AE3566"/>
    <w:rsid w:val="00AE7BAC"/>
    <w:rsid w:val="00AF15D4"/>
    <w:rsid w:val="00AF469B"/>
    <w:rsid w:val="00B16AB2"/>
    <w:rsid w:val="00B55392"/>
    <w:rsid w:val="00B55998"/>
    <w:rsid w:val="00B62FFA"/>
    <w:rsid w:val="00B8760B"/>
    <w:rsid w:val="00B952E4"/>
    <w:rsid w:val="00BB4392"/>
    <w:rsid w:val="00BB4465"/>
    <w:rsid w:val="00BC5035"/>
    <w:rsid w:val="00BD7D15"/>
    <w:rsid w:val="00C03D76"/>
    <w:rsid w:val="00C37696"/>
    <w:rsid w:val="00C401C7"/>
    <w:rsid w:val="00C84F02"/>
    <w:rsid w:val="00CA7BF5"/>
    <w:rsid w:val="00CC54A9"/>
    <w:rsid w:val="00CF0FEF"/>
    <w:rsid w:val="00CF5DFA"/>
    <w:rsid w:val="00D12250"/>
    <w:rsid w:val="00D146BC"/>
    <w:rsid w:val="00D148B0"/>
    <w:rsid w:val="00D31719"/>
    <w:rsid w:val="00D3515B"/>
    <w:rsid w:val="00D409DA"/>
    <w:rsid w:val="00D46545"/>
    <w:rsid w:val="00D86B4F"/>
    <w:rsid w:val="00D90A3E"/>
    <w:rsid w:val="00DB3224"/>
    <w:rsid w:val="00DE2858"/>
    <w:rsid w:val="00DE3F8A"/>
    <w:rsid w:val="00DF7461"/>
    <w:rsid w:val="00E04E34"/>
    <w:rsid w:val="00E130FA"/>
    <w:rsid w:val="00E22697"/>
    <w:rsid w:val="00E27C23"/>
    <w:rsid w:val="00E430C3"/>
    <w:rsid w:val="00E457D4"/>
    <w:rsid w:val="00E739E6"/>
    <w:rsid w:val="00EC4E21"/>
    <w:rsid w:val="00ED200F"/>
    <w:rsid w:val="00EF7B2D"/>
    <w:rsid w:val="00F00FD4"/>
    <w:rsid w:val="00F0638A"/>
    <w:rsid w:val="00F1270C"/>
    <w:rsid w:val="00F26AB0"/>
    <w:rsid w:val="00F45B1D"/>
    <w:rsid w:val="00F91174"/>
    <w:rsid w:val="00FB298B"/>
    <w:rsid w:val="00FC25B1"/>
    <w:rsid w:val="00FD7C2E"/>
    <w:rsid w:val="00FE6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656F28"/>
  <w15:docId w15:val="{E9D13952-2388-4E36-9F97-CDEC04D9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7D15"/>
    <w:pPr>
      <w:suppressAutoHyphens/>
    </w:pPr>
    <w:rPr>
      <w:rFonts w:hAnsi="Arial Unicode MS" w:cs="Arial Unicode MS"/>
      <w:color w:val="000000"/>
      <w:sz w:val="24"/>
      <w:szCs w:val="24"/>
      <w:u w:color="00000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7D15"/>
    <w:rPr>
      <w:u w:val="single"/>
    </w:rPr>
  </w:style>
  <w:style w:type="paragraph" w:customStyle="1" w:styleId="En-tte1">
    <w:name w:val="En-tête1"/>
    <w:rsid w:val="00BD7D15"/>
    <w:pPr>
      <w:tabs>
        <w:tab w:val="right" w:pos="9020"/>
      </w:tabs>
    </w:pPr>
    <w:rPr>
      <w:rFonts w:ascii="Helvetica" w:hAnsi="Arial Unicode MS" w:cs="Arial Unicode MS"/>
      <w:color w:val="000000"/>
      <w:sz w:val="24"/>
      <w:szCs w:val="24"/>
    </w:rPr>
  </w:style>
  <w:style w:type="paragraph" w:styleId="Footer">
    <w:name w:val="footer"/>
    <w:rsid w:val="00BD7D15"/>
    <w:pPr>
      <w:tabs>
        <w:tab w:val="center" w:pos="4677"/>
        <w:tab w:val="right" w:pos="9355"/>
      </w:tabs>
      <w:suppressAutoHyphens/>
    </w:pPr>
    <w:rPr>
      <w:rFonts w:hAnsi="Arial Unicode MS" w:cs="Arial Unicode MS"/>
      <w:color w:val="000000"/>
      <w:sz w:val="24"/>
      <w:szCs w:val="24"/>
      <w:u w:color="000000"/>
      <w:lang w:val="ru-RU"/>
    </w:rPr>
  </w:style>
  <w:style w:type="paragraph" w:styleId="Header">
    <w:name w:val="header"/>
    <w:rsid w:val="00BD7D15"/>
    <w:pPr>
      <w:tabs>
        <w:tab w:val="center" w:pos="4677"/>
        <w:tab w:val="right" w:pos="9355"/>
      </w:tabs>
      <w:suppressAutoHyphens/>
    </w:pPr>
    <w:rPr>
      <w:rFonts w:hAnsi="Arial Unicode MS" w:cs="Arial Unicode MS"/>
      <w:color w:val="000000"/>
      <w:sz w:val="24"/>
      <w:szCs w:val="24"/>
      <w:u w:color="000000"/>
    </w:rPr>
  </w:style>
  <w:style w:type="paragraph" w:customStyle="1" w:styleId="HChG">
    <w:name w:val="_ H _Ch_G"/>
    <w:next w:val="Normal"/>
    <w:link w:val="HChGChar"/>
    <w:rsid w:val="00BD7D15"/>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rPr>
  </w:style>
  <w:style w:type="paragraph" w:customStyle="1" w:styleId="SingleTxtG">
    <w:name w:val="_ Single Txt_G"/>
    <w:link w:val="SingleTxtGChar"/>
    <w:rsid w:val="00911AE2"/>
    <w:pPr>
      <w:tabs>
        <w:tab w:val="left" w:pos="1701"/>
      </w:tabs>
      <w:suppressAutoHyphens/>
      <w:spacing w:after="120" w:line="240" w:lineRule="atLeast"/>
      <w:ind w:left="1134" w:right="1134"/>
      <w:jc w:val="both"/>
    </w:pPr>
    <w:rPr>
      <w:rFonts w:hAnsi="Arial Unicode MS" w:cs="Arial Unicode MS"/>
      <w:color w:val="000000"/>
      <w:u w:color="000000"/>
      <w:lang w:val="en-GB"/>
    </w:rPr>
  </w:style>
  <w:style w:type="character" w:customStyle="1" w:styleId="Lien">
    <w:name w:val="Lien"/>
    <w:rsid w:val="00BD7D15"/>
    <w:rPr>
      <w:color w:val="0000FF"/>
      <w:u w:val="single" w:color="0000FF"/>
    </w:rPr>
  </w:style>
  <w:style w:type="character" w:customStyle="1" w:styleId="Hyperlink0">
    <w:name w:val="Hyperlink.0"/>
    <w:basedOn w:val="Lien"/>
    <w:rsid w:val="00BD7D15"/>
    <w:rPr>
      <w:color w:val="0000FF"/>
      <w:u w:val="single" w:color="0000FF"/>
      <w:lang w:val="en-US"/>
    </w:rPr>
  </w:style>
  <w:style w:type="numbering" w:customStyle="1" w:styleId="List0">
    <w:name w:val="List 0"/>
    <w:basedOn w:val="Lettres"/>
    <w:rsid w:val="00BD7D15"/>
    <w:pPr>
      <w:numPr>
        <w:numId w:val="3"/>
      </w:numPr>
    </w:pPr>
  </w:style>
  <w:style w:type="numbering" w:customStyle="1" w:styleId="Lettres">
    <w:name w:val="Lettres"/>
    <w:rsid w:val="00BD7D15"/>
  </w:style>
  <w:style w:type="paragraph" w:styleId="BalloonText">
    <w:name w:val="Balloon Text"/>
    <w:basedOn w:val="Normal"/>
    <w:link w:val="BalloonTextChar"/>
    <w:uiPriority w:val="99"/>
    <w:semiHidden/>
    <w:unhideWhenUsed/>
    <w:rsid w:val="00911AE2"/>
    <w:rPr>
      <w:rFonts w:ascii="Tahoma" w:hAnsi="Tahoma" w:cs="Tahoma"/>
      <w:sz w:val="16"/>
      <w:szCs w:val="16"/>
    </w:rPr>
  </w:style>
  <w:style w:type="character" w:customStyle="1" w:styleId="BalloonTextChar">
    <w:name w:val="Balloon Text Char"/>
    <w:basedOn w:val="DefaultParagraphFont"/>
    <w:link w:val="BalloonText"/>
    <w:uiPriority w:val="99"/>
    <w:semiHidden/>
    <w:rsid w:val="00911AE2"/>
    <w:rPr>
      <w:rFonts w:ascii="Tahoma" w:hAnsi="Tahoma" w:cs="Tahoma"/>
      <w:color w:val="000000"/>
      <w:sz w:val="16"/>
      <w:szCs w:val="16"/>
      <w:u w:color="000000"/>
      <w:lang w:val="ru-RU"/>
    </w:rPr>
  </w:style>
  <w:style w:type="paragraph" w:customStyle="1" w:styleId="HMGFG">
    <w:name w:val="_H_M_G_FG"/>
    <w:basedOn w:val="HChG"/>
    <w:link w:val="HMGFGChar"/>
    <w:qFormat/>
    <w:rsid w:val="00911AE2"/>
    <w:rPr>
      <w:sz w:val="24"/>
      <w:szCs w:val="24"/>
    </w:rPr>
  </w:style>
  <w:style w:type="character" w:customStyle="1" w:styleId="HChGChar">
    <w:name w:val="_ H _Ch_G Char"/>
    <w:basedOn w:val="DefaultParagraphFont"/>
    <w:link w:val="HChG"/>
    <w:rsid w:val="00911AE2"/>
    <w:rPr>
      <w:rFonts w:eastAsia="Times New Roman"/>
      <w:b/>
      <w:bCs/>
      <w:color w:val="000000"/>
      <w:sz w:val="28"/>
      <w:szCs w:val="28"/>
      <w:u w:color="000000"/>
    </w:rPr>
  </w:style>
  <w:style w:type="character" w:customStyle="1" w:styleId="HMGFGChar">
    <w:name w:val="_H_M_G_FG Char"/>
    <w:basedOn w:val="HChGChar"/>
    <w:link w:val="HMGFG"/>
    <w:rsid w:val="00911AE2"/>
    <w:rPr>
      <w:rFonts w:eastAsia="Times New Roman"/>
      <w:b/>
      <w:bCs/>
      <w:color w:val="000000"/>
      <w:sz w:val="24"/>
      <w:szCs w:val="24"/>
      <w:u w:color="000000"/>
    </w:rPr>
  </w:style>
  <w:style w:type="character" w:customStyle="1" w:styleId="SingleTxtGChar">
    <w:name w:val="_ Single Txt_G Char"/>
    <w:link w:val="SingleTxtG"/>
    <w:rsid w:val="00495828"/>
    <w:rPr>
      <w:rFonts w:hAnsi="Arial Unicode MS" w:cs="Arial Unicode MS"/>
      <w:color w:val="000000"/>
      <w:u w:color="000000"/>
      <w:lang w:val="en-GB"/>
    </w:rPr>
  </w:style>
  <w:style w:type="paragraph" w:customStyle="1" w:styleId="H1G">
    <w:name w:val="_ H_1_G"/>
    <w:basedOn w:val="Normal"/>
    <w:next w:val="Normal"/>
    <w:link w:val="H1GChar"/>
    <w:rsid w:val="00A90DB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360" w:after="240" w:line="270" w:lineRule="exact"/>
      <w:ind w:left="1134" w:right="1134" w:hanging="1134"/>
    </w:pPr>
    <w:rPr>
      <w:rFonts w:eastAsia="Times New Roman" w:hAnsi="Times New Roman" w:cs="Times New Roman"/>
      <w:b/>
      <w:color w:val="auto"/>
      <w:szCs w:val="20"/>
      <w:bdr w:val="none" w:sz="0" w:space="0" w:color="auto"/>
      <w:lang w:val="en-GB"/>
    </w:rPr>
  </w:style>
  <w:style w:type="character" w:customStyle="1" w:styleId="H1GChar">
    <w:name w:val="_ H_1_G Char"/>
    <w:link w:val="H1G"/>
    <w:locked/>
    <w:rsid w:val="00A90DB0"/>
    <w:rPr>
      <w:rFonts w:eastAsia="Times New Roman"/>
      <w:b/>
      <w:sz w:val="24"/>
      <w:bdr w:val="none" w:sz="0" w:space="0" w:color="auto"/>
      <w:lang w:val="en-GB"/>
    </w:rPr>
  </w:style>
  <w:style w:type="character" w:customStyle="1" w:styleId="translation-chunk">
    <w:name w:val="translation-chunk"/>
    <w:basedOn w:val="DefaultParagraphFont"/>
    <w:rsid w:val="00020E28"/>
  </w:style>
  <w:style w:type="character" w:styleId="CommentReference">
    <w:name w:val="annotation reference"/>
    <w:basedOn w:val="DefaultParagraphFont"/>
    <w:uiPriority w:val="99"/>
    <w:semiHidden/>
    <w:unhideWhenUsed/>
    <w:rsid w:val="00B16AB2"/>
    <w:rPr>
      <w:sz w:val="16"/>
      <w:szCs w:val="16"/>
    </w:rPr>
  </w:style>
  <w:style w:type="paragraph" w:styleId="CommentText">
    <w:name w:val="annotation text"/>
    <w:basedOn w:val="Normal"/>
    <w:link w:val="CommentTextChar"/>
    <w:uiPriority w:val="99"/>
    <w:semiHidden/>
    <w:unhideWhenUsed/>
    <w:rsid w:val="00B16AB2"/>
    <w:rPr>
      <w:sz w:val="20"/>
      <w:szCs w:val="20"/>
    </w:rPr>
  </w:style>
  <w:style w:type="character" w:customStyle="1" w:styleId="CommentTextChar">
    <w:name w:val="Comment Text Char"/>
    <w:basedOn w:val="DefaultParagraphFont"/>
    <w:link w:val="CommentText"/>
    <w:uiPriority w:val="99"/>
    <w:semiHidden/>
    <w:rsid w:val="00B16AB2"/>
    <w:rPr>
      <w:rFonts w:hAnsi="Arial Unicode MS"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B16AB2"/>
    <w:rPr>
      <w:b/>
      <w:bCs/>
    </w:rPr>
  </w:style>
  <w:style w:type="character" w:customStyle="1" w:styleId="CommentSubjectChar">
    <w:name w:val="Comment Subject Char"/>
    <w:basedOn w:val="CommentTextChar"/>
    <w:link w:val="CommentSubject"/>
    <w:uiPriority w:val="99"/>
    <w:semiHidden/>
    <w:rsid w:val="00B16AB2"/>
    <w:rPr>
      <w:rFonts w:hAnsi="Arial Unicode MS" w:cs="Arial Unicode MS"/>
      <w:b/>
      <w:bCs/>
      <w:color w:val="000000"/>
      <w:u w:color="000000"/>
      <w:lang w:val="ru-RU"/>
    </w:rPr>
  </w:style>
  <w:style w:type="paragraph" w:styleId="Revision">
    <w:name w:val="Revision"/>
    <w:hidden/>
    <w:uiPriority w:val="99"/>
    <w:semiHidden/>
    <w:rsid w:val="00B16AB2"/>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9D82-A510-478A-A945-E9BE6CA5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1649</Words>
  <Characters>9405</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ECE-ISU</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Guichard</dc:creator>
  <cp:lastModifiedBy>Lucille Caillot</cp:lastModifiedBy>
  <cp:revision>4</cp:revision>
  <cp:lastPrinted>2016-06-20T18:44:00Z</cp:lastPrinted>
  <dcterms:created xsi:type="dcterms:W3CDTF">2016-06-20T17:36:00Z</dcterms:created>
  <dcterms:modified xsi:type="dcterms:W3CDTF">2016-06-20T18:46:00Z</dcterms:modified>
</cp:coreProperties>
</file>