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8D6E41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8D6E41" w:rsidRDefault="00F35BAF" w:rsidP="00D903FD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8D6E41" w:rsidRDefault="00F35BAF" w:rsidP="00892A2F">
            <w:pPr>
              <w:spacing w:after="80" w:line="300" w:lineRule="exact"/>
              <w:rPr>
                <w:sz w:val="28"/>
              </w:rPr>
            </w:pPr>
            <w:r w:rsidRPr="008D6E41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8D6E41" w:rsidRDefault="00D903FD" w:rsidP="00D903FD">
            <w:pPr>
              <w:jc w:val="right"/>
            </w:pPr>
            <w:r w:rsidRPr="008D6E41">
              <w:rPr>
                <w:sz w:val="40"/>
              </w:rPr>
              <w:t>ECE</w:t>
            </w:r>
            <w:r w:rsidRPr="008D6E41">
              <w:t>/TRANS/WP.29/2016/49</w:t>
            </w:r>
          </w:p>
        </w:tc>
      </w:tr>
      <w:tr w:rsidR="00F35BAF" w:rsidRPr="008D6E41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8D6E41" w:rsidRDefault="00F35BAF" w:rsidP="00892A2F">
            <w:pPr>
              <w:spacing w:before="120"/>
              <w:jc w:val="center"/>
            </w:pPr>
            <w:r w:rsidRPr="008D6E41">
              <w:rPr>
                <w:noProof/>
                <w:lang w:val="en-GB" w:eastAsia="en-GB"/>
              </w:rPr>
              <w:drawing>
                <wp:inline distT="0" distB="0" distL="0" distR="0" wp14:anchorId="0E70353A" wp14:editId="01B6B7C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8D6E41" w:rsidRDefault="00F35BAF" w:rsidP="00892A2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8D6E41">
              <w:rPr>
                <w:b/>
                <w:sz w:val="40"/>
                <w:szCs w:val="40"/>
              </w:rPr>
              <w:t>Conseil économique 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8D6E41" w:rsidRDefault="00D903FD" w:rsidP="00892A2F">
            <w:pPr>
              <w:spacing w:before="240"/>
            </w:pPr>
            <w:r w:rsidRPr="008D6E41">
              <w:t>Distr. générale</w:t>
            </w:r>
          </w:p>
          <w:p w:rsidR="00D903FD" w:rsidRPr="008D6E41" w:rsidRDefault="00D903FD" w:rsidP="00D903FD">
            <w:pPr>
              <w:spacing w:line="240" w:lineRule="exact"/>
            </w:pPr>
            <w:r w:rsidRPr="008D6E41">
              <w:t>5 avril 2016</w:t>
            </w:r>
          </w:p>
          <w:p w:rsidR="00D903FD" w:rsidRPr="008D6E41" w:rsidRDefault="00D903FD" w:rsidP="00D903FD">
            <w:pPr>
              <w:spacing w:line="240" w:lineRule="exact"/>
            </w:pPr>
            <w:r w:rsidRPr="008D6E41">
              <w:t>Français</w:t>
            </w:r>
          </w:p>
          <w:p w:rsidR="00D903FD" w:rsidRPr="008D6E41" w:rsidRDefault="00D903FD" w:rsidP="00D903FD">
            <w:pPr>
              <w:spacing w:line="240" w:lineRule="exact"/>
            </w:pPr>
            <w:r w:rsidRPr="008D6E41">
              <w:t>Original</w:t>
            </w:r>
            <w:r w:rsidR="00B35F77" w:rsidRPr="008D6E41">
              <w:t> :</w:t>
            </w:r>
            <w:r w:rsidRPr="008D6E41">
              <w:t xml:space="preserve"> anglais</w:t>
            </w:r>
          </w:p>
        </w:tc>
      </w:tr>
    </w:tbl>
    <w:p w:rsidR="007F20FA" w:rsidRPr="008D6E41" w:rsidRDefault="007F20FA" w:rsidP="007F20FA">
      <w:pPr>
        <w:spacing w:before="120"/>
        <w:rPr>
          <w:b/>
          <w:sz w:val="28"/>
          <w:szCs w:val="28"/>
        </w:rPr>
      </w:pPr>
      <w:r w:rsidRPr="008D6E41">
        <w:rPr>
          <w:b/>
          <w:sz w:val="28"/>
          <w:szCs w:val="28"/>
        </w:rPr>
        <w:t>Commission économique pour l’Europe</w:t>
      </w:r>
    </w:p>
    <w:p w:rsidR="007F20FA" w:rsidRPr="008D6E41" w:rsidRDefault="007F20FA" w:rsidP="007F20FA">
      <w:pPr>
        <w:spacing w:before="120"/>
        <w:rPr>
          <w:sz w:val="28"/>
          <w:szCs w:val="28"/>
        </w:rPr>
      </w:pPr>
      <w:r w:rsidRPr="008D6E41">
        <w:rPr>
          <w:sz w:val="28"/>
          <w:szCs w:val="28"/>
        </w:rPr>
        <w:t>Comité des transports intérieurs</w:t>
      </w:r>
    </w:p>
    <w:p w:rsidR="00B35F77" w:rsidRPr="008D6E41" w:rsidRDefault="00B35F77" w:rsidP="00B35F77">
      <w:pPr>
        <w:spacing w:before="120"/>
        <w:rPr>
          <w:b/>
          <w:sz w:val="24"/>
          <w:szCs w:val="24"/>
        </w:rPr>
      </w:pPr>
      <w:r w:rsidRPr="008D6E41">
        <w:rPr>
          <w:b/>
          <w:sz w:val="24"/>
          <w:szCs w:val="24"/>
        </w:rPr>
        <w:t xml:space="preserve">Forum mondial de l'harmonisation </w:t>
      </w:r>
      <w:r w:rsidRPr="008D6E41">
        <w:rPr>
          <w:b/>
          <w:sz w:val="24"/>
          <w:szCs w:val="24"/>
        </w:rPr>
        <w:br/>
        <w:t>des Règlements concernant les véhicules</w:t>
      </w:r>
    </w:p>
    <w:p w:rsidR="00B35F77" w:rsidRPr="008D6E41" w:rsidRDefault="00B35F77" w:rsidP="00B35F77">
      <w:pPr>
        <w:tabs>
          <w:tab w:val="center" w:pos="4819"/>
        </w:tabs>
        <w:spacing w:before="120"/>
        <w:rPr>
          <w:b/>
        </w:rPr>
      </w:pPr>
      <w:r w:rsidRPr="008D6E41">
        <w:rPr>
          <w:b/>
        </w:rPr>
        <w:t>169</w:t>
      </w:r>
      <w:r w:rsidRPr="008D6E41">
        <w:rPr>
          <w:b/>
          <w:vertAlign w:val="superscript"/>
        </w:rPr>
        <w:t>e</w:t>
      </w:r>
      <w:r w:rsidRPr="008D6E41">
        <w:rPr>
          <w:b/>
        </w:rPr>
        <w:t xml:space="preserve"> session</w:t>
      </w:r>
    </w:p>
    <w:p w:rsidR="00B35F77" w:rsidRPr="008D6E41" w:rsidRDefault="00B35F77" w:rsidP="00B35F77">
      <w:r w:rsidRPr="008D6E41">
        <w:t>Genève, 21-24 juin 2016</w:t>
      </w:r>
    </w:p>
    <w:p w:rsidR="00B35F77" w:rsidRPr="008D6E41" w:rsidRDefault="00B35F77" w:rsidP="00B35F77">
      <w:r w:rsidRPr="008D6E41">
        <w:t>Point 4.9.1 de l’ordre du jour provisoire</w:t>
      </w:r>
    </w:p>
    <w:p w:rsidR="00B35F77" w:rsidRPr="008D6E41" w:rsidRDefault="00B35F77" w:rsidP="00B35F77">
      <w:pPr>
        <w:rPr>
          <w:b/>
        </w:rPr>
      </w:pPr>
      <w:r w:rsidRPr="008D6E41">
        <w:rPr>
          <w:b/>
        </w:rPr>
        <w:t>Accord de 1958 : Examen de projets d’amendements</w:t>
      </w:r>
    </w:p>
    <w:p w:rsidR="00B35F77" w:rsidRPr="008D6E41" w:rsidRDefault="00B35F77" w:rsidP="00B35F77">
      <w:pPr>
        <w:rPr>
          <w:b/>
        </w:rPr>
      </w:pPr>
      <w:r w:rsidRPr="008D6E41">
        <w:rPr>
          <w:b/>
        </w:rPr>
        <w:t>à des Règlements existants, proposés par le GRRF</w:t>
      </w:r>
    </w:p>
    <w:p w:rsidR="00B35F77" w:rsidRPr="008D6E41" w:rsidRDefault="00B35F77" w:rsidP="00B35F77">
      <w:pPr>
        <w:pStyle w:val="HChG"/>
      </w:pPr>
      <w:r w:rsidRPr="008D6E41">
        <w:tab/>
      </w:r>
      <w:r w:rsidRPr="008D6E41">
        <w:tab/>
        <w:t>Proposition de complément 14 à la série 11 d’amendements au Règlement n</w:t>
      </w:r>
      <w:r w:rsidRPr="008D6E41">
        <w:rPr>
          <w:vertAlign w:val="superscript"/>
        </w:rPr>
        <w:t>o</w:t>
      </w:r>
      <w:r w:rsidRPr="008D6E41">
        <w:t> 13 (Freinage des poids lourds)</w:t>
      </w:r>
    </w:p>
    <w:p w:rsidR="00B35F77" w:rsidRPr="008D6E41" w:rsidRDefault="00B35F77" w:rsidP="00B35F77">
      <w:pPr>
        <w:pStyle w:val="H1G"/>
      </w:pPr>
      <w:r w:rsidRPr="008D6E41">
        <w:tab/>
      </w:r>
      <w:r w:rsidRPr="008D6E41">
        <w:tab/>
        <w:t xml:space="preserve">Communication du Groupe de travail en matière de roulement </w:t>
      </w:r>
      <w:r w:rsidRPr="008D6E41">
        <w:br/>
        <w:t>et de freinage</w:t>
      </w:r>
      <w:r w:rsidRPr="008D6E41">
        <w:rPr>
          <w:b w:val="0"/>
          <w:bCs/>
        </w:rPr>
        <w:footnoteReference w:customMarkFollows="1" w:id="2"/>
        <w:t>*</w:t>
      </w:r>
    </w:p>
    <w:p w:rsidR="00F9573C" w:rsidRPr="008D6E41" w:rsidRDefault="00B35F77" w:rsidP="00B35F77">
      <w:pPr>
        <w:pStyle w:val="SingleTxtG"/>
        <w:ind w:firstLine="567"/>
      </w:pPr>
      <w:r w:rsidRPr="008D6E41">
        <w:t>Le texte ci-après, adopté par le Groupe de travail en matière de roulement et de freinage (GRRF) à sa quatre-vingt-unième session (</w:t>
      </w:r>
      <w:r w:rsidRPr="008D6E41">
        <w:rPr>
          <w:bCs/>
        </w:rPr>
        <w:t>ECE/TRANS/WP.29/GRRF/81, par. 12</w:t>
      </w:r>
      <w:r w:rsidRPr="008D6E41">
        <w:t>)</w:t>
      </w:r>
      <w:r w:rsidRPr="008D6E41">
        <w:rPr>
          <w:lang w:eastAsia="it-IT"/>
        </w:rPr>
        <w:t>, est fondé sur le document</w:t>
      </w:r>
      <w:r w:rsidRPr="008D6E41">
        <w:t xml:space="preserve"> </w:t>
      </w:r>
      <w:r w:rsidRPr="008D6E41">
        <w:rPr>
          <w:bCs/>
        </w:rPr>
        <w:t>ECE/TRANS/WP.29/GRRF/2016/19 tel que modifié par le paragraphe 11 du rapport</w:t>
      </w:r>
      <w:r w:rsidRPr="008D6E41">
        <w:t>. Il est soumis au Forum mondial de l’harmonisation des Règlements concernant les véhicules (WP.29) et au Comité d’administration (AC.1) pour examen à leurs sessions de juin 2016.</w:t>
      </w:r>
    </w:p>
    <w:p w:rsidR="00B35F77" w:rsidRPr="008D6E41" w:rsidRDefault="00B35F77" w:rsidP="00B35F77">
      <w:pPr>
        <w:pStyle w:val="HChG"/>
      </w:pPr>
      <w:r w:rsidRPr="008D6E41">
        <w:br w:type="page"/>
      </w:r>
      <w:r w:rsidRPr="008D6E41">
        <w:lastRenderedPageBreak/>
        <w:tab/>
      </w:r>
      <w:r w:rsidRPr="008D6E41">
        <w:tab/>
        <w:t>Complément 14 à la série 11 d’amendements au Règlement n</w:t>
      </w:r>
      <w:r w:rsidRPr="008D6E41">
        <w:rPr>
          <w:vertAlign w:val="superscript"/>
        </w:rPr>
        <w:t>o</w:t>
      </w:r>
      <w:r w:rsidRPr="008D6E41">
        <w:t> 13 (Freinage des poids lourds)</w:t>
      </w:r>
    </w:p>
    <w:p w:rsidR="00B35F77" w:rsidRPr="008D6E41" w:rsidRDefault="00B35F77" w:rsidP="00B35F77">
      <w:pPr>
        <w:pStyle w:val="SingleTxtG"/>
      </w:pPr>
      <w:r w:rsidRPr="008D6E41">
        <w:rPr>
          <w:i/>
          <w:iCs/>
        </w:rPr>
        <w:t>Annexe 12</w:t>
      </w:r>
      <w:r w:rsidRPr="008D6E41">
        <w:t>,</w:t>
      </w:r>
    </w:p>
    <w:p w:rsidR="00B35F77" w:rsidRPr="008D6E41" w:rsidRDefault="00B35F77" w:rsidP="00B35F77">
      <w:pPr>
        <w:pStyle w:val="SingleTxtG"/>
      </w:pPr>
      <w:r w:rsidRPr="008D6E41">
        <w:rPr>
          <w:i/>
          <w:iCs/>
        </w:rPr>
        <w:t>Paragraphe 2.2.18</w:t>
      </w:r>
      <w:r w:rsidRPr="008D6E41">
        <w:t xml:space="preserve">, lire : </w:t>
      </w:r>
    </w:p>
    <w:p w:rsidR="00B35F77" w:rsidRPr="008D6E41" w:rsidRDefault="00B35F77" w:rsidP="00B35F77">
      <w:pPr>
        <w:pStyle w:val="SingleTxtG"/>
        <w:tabs>
          <w:tab w:val="left" w:pos="2268"/>
        </w:tabs>
        <w:ind w:left="2835" w:hanging="1701"/>
      </w:pPr>
      <w:r w:rsidRPr="008D6E41">
        <w:t>« 2.2.18</w:t>
      </w:r>
      <w:r w:rsidRPr="008D6E41">
        <w:tab/>
        <w:t>s’ :</w:t>
      </w:r>
      <w:r w:rsidRPr="008D6E41">
        <w:tab/>
        <w:t>course utile de la commande exprimée en mm et déterminée conformément aux prescriptions du paragraphe 10.4 de la présente annexe ; ».</w:t>
      </w:r>
    </w:p>
    <w:p w:rsidR="00B35F77" w:rsidRPr="008D6E41" w:rsidRDefault="00B35F77" w:rsidP="00B35F77">
      <w:pPr>
        <w:pStyle w:val="SingleTxtG"/>
      </w:pPr>
      <w:r w:rsidRPr="008D6E41">
        <w:rPr>
          <w:i/>
        </w:rPr>
        <w:t>Paragraphe 10.4.2.3</w:t>
      </w:r>
      <w:r w:rsidRPr="008D6E41">
        <w:rPr>
          <w:iCs/>
        </w:rPr>
        <w:t xml:space="preserve">, </w:t>
      </w:r>
      <w:r w:rsidRPr="008D6E41">
        <w:t>modification sans objet en français.</w:t>
      </w:r>
    </w:p>
    <w:p w:rsidR="00B35F77" w:rsidRPr="008D6E41" w:rsidRDefault="00B35F77" w:rsidP="00B35F77">
      <w:pPr>
        <w:pStyle w:val="SingleTxtG"/>
        <w:rPr>
          <w:b/>
        </w:rPr>
      </w:pPr>
      <w:r w:rsidRPr="008D6E41">
        <w:rPr>
          <w:i/>
          <w:iCs/>
        </w:rPr>
        <w:t>Annexe 12</w:t>
      </w:r>
      <w:r w:rsidRPr="008D6E41">
        <w:t>,</w:t>
      </w:r>
    </w:p>
    <w:p w:rsidR="00B35F77" w:rsidRPr="008D6E41" w:rsidRDefault="00B35F77" w:rsidP="00B35F77">
      <w:pPr>
        <w:pStyle w:val="SingleTxtG"/>
        <w:rPr>
          <w:b/>
        </w:rPr>
      </w:pPr>
      <w:r w:rsidRPr="008D6E41">
        <w:rPr>
          <w:i/>
          <w:iCs/>
        </w:rPr>
        <w:t>Appendice 4</w:t>
      </w:r>
      <w:r w:rsidRPr="008D6E41">
        <w:t>,</w:t>
      </w:r>
    </w:p>
    <w:p w:rsidR="00B35F77" w:rsidRPr="008D6E41" w:rsidRDefault="00B35F77" w:rsidP="00B35F77">
      <w:pPr>
        <w:pStyle w:val="SingleTxtG"/>
      </w:pPr>
      <w:r w:rsidRPr="008D6E41">
        <w:rPr>
          <w:i/>
        </w:rPr>
        <w:t xml:space="preserve">Paragraphe </w:t>
      </w:r>
      <w:r w:rsidRPr="008D6E41">
        <w:t>5.8.3, lire :</w:t>
      </w:r>
    </w:p>
    <w:p w:rsidR="00B35F77" w:rsidRPr="008D6E41" w:rsidRDefault="00B35F77" w:rsidP="00B35F77">
      <w:pPr>
        <w:pStyle w:val="SingleTxtG"/>
      </w:pPr>
      <w:r w:rsidRPr="008D6E41">
        <w:t>« 5.8.3</w:t>
      </w:r>
    </w:p>
    <w:p w:rsidR="00B35F77" w:rsidRPr="008D6E41" w:rsidRDefault="00F04E4D" w:rsidP="00B35F77">
      <w:pPr>
        <w:keepNext/>
        <w:keepLines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after="120" w:line="240" w:lineRule="auto"/>
        <w:ind w:left="2268" w:right="1134"/>
        <w:jc w:val="both"/>
      </w:pPr>
      <w:r w:rsidRPr="008D6E41">
        <w:rPr>
          <w:position w:val="-28"/>
        </w:rPr>
        <w:object w:dxaOrig="202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8pt;height:29.95pt" o:ole="" fillcolor="window">
            <v:imagedata r:id="rId9" o:title=""/>
          </v:shape>
          <o:OLEObject Type="Embed" ProgID="Equation.3" ShapeID="_x0000_i1025" DrawAspect="Content" ObjectID="_1523796034" r:id="rId10"/>
        </w:object>
      </w:r>
    </w:p>
    <w:p w:rsidR="00B35F77" w:rsidRPr="008D6E41" w:rsidRDefault="00B35F77" w:rsidP="00B35F77">
      <w:pPr>
        <w:pStyle w:val="SingleTxtG"/>
        <w:ind w:left="2268"/>
      </w:pPr>
      <w:r w:rsidRPr="008D6E41">
        <w:t>(doit être au moins égal à : i</w:t>
      </w:r>
      <w:r w:rsidRPr="008D6E41">
        <w:rPr>
          <w:vertAlign w:val="subscript"/>
        </w:rPr>
        <w:t>h</w:t>
      </w:r>
      <w:r w:rsidRPr="008D6E41">
        <w:t>/F</w:t>
      </w:r>
      <w:r w:rsidRPr="008D6E41">
        <w:rPr>
          <w:vertAlign w:val="subscript"/>
        </w:rPr>
        <w:t>HZ</w:t>
      </w:r>
      <w:r w:rsidRPr="008D6E41">
        <w:t>)</w:t>
      </w:r>
    </w:p>
    <w:p w:rsidR="00B35F77" w:rsidRPr="008D6E41" w:rsidRDefault="00B35F77" w:rsidP="00B35F77">
      <w:pPr>
        <w:pStyle w:val="SingleTxtG"/>
        <w:ind w:left="2268"/>
      </w:pPr>
      <w:r w:rsidRPr="008D6E41">
        <w:t>(ne doit pas dépasser la course du maître-cylindre selon le paragraphe 8.2 de l’appendice 2 de la présente annexe) ».</w:t>
      </w:r>
    </w:p>
    <w:p w:rsidR="00B35F77" w:rsidRPr="008D6E41" w:rsidRDefault="00B35F77" w:rsidP="00B35F77">
      <w:pPr>
        <w:pStyle w:val="SingleTxtG"/>
      </w:pPr>
      <w:r w:rsidRPr="008D6E41">
        <w:rPr>
          <w:i/>
        </w:rPr>
        <w:t xml:space="preserve">Paragraphe </w:t>
      </w:r>
      <w:r w:rsidRPr="008D6E41">
        <w:t>5.7.6,</w:t>
      </w:r>
      <w:r w:rsidRPr="008D6E41">
        <w:rPr>
          <w:i/>
        </w:rPr>
        <w:t xml:space="preserve"> </w:t>
      </w:r>
      <w:r w:rsidRPr="008D6E41">
        <w:t>lire :</w:t>
      </w:r>
    </w:p>
    <w:p w:rsidR="00B35F77" w:rsidRPr="008D6E41" w:rsidRDefault="00B35F77" w:rsidP="00B35F77">
      <w:pPr>
        <w:pStyle w:val="SingleTxtG"/>
        <w:ind w:left="2268" w:hanging="1134"/>
      </w:pPr>
      <w:r w:rsidRPr="008D6E41">
        <w:t>« 5.7.6</w:t>
      </w:r>
      <w:r w:rsidRPr="008D6E41">
        <w:tab/>
        <w:t>Moment de freinage lorsque la remorque fait marche arrière (y compris la résistance au roulement</w:t>
      </w:r>
    </w:p>
    <w:p w:rsidR="00B35F77" w:rsidRPr="008D6E41" w:rsidRDefault="00B35F77" w:rsidP="00B35F77">
      <w:pPr>
        <w:spacing w:after="120" w:line="240" w:lineRule="auto"/>
        <w:ind w:left="2268" w:right="1134"/>
        <w:jc w:val="both"/>
      </w:pPr>
      <w:r w:rsidRPr="008D6E41">
        <w:t>n • Mr = ........................................................................................................Nm</w:t>
      </w:r>
    </w:p>
    <w:p w:rsidR="00B35F77" w:rsidRPr="008D6E41" w:rsidRDefault="00B35F77" w:rsidP="00F04E4D">
      <w:pPr>
        <w:pStyle w:val="SingleTxtG"/>
        <w:ind w:left="2268"/>
      </w:pPr>
      <w:r w:rsidRPr="008D6E41">
        <w:t>(ne doit pas dépasser 0,08</w:t>
      </w:r>
      <w:r w:rsidR="000749B3" w:rsidRPr="008D6E41">
        <w:t xml:space="preserve"> </w:t>
      </w:r>
      <w:r w:rsidRPr="008D6E41">
        <w:t>•</w:t>
      </w:r>
      <w:r w:rsidR="000749B3" w:rsidRPr="008D6E41">
        <w:t xml:space="preserve"> </w:t>
      </w:r>
      <w:r w:rsidRPr="008D6E41">
        <w:t>g</w:t>
      </w:r>
      <w:r w:rsidR="000749B3" w:rsidRPr="008D6E41">
        <w:t xml:space="preserve"> </w:t>
      </w:r>
      <w:r w:rsidRPr="008D6E41">
        <w:t>•</w:t>
      </w:r>
      <w:r w:rsidR="000749B3" w:rsidRPr="008D6E41">
        <w:t xml:space="preserve"> </w:t>
      </w:r>
      <w:r w:rsidRPr="008D6E41">
        <w:t>G</w:t>
      </w:r>
      <w:r w:rsidRPr="008D6E41">
        <w:rPr>
          <w:vertAlign w:val="subscript"/>
        </w:rPr>
        <w:t>A</w:t>
      </w:r>
      <w:r w:rsidR="000749B3" w:rsidRPr="008D6E41">
        <w:t xml:space="preserve"> </w:t>
      </w:r>
      <w:r w:rsidRPr="008D6E41">
        <w:t>•</w:t>
      </w:r>
      <w:r w:rsidR="000749B3" w:rsidRPr="008D6E41">
        <w:t xml:space="preserve"> </w:t>
      </w:r>
      <w:r w:rsidRPr="008D6E41">
        <w:t>R)</w:t>
      </w:r>
      <w:r w:rsidR="00F04E4D" w:rsidRPr="008D6E41">
        <w:t> »</w:t>
      </w:r>
      <w:r w:rsidRPr="008D6E41">
        <w:t>.</w:t>
      </w:r>
    </w:p>
    <w:p w:rsidR="00B35F77" w:rsidRPr="008D6E41" w:rsidRDefault="00B35F77" w:rsidP="00B35F77">
      <w:pPr>
        <w:pStyle w:val="SingleTxtG"/>
      </w:pPr>
      <w:r w:rsidRPr="008D6E41">
        <w:rPr>
          <w:i/>
          <w:iCs/>
        </w:rPr>
        <w:t>Paragraphe 5.8.6</w:t>
      </w:r>
      <w:r w:rsidRPr="008D6E41">
        <w:t>, lire :</w:t>
      </w:r>
    </w:p>
    <w:p w:rsidR="00B35F77" w:rsidRPr="008D6E41" w:rsidRDefault="00B35F77" w:rsidP="00F04E4D">
      <w:pPr>
        <w:pStyle w:val="SingleTxtG"/>
        <w:ind w:left="2268" w:hanging="1134"/>
      </w:pPr>
      <w:r w:rsidRPr="008D6E41">
        <w:rPr>
          <w:bCs/>
        </w:rPr>
        <w:t>«</w:t>
      </w:r>
      <w:r w:rsidRPr="008D6E41">
        <w:rPr>
          <w:b/>
        </w:rPr>
        <w:t> </w:t>
      </w:r>
      <w:r w:rsidRPr="008D6E41">
        <w:t>5.8.6</w:t>
      </w:r>
      <w:r w:rsidRPr="008D6E41">
        <w:tab/>
        <w:t>Moment de freinage lorsque la remorque fait marche arrière (y compris la résistance au roulement</w:t>
      </w:r>
    </w:p>
    <w:p w:rsidR="00B35F77" w:rsidRPr="008D6E41" w:rsidRDefault="00B35F77" w:rsidP="00B35F77">
      <w:pPr>
        <w:pStyle w:val="HChG"/>
        <w:spacing w:before="0" w:after="120" w:line="240" w:lineRule="auto"/>
        <w:ind w:left="2268" w:firstLine="0"/>
        <w:rPr>
          <w:b w:val="0"/>
          <w:sz w:val="20"/>
        </w:rPr>
      </w:pPr>
      <w:r w:rsidRPr="008D6E41">
        <w:rPr>
          <w:b w:val="0"/>
          <w:sz w:val="20"/>
        </w:rPr>
        <w:t>n • Mr</w:t>
      </w:r>
      <w:r w:rsidRPr="008D6E41">
        <w:rPr>
          <w:b w:val="0"/>
          <w:bCs/>
          <w:sz w:val="20"/>
        </w:rPr>
        <w:t xml:space="preserve"> </w:t>
      </w:r>
      <w:r w:rsidRPr="008D6E41">
        <w:rPr>
          <w:sz w:val="20"/>
        </w:rPr>
        <w:t>=</w:t>
      </w:r>
      <w:r w:rsidRPr="008D6E41">
        <w:rPr>
          <w:b w:val="0"/>
          <w:sz w:val="20"/>
        </w:rPr>
        <w:t>.........................................................................................................Nm</w:t>
      </w:r>
    </w:p>
    <w:p w:rsidR="00B35F77" w:rsidRPr="008D6E41" w:rsidRDefault="00B35F77" w:rsidP="00B35F77">
      <w:pPr>
        <w:pStyle w:val="SingleTxtG"/>
        <w:ind w:left="2268"/>
        <w:rPr>
          <w:b/>
        </w:rPr>
      </w:pPr>
      <w:r w:rsidRPr="008D6E41">
        <w:t>(ne doit pas dépasser 0,08</w:t>
      </w:r>
      <w:r w:rsidR="000749B3" w:rsidRPr="008D6E41">
        <w:t xml:space="preserve"> </w:t>
      </w:r>
      <w:r w:rsidRPr="008D6E41">
        <w:t>•</w:t>
      </w:r>
      <w:r w:rsidR="000749B3" w:rsidRPr="008D6E41">
        <w:t xml:space="preserve"> </w:t>
      </w:r>
      <w:r w:rsidRPr="008D6E41">
        <w:t>g</w:t>
      </w:r>
      <w:r w:rsidR="000749B3" w:rsidRPr="008D6E41">
        <w:t xml:space="preserve"> </w:t>
      </w:r>
      <w:r w:rsidRPr="008D6E41">
        <w:t>•</w:t>
      </w:r>
      <w:r w:rsidR="000749B3" w:rsidRPr="008D6E41">
        <w:t xml:space="preserve"> </w:t>
      </w:r>
      <w:r w:rsidRPr="008D6E41">
        <w:t>G</w:t>
      </w:r>
      <w:r w:rsidRPr="008D6E41">
        <w:rPr>
          <w:vertAlign w:val="subscript"/>
        </w:rPr>
        <w:t>A</w:t>
      </w:r>
      <w:r w:rsidR="000749B3" w:rsidRPr="008D6E41">
        <w:t xml:space="preserve"> </w:t>
      </w:r>
      <w:r w:rsidRPr="008D6E41">
        <w:t>•</w:t>
      </w:r>
      <w:r w:rsidR="000749B3" w:rsidRPr="008D6E41">
        <w:t xml:space="preserve"> </w:t>
      </w:r>
      <w:r w:rsidRPr="008D6E41">
        <w:t>R) ».</w:t>
      </w:r>
    </w:p>
    <w:p w:rsidR="00B35F77" w:rsidRPr="008D6E41" w:rsidRDefault="00B35F77" w:rsidP="00B35F77">
      <w:pPr>
        <w:pStyle w:val="SingleTxtG"/>
        <w:spacing w:before="240" w:after="0"/>
        <w:jc w:val="center"/>
        <w:rPr>
          <w:u w:val="single"/>
        </w:rPr>
      </w:pPr>
      <w:r w:rsidRPr="008D6E41">
        <w:rPr>
          <w:u w:val="single"/>
        </w:rPr>
        <w:tab/>
      </w:r>
      <w:r w:rsidRPr="008D6E41">
        <w:rPr>
          <w:u w:val="single"/>
        </w:rPr>
        <w:tab/>
      </w:r>
      <w:r w:rsidRPr="008D6E41">
        <w:rPr>
          <w:u w:val="single"/>
        </w:rPr>
        <w:tab/>
      </w:r>
    </w:p>
    <w:sectPr w:rsidR="00B35F77" w:rsidRPr="008D6E41" w:rsidSect="00D903FD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F0B" w:rsidRDefault="00407F0B" w:rsidP="00F95C08">
      <w:pPr>
        <w:spacing w:line="240" w:lineRule="auto"/>
      </w:pPr>
    </w:p>
  </w:endnote>
  <w:endnote w:type="continuationSeparator" w:id="0">
    <w:p w:rsidR="00407F0B" w:rsidRPr="00AC3823" w:rsidRDefault="00407F0B" w:rsidP="00AC3823">
      <w:pPr>
        <w:pStyle w:val="Footer"/>
      </w:pPr>
    </w:p>
  </w:endnote>
  <w:endnote w:type="continuationNotice" w:id="1">
    <w:p w:rsidR="00407F0B" w:rsidRDefault="00407F0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FD" w:rsidRPr="00D903FD" w:rsidRDefault="00D903FD" w:rsidP="00D903FD">
    <w:pPr>
      <w:pStyle w:val="Footer"/>
      <w:tabs>
        <w:tab w:val="right" w:pos="9638"/>
      </w:tabs>
    </w:pPr>
    <w:r w:rsidRPr="00D903FD">
      <w:rPr>
        <w:b/>
        <w:sz w:val="18"/>
      </w:rPr>
      <w:fldChar w:fldCharType="begin"/>
    </w:r>
    <w:r w:rsidRPr="00D903FD">
      <w:rPr>
        <w:b/>
        <w:sz w:val="18"/>
      </w:rPr>
      <w:instrText xml:space="preserve"> PAGE  \* MERGEFORMAT </w:instrText>
    </w:r>
    <w:r w:rsidRPr="00D903FD">
      <w:rPr>
        <w:b/>
        <w:sz w:val="18"/>
      </w:rPr>
      <w:fldChar w:fldCharType="separate"/>
    </w:r>
    <w:r w:rsidR="00C3219D">
      <w:rPr>
        <w:b/>
        <w:noProof/>
        <w:sz w:val="18"/>
      </w:rPr>
      <w:t>2</w:t>
    </w:r>
    <w:r w:rsidRPr="00D903FD">
      <w:rPr>
        <w:b/>
        <w:sz w:val="18"/>
      </w:rPr>
      <w:fldChar w:fldCharType="end"/>
    </w:r>
    <w:r>
      <w:rPr>
        <w:b/>
        <w:sz w:val="18"/>
      </w:rPr>
      <w:tab/>
    </w:r>
    <w:r>
      <w:t>GE.16-05490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FD" w:rsidRPr="00D903FD" w:rsidRDefault="00D903FD" w:rsidP="00D903FD">
    <w:pPr>
      <w:pStyle w:val="Footer"/>
      <w:tabs>
        <w:tab w:val="right" w:pos="9638"/>
      </w:tabs>
      <w:rPr>
        <w:b/>
        <w:sz w:val="18"/>
      </w:rPr>
    </w:pPr>
    <w:r>
      <w:t>GE.16-05490</w:t>
    </w:r>
    <w:r>
      <w:tab/>
    </w:r>
    <w:r w:rsidRPr="00D903FD">
      <w:rPr>
        <w:b/>
        <w:sz w:val="18"/>
      </w:rPr>
      <w:fldChar w:fldCharType="begin"/>
    </w:r>
    <w:r w:rsidRPr="00D903FD">
      <w:rPr>
        <w:b/>
        <w:sz w:val="18"/>
      </w:rPr>
      <w:instrText xml:space="preserve"> PAGE  \* MERGEFORMAT </w:instrText>
    </w:r>
    <w:r w:rsidRPr="00D903FD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D903F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FA" w:rsidRPr="00D903FD" w:rsidRDefault="00D903FD" w:rsidP="00D903FD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1D536EEA" wp14:editId="24D2C68D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16-05490  (F)</w:t>
    </w:r>
    <w:r w:rsidR="00B35F77">
      <w:rPr>
        <w:sz w:val="20"/>
      </w:rPr>
      <w:t xml:space="preserve">   030516    030516</w:t>
    </w:r>
    <w:r>
      <w:rPr>
        <w:sz w:val="20"/>
      </w:rPr>
      <w:br/>
    </w:r>
    <w:r w:rsidRPr="00D903FD">
      <w:rPr>
        <w:rFonts w:ascii="C39T30Lfz" w:hAnsi="C39T30Lfz"/>
        <w:sz w:val="56"/>
      </w:rPr>
      <w:t></w:t>
    </w:r>
    <w:r w:rsidRPr="00D903FD">
      <w:rPr>
        <w:rFonts w:ascii="C39T30Lfz" w:hAnsi="C39T30Lfz"/>
        <w:sz w:val="56"/>
      </w:rPr>
      <w:t></w:t>
    </w:r>
    <w:r w:rsidRPr="00D903FD">
      <w:rPr>
        <w:rFonts w:ascii="C39T30Lfz" w:hAnsi="C39T30Lfz"/>
        <w:sz w:val="56"/>
      </w:rPr>
      <w:t></w:t>
    </w:r>
    <w:r w:rsidRPr="00D903FD">
      <w:rPr>
        <w:rFonts w:ascii="C39T30Lfz" w:hAnsi="C39T30Lfz"/>
        <w:sz w:val="56"/>
      </w:rPr>
      <w:t></w:t>
    </w:r>
    <w:r w:rsidRPr="00D903FD">
      <w:rPr>
        <w:rFonts w:ascii="C39T30Lfz" w:hAnsi="C39T30Lfz"/>
        <w:sz w:val="56"/>
      </w:rPr>
      <w:t></w:t>
    </w:r>
    <w:r w:rsidRPr="00D903FD">
      <w:rPr>
        <w:rFonts w:ascii="C39T30Lfz" w:hAnsi="C39T30Lfz"/>
        <w:sz w:val="56"/>
      </w:rPr>
      <w:t></w:t>
    </w:r>
    <w:r w:rsidRPr="00D903FD">
      <w:rPr>
        <w:rFonts w:ascii="C39T30Lfz" w:hAnsi="C39T30Lfz"/>
        <w:sz w:val="56"/>
      </w:rPr>
      <w:t></w:t>
    </w:r>
    <w:r w:rsidRPr="00D903FD">
      <w:rPr>
        <w:rFonts w:ascii="C39T30Lfz" w:hAnsi="C39T30Lfz"/>
        <w:sz w:val="56"/>
      </w:rPr>
      <w:t></w:t>
    </w:r>
    <w:r w:rsidRPr="00D903FD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WP.29/2016/49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2016/49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F0B" w:rsidRPr="00AC3823" w:rsidRDefault="00407F0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07F0B" w:rsidRPr="00AC3823" w:rsidRDefault="00407F0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07F0B" w:rsidRPr="00AC3823" w:rsidRDefault="00407F0B">
      <w:pPr>
        <w:spacing w:line="240" w:lineRule="auto"/>
        <w:rPr>
          <w:sz w:val="2"/>
          <w:szCs w:val="2"/>
        </w:rPr>
      </w:pPr>
    </w:p>
  </w:footnote>
  <w:footnote w:id="2">
    <w:p w:rsidR="00B35F77" w:rsidRPr="008D6E41" w:rsidRDefault="00B35F77" w:rsidP="00B35F77">
      <w:pPr>
        <w:pStyle w:val="FootnoteText"/>
        <w:rPr>
          <w:spacing w:val="-2"/>
        </w:rPr>
      </w:pPr>
      <w:r w:rsidRPr="008D6E41">
        <w:tab/>
      </w:r>
      <w:r w:rsidRPr="008D6E41">
        <w:rPr>
          <w:sz w:val="20"/>
        </w:rPr>
        <w:t>*</w:t>
      </w:r>
      <w:r w:rsidRPr="008D6E41">
        <w:rPr>
          <w:sz w:val="20"/>
        </w:rPr>
        <w:tab/>
      </w:r>
      <w:r w:rsidRPr="008D6E41">
        <w:rPr>
          <w:spacing w:val="-2"/>
        </w:rPr>
        <w:t>Conformément au programme de travail du Comité des transports intérieurs pour la période 2016-2017 (ECE/TRANS/254, par. 159, et ECE/TRANS/2016/28/Add.1, activité 3.1), le Forum mondial a pour mission d’élaborer, d’harmoniser et de mettre à jour les Règlements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FD" w:rsidRPr="00D903FD" w:rsidRDefault="00D903FD">
    <w:pPr>
      <w:pStyle w:val="Header"/>
    </w:pPr>
    <w:r>
      <w:t>ECE/TRANS/WP.29/2016/49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FD" w:rsidRPr="00D903FD" w:rsidRDefault="00D903FD" w:rsidP="00D903FD">
    <w:pPr>
      <w:pStyle w:val="Header"/>
      <w:jc w:val="right"/>
    </w:pPr>
    <w:r>
      <w:t>ECE/TRANS/WP.29/2016/49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F0B"/>
    <w:rsid w:val="00017F94"/>
    <w:rsid w:val="00023842"/>
    <w:rsid w:val="000334F9"/>
    <w:rsid w:val="000749B3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407F0B"/>
    <w:rsid w:val="00441C3B"/>
    <w:rsid w:val="00446FE5"/>
    <w:rsid w:val="00452396"/>
    <w:rsid w:val="004837D8"/>
    <w:rsid w:val="004E468C"/>
    <w:rsid w:val="005505B7"/>
    <w:rsid w:val="00573BE5"/>
    <w:rsid w:val="00586ED3"/>
    <w:rsid w:val="00596AA9"/>
    <w:rsid w:val="00701FFC"/>
    <w:rsid w:val="0071601D"/>
    <w:rsid w:val="007A62E6"/>
    <w:rsid w:val="007F20FA"/>
    <w:rsid w:val="0080684C"/>
    <w:rsid w:val="00871C75"/>
    <w:rsid w:val="008776DC"/>
    <w:rsid w:val="008D6E41"/>
    <w:rsid w:val="009705C8"/>
    <w:rsid w:val="009C1CF4"/>
    <w:rsid w:val="009F6B74"/>
    <w:rsid w:val="00A30353"/>
    <w:rsid w:val="00AC3823"/>
    <w:rsid w:val="00AE323C"/>
    <w:rsid w:val="00AF0CB5"/>
    <w:rsid w:val="00B00181"/>
    <w:rsid w:val="00B00B0D"/>
    <w:rsid w:val="00B35F77"/>
    <w:rsid w:val="00B765F7"/>
    <w:rsid w:val="00BA0CA9"/>
    <w:rsid w:val="00C02897"/>
    <w:rsid w:val="00C3219D"/>
    <w:rsid w:val="00D3439C"/>
    <w:rsid w:val="00D903FD"/>
    <w:rsid w:val="00DB1831"/>
    <w:rsid w:val="00DD3BFD"/>
    <w:rsid w:val="00DF6678"/>
    <w:rsid w:val="00E85C74"/>
    <w:rsid w:val="00EA6547"/>
    <w:rsid w:val="00EF2E22"/>
    <w:rsid w:val="00F04E4D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B35F77"/>
    <w:rPr>
      <w:rFonts w:ascii="Times New Roman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rsid w:val="00B35F77"/>
    <w:rPr>
      <w:rFonts w:ascii="Times New Roman" w:hAnsi="Times New Roman" w:cs="Times New Roman"/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749B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B35F77"/>
    <w:rPr>
      <w:rFonts w:ascii="Times New Roman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rsid w:val="00B35F77"/>
    <w:rPr>
      <w:rFonts w:ascii="Times New Roman" w:hAnsi="Times New Roman" w:cs="Times New Roman"/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74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1903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ECE/TRANS/WP.29/2016/49</vt:lpstr>
      <vt:lpstr>ECE/TRANS/WP.29/2016/49</vt:lpstr>
    </vt:vector>
  </TitlesOfParts>
  <Company>DCM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ECE/TRANS/WP.29/2016/49</dc:title>
  <dc:creator>Morin</dc:creator>
  <cp:lastModifiedBy>Benedicte Boudol</cp:lastModifiedBy>
  <cp:revision>2</cp:revision>
  <cp:lastPrinted>2014-05-14T10:59:00Z</cp:lastPrinted>
  <dcterms:created xsi:type="dcterms:W3CDTF">2016-05-03T13:54:00Z</dcterms:created>
  <dcterms:modified xsi:type="dcterms:W3CDTF">2016-05-03T13:54:00Z</dcterms:modified>
</cp:coreProperties>
</file>