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10159">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10159" w:rsidP="00410159">
            <w:pPr>
              <w:jc w:val="right"/>
            </w:pPr>
            <w:r w:rsidRPr="00410159">
              <w:rPr>
                <w:sz w:val="40"/>
              </w:rPr>
              <w:t>ECE</w:t>
            </w:r>
            <w:r>
              <w:t>/TRANS/WP.29/2016/36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10159" w:rsidP="00892A2F">
            <w:pPr>
              <w:spacing w:before="240"/>
            </w:pPr>
            <w:r>
              <w:t>Distr. générale</w:t>
            </w:r>
          </w:p>
          <w:p w:rsidR="00410159" w:rsidRDefault="00410159" w:rsidP="00410159">
            <w:pPr>
              <w:spacing w:line="240" w:lineRule="exact"/>
            </w:pPr>
            <w:r>
              <w:t>11 avril 2016</w:t>
            </w:r>
          </w:p>
          <w:p w:rsidR="00410159" w:rsidRDefault="00410159" w:rsidP="00410159">
            <w:pPr>
              <w:spacing w:line="240" w:lineRule="exact"/>
            </w:pPr>
            <w:r>
              <w:t>Français</w:t>
            </w:r>
          </w:p>
          <w:p w:rsidR="00410159" w:rsidRPr="00DB58B5" w:rsidRDefault="00410159" w:rsidP="0041015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10159" w:rsidRPr="00A80ECA" w:rsidRDefault="00410159" w:rsidP="00410159">
      <w:pPr>
        <w:spacing w:before="120"/>
        <w:rPr>
          <w:b/>
          <w:sz w:val="24"/>
          <w:szCs w:val="24"/>
          <w:lang w:val="fr-FR"/>
        </w:rPr>
      </w:pPr>
      <w:r w:rsidRPr="00A80ECA">
        <w:rPr>
          <w:b/>
          <w:sz w:val="24"/>
          <w:szCs w:val="24"/>
          <w:lang w:val="fr-FR"/>
        </w:rPr>
        <w:t xml:space="preserve">Forum mondial de l’harmonisation </w:t>
      </w:r>
      <w:r w:rsidRPr="00A80ECA">
        <w:rPr>
          <w:b/>
          <w:sz w:val="24"/>
          <w:szCs w:val="24"/>
          <w:lang w:val="fr-FR"/>
        </w:rPr>
        <w:br/>
        <w:t>des Règlements concernant les véhicules</w:t>
      </w:r>
    </w:p>
    <w:p w:rsidR="00410159" w:rsidRPr="00A80ECA" w:rsidRDefault="00410159" w:rsidP="00410159">
      <w:pPr>
        <w:spacing w:before="120"/>
        <w:rPr>
          <w:b/>
          <w:lang w:val="fr-FR"/>
        </w:rPr>
      </w:pPr>
      <w:r w:rsidRPr="00A80ECA">
        <w:rPr>
          <w:b/>
          <w:lang w:val="fr-FR"/>
        </w:rPr>
        <w:t>169</w:t>
      </w:r>
      <w:r w:rsidRPr="00A80ECA">
        <w:rPr>
          <w:b/>
          <w:vertAlign w:val="superscript"/>
          <w:lang w:val="fr-FR"/>
        </w:rPr>
        <w:t>e</w:t>
      </w:r>
      <w:r>
        <w:rPr>
          <w:b/>
          <w:lang w:val="fr-FR"/>
        </w:rPr>
        <w:t> </w:t>
      </w:r>
      <w:r w:rsidRPr="00A80ECA">
        <w:rPr>
          <w:b/>
          <w:lang w:val="fr-FR"/>
        </w:rPr>
        <w:t>session</w:t>
      </w:r>
    </w:p>
    <w:p w:rsidR="00410159" w:rsidRPr="00A80ECA" w:rsidRDefault="00410159" w:rsidP="00410159">
      <w:pPr>
        <w:rPr>
          <w:lang w:val="fr-FR"/>
        </w:rPr>
      </w:pPr>
      <w:r w:rsidRPr="00A80ECA">
        <w:rPr>
          <w:lang w:val="fr-FR"/>
        </w:rPr>
        <w:t>Genève, 21-24 juin 2016</w:t>
      </w:r>
    </w:p>
    <w:p w:rsidR="00410159" w:rsidRPr="00A80ECA" w:rsidRDefault="00410159" w:rsidP="00410159">
      <w:pPr>
        <w:rPr>
          <w:lang w:val="fr-FR"/>
        </w:rPr>
      </w:pPr>
      <w:r w:rsidRPr="00A80ECA">
        <w:rPr>
          <w:bCs/>
          <w:lang w:val="fr-FR"/>
        </w:rPr>
        <w:t xml:space="preserve">Point </w:t>
      </w:r>
      <w:r w:rsidRPr="00A80ECA">
        <w:rPr>
          <w:lang w:val="fr-FR"/>
        </w:rPr>
        <w:t xml:space="preserve">4.6.4 </w:t>
      </w:r>
      <w:r w:rsidRPr="00A80ECA">
        <w:rPr>
          <w:bCs/>
          <w:lang w:val="fr-FR"/>
        </w:rPr>
        <w:t>de l’ordre du jour provisoire</w:t>
      </w:r>
    </w:p>
    <w:p w:rsidR="00410159" w:rsidRPr="00A80ECA" w:rsidRDefault="00410159" w:rsidP="00410159">
      <w:pPr>
        <w:rPr>
          <w:b/>
          <w:lang w:val="fr-FR"/>
        </w:rPr>
      </w:pPr>
      <w:r w:rsidRPr="00A80ECA">
        <w:rPr>
          <w:b/>
          <w:lang w:val="fr-FR"/>
        </w:rPr>
        <w:t xml:space="preserve">Accord de 1958 </w:t>
      </w:r>
      <w:r>
        <w:rPr>
          <w:b/>
          <w:lang w:val="fr-FR"/>
        </w:rPr>
        <w:t>−</w:t>
      </w:r>
      <w:r w:rsidRPr="00A80ECA">
        <w:rPr>
          <w:b/>
          <w:lang w:val="fr-FR"/>
        </w:rPr>
        <w:t xml:space="preserve"> Examen de projets d’amendements </w:t>
      </w:r>
      <w:r w:rsidRPr="00A80ECA">
        <w:rPr>
          <w:b/>
          <w:lang w:val="fr-FR"/>
        </w:rPr>
        <w:br/>
        <w:t>à des Règlements existants, proposés par le GRSP</w:t>
      </w:r>
    </w:p>
    <w:p w:rsidR="00410159" w:rsidRPr="00A80ECA" w:rsidRDefault="00410159" w:rsidP="00410159">
      <w:pPr>
        <w:pStyle w:val="HChG"/>
        <w:rPr>
          <w:lang w:val="fr-FR"/>
        </w:rPr>
      </w:pPr>
      <w:r w:rsidRPr="00A80ECA">
        <w:rPr>
          <w:lang w:val="fr-FR"/>
        </w:rPr>
        <w:tab/>
      </w:r>
      <w:r w:rsidRPr="00A80ECA">
        <w:rPr>
          <w:lang w:val="fr-FR"/>
        </w:rPr>
        <w:tab/>
        <w:t xml:space="preserve">Proposition de complément 7 à la série 06 d’amendements </w:t>
      </w:r>
      <w:r w:rsidRPr="00A80ECA">
        <w:rPr>
          <w:lang w:val="fr-FR"/>
        </w:rPr>
        <w:br/>
        <w:t>au Règlement n</w:t>
      </w:r>
      <w:r w:rsidRPr="00A80ECA">
        <w:rPr>
          <w:vertAlign w:val="superscript"/>
          <w:lang w:val="fr-FR"/>
        </w:rPr>
        <w:t>o</w:t>
      </w:r>
      <w:r w:rsidRPr="00A80ECA">
        <w:rPr>
          <w:lang w:val="fr-FR"/>
        </w:rPr>
        <w:t> 16 (Ceintures de sécurité, ancrages ISOFIX et i-Size)</w:t>
      </w:r>
    </w:p>
    <w:p w:rsidR="00410159" w:rsidRPr="00A80ECA" w:rsidRDefault="00410159" w:rsidP="00410159">
      <w:pPr>
        <w:pStyle w:val="H1G"/>
        <w:rPr>
          <w:lang w:val="fr-FR"/>
        </w:rPr>
      </w:pPr>
      <w:r w:rsidRPr="00A80ECA">
        <w:rPr>
          <w:lang w:val="fr-FR"/>
        </w:rPr>
        <w:tab/>
      </w:r>
      <w:r w:rsidRPr="00A80ECA">
        <w:rPr>
          <w:lang w:val="fr-FR"/>
        </w:rPr>
        <w:tab/>
        <w:t>Communication du Groupe de travail de la sécurité passive</w:t>
      </w:r>
      <w:r w:rsidRPr="00410159">
        <w:rPr>
          <w:rStyle w:val="FootnoteReference"/>
          <w:b w:val="0"/>
          <w:sz w:val="20"/>
          <w:vertAlign w:val="baseline"/>
          <w:lang w:val="fr-FR"/>
        </w:rPr>
        <w:footnoteReference w:customMarkFollows="1" w:id="2"/>
        <w:t>*</w:t>
      </w:r>
    </w:p>
    <w:p w:rsidR="00410159" w:rsidRPr="00A80ECA" w:rsidRDefault="00410159" w:rsidP="00410159">
      <w:pPr>
        <w:pStyle w:val="SingleTxtG"/>
        <w:ind w:firstLine="567"/>
        <w:rPr>
          <w:lang w:val="fr-FR"/>
        </w:rPr>
      </w:pPr>
      <w:r w:rsidRPr="00A80ECA">
        <w:rPr>
          <w:lang w:val="fr-FR"/>
        </w:rPr>
        <w:t>Le texte ci-après a été adopté par le Groupe de travail de la sécurité passive (GRSP) à sa cinquante-huitième session (ECE/TRANS/WP.29/GRSP/58, par. 43</w:t>
      </w:r>
      <w:r w:rsidRPr="00A80ECA">
        <w:rPr>
          <w:bCs/>
          <w:lang w:val="fr-FR"/>
        </w:rPr>
        <w:t>)</w:t>
      </w:r>
      <w:r w:rsidRPr="00A80ECA">
        <w:rPr>
          <w:lang w:val="fr-FR" w:eastAsia="it-IT"/>
        </w:rPr>
        <w:t xml:space="preserve">. </w:t>
      </w:r>
      <w:r w:rsidRPr="00A80ECA">
        <w:rPr>
          <w:lang w:val="fr-FR"/>
        </w:rPr>
        <w:t>Il a été établi sur la base du document</w:t>
      </w:r>
      <w:r w:rsidRPr="00A80ECA">
        <w:rPr>
          <w:lang w:val="fr-FR" w:eastAsia="ja-JP"/>
        </w:rPr>
        <w:t xml:space="preserve"> </w:t>
      </w:r>
      <w:r w:rsidRPr="00A80ECA">
        <w:rPr>
          <w:lang w:val="fr-FR"/>
        </w:rPr>
        <w:t>ECE/TRANS/WP.29/GRSP/2015/25, tel que modifié par l’annexe V au rapport. Il est soumis au Forum mondial de l’harmonisation des Règlements concernant les véhicules (WP.29) et au Comité d’administration (AC.1) pour examen.</w:t>
      </w:r>
    </w:p>
    <w:p w:rsidR="00410159" w:rsidRPr="00A80ECA" w:rsidRDefault="00410159" w:rsidP="00410159">
      <w:pPr>
        <w:pStyle w:val="HChG"/>
        <w:rPr>
          <w:lang w:val="fr-FR"/>
        </w:rPr>
      </w:pPr>
      <w:r w:rsidRPr="00A80ECA">
        <w:rPr>
          <w:lang w:val="fr-FR"/>
        </w:rPr>
        <w:br w:type="page"/>
      </w:r>
      <w:r w:rsidRPr="00A80ECA">
        <w:rPr>
          <w:lang w:val="fr-FR"/>
        </w:rPr>
        <w:lastRenderedPageBreak/>
        <w:tab/>
      </w:r>
      <w:r w:rsidRPr="00A80ECA">
        <w:rPr>
          <w:lang w:val="fr-FR"/>
        </w:rPr>
        <w:tab/>
        <w:t>Complément 7 à la série 06 d’amendements au Règlement n</w:t>
      </w:r>
      <w:r w:rsidRPr="00A80ECA">
        <w:rPr>
          <w:vertAlign w:val="superscript"/>
          <w:lang w:val="fr-FR"/>
        </w:rPr>
        <w:t>o</w:t>
      </w:r>
      <w:r w:rsidRPr="00A80ECA">
        <w:rPr>
          <w:lang w:val="fr-FR"/>
        </w:rPr>
        <w:t> 16 (Ceintures de sécurité, ancrages ISOFIX et i-Size)</w:t>
      </w:r>
    </w:p>
    <w:p w:rsidR="00410159" w:rsidRPr="00A80ECA" w:rsidRDefault="00410159" w:rsidP="00410159">
      <w:pPr>
        <w:pStyle w:val="SingleTxtG"/>
        <w:rPr>
          <w:lang w:val="fr-FR"/>
        </w:rPr>
      </w:pPr>
      <w:r w:rsidRPr="00A80ECA">
        <w:rPr>
          <w:i/>
          <w:lang w:val="fr-FR"/>
        </w:rPr>
        <w:t>Paragraphe 2.14.6</w:t>
      </w:r>
      <w:r w:rsidRPr="00410159">
        <w:rPr>
          <w:iCs/>
          <w:lang w:val="fr-FR"/>
        </w:rPr>
        <w:t>,</w:t>
      </w:r>
      <w:r w:rsidRPr="00A80ECA">
        <w:rPr>
          <w:lang w:val="fr-FR"/>
        </w:rPr>
        <w:t xml:space="preserve"> modifier comme suit</w:t>
      </w:r>
      <w:r>
        <w:rPr>
          <w:lang w:val="fr-FR"/>
        </w:rPr>
        <w:t> </w:t>
      </w:r>
      <w:r w:rsidRPr="00A80ECA">
        <w:rPr>
          <w:lang w:val="fr-FR"/>
        </w:rPr>
        <w:t>:</w:t>
      </w:r>
    </w:p>
    <w:p w:rsidR="00410159" w:rsidRPr="00A80ECA" w:rsidRDefault="00410159" w:rsidP="00410159">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617"/>
        </w:tabs>
        <w:ind w:left="2268" w:hanging="1134"/>
        <w:rPr>
          <w:lang w:val="fr-FR"/>
        </w:rPr>
      </w:pPr>
      <w:r w:rsidRPr="00A80ECA">
        <w:rPr>
          <w:lang w:val="fr-FR"/>
        </w:rPr>
        <w:t>«</w:t>
      </w:r>
      <w:r>
        <w:rPr>
          <w:lang w:val="fr-FR"/>
        </w:rPr>
        <w:t> </w:t>
      </w:r>
      <w:r w:rsidRPr="00A80ECA">
        <w:rPr>
          <w:lang w:val="fr-FR"/>
        </w:rPr>
        <w:t>2.14.6</w:t>
      </w:r>
      <w:r w:rsidRPr="00A80ECA">
        <w:rPr>
          <w:lang w:val="fr-FR"/>
        </w:rPr>
        <w:tab/>
        <w:t>“Dispositif d’adaptation en hauteur de la ceinture</w:t>
      </w:r>
      <w:r>
        <w:rPr>
          <w:lang w:val="fr-FR"/>
        </w:rPr>
        <w:tab/>
        <w:t>”</w:t>
      </w:r>
    </w:p>
    <w:p w:rsidR="00410159" w:rsidRPr="00A80ECA" w:rsidRDefault="00410159" w:rsidP="00410159">
      <w:pPr>
        <w:pStyle w:val="SingleTxtG"/>
        <w:ind w:left="2268"/>
        <w:rPr>
          <w:lang w:val="fr-FR"/>
        </w:rPr>
      </w:pPr>
      <w:r w:rsidRPr="00A80ECA">
        <w:rPr>
          <w:lang w:val="fr-FR"/>
        </w:rPr>
        <w:t>Dispositif permettant de régler la position en hauteur du renvoi supérieur de la ceinture (directement fixé sur le véhicule ou sur l’armature rigide du siège) selon les besoins de l’utilisateur individuel et la position du siège. Un tel dispositif peut être considéré comme partie de la ceinture ou partie de l’ancrage de la ceinture.</w:t>
      </w:r>
      <w:r>
        <w:rPr>
          <w:lang w:val="fr-FR"/>
        </w:rPr>
        <w:t> </w:t>
      </w:r>
      <w:r w:rsidRPr="00A80ECA">
        <w:rPr>
          <w:lang w:val="fr-FR"/>
        </w:rPr>
        <w:t>».</w:t>
      </w:r>
    </w:p>
    <w:p w:rsidR="00410159" w:rsidRPr="00A80ECA" w:rsidRDefault="00410159" w:rsidP="00410159">
      <w:pPr>
        <w:pStyle w:val="SingleTxtG"/>
        <w:rPr>
          <w:lang w:val="fr-FR"/>
        </w:rPr>
      </w:pPr>
      <w:r w:rsidRPr="00A80ECA">
        <w:rPr>
          <w:i/>
          <w:lang w:val="fr-FR"/>
        </w:rPr>
        <w:t>Ajouter un nouveau paragraphe 2.14.7</w:t>
      </w:r>
      <w:r w:rsidRPr="00410159">
        <w:rPr>
          <w:iCs/>
          <w:lang w:val="fr-FR"/>
        </w:rPr>
        <w:t xml:space="preserve">, </w:t>
      </w:r>
      <w:r w:rsidRPr="00A80ECA">
        <w:rPr>
          <w:lang w:val="fr-FR"/>
        </w:rPr>
        <w:t>ainsi conçu</w:t>
      </w:r>
      <w:r>
        <w:rPr>
          <w:lang w:val="fr-FR"/>
        </w:rPr>
        <w:t> </w:t>
      </w:r>
      <w:r w:rsidRPr="00A80ECA">
        <w:rPr>
          <w:lang w:val="fr-FR"/>
        </w:rPr>
        <w:t>:</w:t>
      </w:r>
    </w:p>
    <w:p w:rsidR="00410159" w:rsidRPr="00A80ECA" w:rsidRDefault="00410159" w:rsidP="00410159">
      <w:pPr>
        <w:pStyle w:val="SingleTxtG"/>
        <w:ind w:left="2259" w:hanging="1125"/>
        <w:rPr>
          <w:lang w:val="fr-FR"/>
        </w:rPr>
      </w:pPr>
      <w:r w:rsidRPr="00A80ECA">
        <w:rPr>
          <w:lang w:val="fr-FR"/>
        </w:rPr>
        <w:t>«</w:t>
      </w:r>
      <w:r>
        <w:rPr>
          <w:lang w:val="fr-FR"/>
        </w:rPr>
        <w:t> </w:t>
      </w:r>
      <w:r w:rsidRPr="00A80ECA">
        <w:rPr>
          <w:lang w:val="fr-FR"/>
        </w:rPr>
        <w:t>2.14.7</w:t>
      </w:r>
      <w:r w:rsidRPr="00A80ECA">
        <w:rPr>
          <w:lang w:val="fr-FR"/>
        </w:rPr>
        <w:tab/>
        <w:t>“Dispositif souple d’adaptation en hauteur de la ceinture”</w:t>
      </w:r>
    </w:p>
    <w:p w:rsidR="00410159" w:rsidRPr="00A80ECA" w:rsidRDefault="00410159" w:rsidP="00410159">
      <w:pPr>
        <w:pStyle w:val="SingleTxtG"/>
        <w:ind w:left="2268"/>
        <w:rPr>
          <w:lang w:val="fr-FR"/>
        </w:rPr>
      </w:pPr>
      <w:r w:rsidRPr="00A80ECA">
        <w:rPr>
          <w:lang w:val="fr-FR"/>
        </w:rPr>
        <w:t>Dispositif permettant de régler la hauteur de la ceinture en fonction de la taille de l’utilisateur, dont la pièce de réglage n’est pas directement fixée sur la structure du véhicule (par exemple, le montant) ou sur la structure du siège (par exemple, l’armature rigide du siège), mais avec lequel le réglage à l’épaule</w:t>
      </w:r>
      <w:r>
        <w:rPr>
          <w:lang w:val="fr-FR"/>
        </w:rPr>
        <w:t> </w:t>
      </w:r>
      <w:r w:rsidRPr="00A80ECA">
        <w:rPr>
          <w:lang w:val="fr-FR"/>
        </w:rPr>
        <w:t>:</w:t>
      </w:r>
    </w:p>
    <w:p w:rsidR="00410159" w:rsidRPr="00A80ECA" w:rsidRDefault="00410159" w:rsidP="00410159">
      <w:pPr>
        <w:pStyle w:val="SingleTxtG"/>
        <w:tabs>
          <w:tab w:val="left" w:pos="2268"/>
        </w:tabs>
        <w:ind w:left="2259"/>
        <w:rPr>
          <w:lang w:val="fr-FR"/>
        </w:rPr>
      </w:pPr>
      <w:r w:rsidRPr="00A80ECA">
        <w:rPr>
          <w:lang w:val="fr-FR"/>
        </w:rPr>
        <w:t>a)</w:t>
      </w:r>
      <w:r w:rsidRPr="00A80ECA">
        <w:rPr>
          <w:lang w:val="fr-FR"/>
        </w:rPr>
        <w:tab/>
      </w:r>
      <w:r>
        <w:rPr>
          <w:lang w:val="fr-FR"/>
        </w:rPr>
        <w:t>Est réalisé</w:t>
      </w:r>
      <w:r w:rsidRPr="00A80ECA">
        <w:rPr>
          <w:lang w:val="fr-FR"/>
        </w:rPr>
        <w:t xml:space="preserve"> par coulissage sur une structure souple</w:t>
      </w:r>
      <w:r>
        <w:rPr>
          <w:lang w:val="fr-FR"/>
        </w:rPr>
        <w:t> </w:t>
      </w:r>
      <w:r w:rsidRPr="00A80ECA">
        <w:rPr>
          <w:lang w:val="fr-FR"/>
        </w:rPr>
        <w:t>; et</w:t>
      </w:r>
    </w:p>
    <w:p w:rsidR="00410159" w:rsidRPr="00A80ECA" w:rsidRDefault="00410159" w:rsidP="00410159">
      <w:pPr>
        <w:pStyle w:val="SingleTxtG"/>
        <w:ind w:left="2259"/>
        <w:rPr>
          <w:lang w:val="fr-FR"/>
        </w:rPr>
      </w:pPr>
      <w:r w:rsidRPr="00A80ECA">
        <w:rPr>
          <w:lang w:val="fr-FR"/>
        </w:rPr>
        <w:t>b)</w:t>
      </w:r>
      <w:r w:rsidRPr="00A80ECA">
        <w:rPr>
          <w:lang w:val="fr-FR"/>
        </w:rPr>
        <w:tab/>
        <w:t xml:space="preserve">Ne gêne pas le déplacement de la </w:t>
      </w:r>
      <w:r>
        <w:rPr>
          <w:lang w:val="fr-FR"/>
        </w:rPr>
        <w:t>ceinture</w:t>
      </w:r>
      <w:r w:rsidRPr="00A80ECA">
        <w:rPr>
          <w:lang w:val="fr-FR"/>
        </w:rPr>
        <w:t xml:space="preserve"> sous-abdominale.</w:t>
      </w:r>
      <w:r>
        <w:rPr>
          <w:lang w:val="fr-FR"/>
        </w:rPr>
        <w:t> </w:t>
      </w:r>
      <w:r w:rsidRPr="00A80ECA">
        <w:rPr>
          <w:lang w:val="fr-FR"/>
        </w:rPr>
        <w:t>»</w:t>
      </w:r>
      <w:r>
        <w:rPr>
          <w:lang w:val="fr-FR"/>
        </w:rPr>
        <w:t>.</w:t>
      </w:r>
    </w:p>
    <w:p w:rsidR="00410159" w:rsidRPr="00A80ECA" w:rsidRDefault="00410159" w:rsidP="00410159">
      <w:pPr>
        <w:pStyle w:val="SingleTxtG"/>
        <w:rPr>
          <w:lang w:val="fr-FR"/>
        </w:rPr>
      </w:pPr>
      <w:r w:rsidRPr="00A80ECA">
        <w:rPr>
          <w:i/>
          <w:lang w:val="fr-FR"/>
        </w:rPr>
        <w:t>Paragraphe 6.4.1.2.3</w:t>
      </w:r>
      <w:r w:rsidRPr="00410159">
        <w:rPr>
          <w:iCs/>
          <w:lang w:val="fr-FR"/>
        </w:rPr>
        <w:t xml:space="preserve">, </w:t>
      </w:r>
      <w:r w:rsidRPr="00A80ECA">
        <w:rPr>
          <w:lang w:val="fr-FR"/>
        </w:rPr>
        <w:t>modifier comme suit</w:t>
      </w:r>
      <w:r>
        <w:rPr>
          <w:lang w:val="fr-FR"/>
        </w:rPr>
        <w:t> </w:t>
      </w:r>
      <w:r w:rsidRPr="00A80ECA">
        <w:rPr>
          <w:lang w:val="fr-FR"/>
        </w:rPr>
        <w:t>:</w:t>
      </w:r>
    </w:p>
    <w:p w:rsidR="00410159" w:rsidRPr="00A80ECA" w:rsidRDefault="00410159" w:rsidP="00410159">
      <w:pPr>
        <w:pStyle w:val="SingleTxtG"/>
        <w:ind w:left="2268" w:hanging="1134"/>
        <w:rPr>
          <w:lang w:val="fr-FR"/>
        </w:rPr>
      </w:pPr>
      <w:r w:rsidRPr="00A80ECA">
        <w:rPr>
          <w:lang w:val="fr-FR"/>
        </w:rPr>
        <w:t>«</w:t>
      </w:r>
      <w:r>
        <w:rPr>
          <w:lang w:val="fr-FR"/>
        </w:rPr>
        <w:t> </w:t>
      </w:r>
      <w:r w:rsidRPr="00A80ECA">
        <w:rPr>
          <w:lang w:val="fr-FR"/>
        </w:rPr>
        <w:t>6.4.1.2.3</w:t>
      </w:r>
      <w:r w:rsidRPr="00A80ECA">
        <w:rPr>
          <w:lang w:val="fr-FR"/>
        </w:rPr>
        <w:tab/>
        <w:t>Dans le cas d’une ceinture destinée à être utilisée avec un dispositif d’adaptation en hauteur tel qu’il est défini au paragraphe 2.14.6 ci-dessus l’essai doit être effectué avec le dispositif réglé dans la ou les positions les plus défavorables choisies par le service technique chargé des essais. Toutefois</w:t>
      </w:r>
      <w:r>
        <w:rPr>
          <w:lang w:val="fr-FR"/>
        </w:rPr>
        <w:t> </w:t>
      </w:r>
      <w:r w:rsidRPr="00A80ECA">
        <w:rPr>
          <w:lang w:val="fr-FR"/>
        </w:rPr>
        <w:t>:</w:t>
      </w:r>
    </w:p>
    <w:p w:rsidR="00410159" w:rsidRPr="00A80ECA" w:rsidRDefault="00410159" w:rsidP="00410159">
      <w:pPr>
        <w:pStyle w:val="SingleTxtG"/>
        <w:ind w:left="2268" w:hanging="1134"/>
        <w:rPr>
          <w:lang w:val="fr-FR"/>
        </w:rPr>
      </w:pPr>
      <w:r w:rsidRPr="00A80ECA">
        <w:rPr>
          <w:lang w:val="fr-FR"/>
        </w:rPr>
        <w:t>6.4.1.2.3.1</w:t>
      </w:r>
      <w:r w:rsidRPr="00A80ECA">
        <w:rPr>
          <w:lang w:val="fr-FR"/>
        </w:rPr>
        <w:tab/>
      </w:r>
      <w:r>
        <w:rPr>
          <w:lang w:val="fr-FR"/>
        </w:rPr>
        <w:t>S</w:t>
      </w:r>
      <w:r w:rsidRPr="00A80ECA">
        <w:rPr>
          <w:lang w:val="fr-FR"/>
        </w:rPr>
        <w:t>i le dispositif d’adaptation en hauteur est constitué par l’ancrage lui-même, ainsi que les dispositions du Règlement n</w:t>
      </w:r>
      <w:r w:rsidRPr="00A44D01">
        <w:rPr>
          <w:vertAlign w:val="superscript"/>
          <w:lang w:val="fr-FR"/>
        </w:rPr>
        <w:t>o</w:t>
      </w:r>
      <w:r w:rsidRPr="00A80ECA">
        <w:rPr>
          <w:lang w:val="fr-FR"/>
        </w:rPr>
        <w:t> 14 l’autorisent, le service technique chargé des essais peut, à son gré, appliquer les dispositions du paragraphe 7.7.1 ci-après</w:t>
      </w:r>
      <w:r>
        <w:rPr>
          <w:lang w:val="fr-FR"/>
        </w:rPr>
        <w:t> </w:t>
      </w:r>
      <w:r w:rsidRPr="00A80ECA">
        <w:rPr>
          <w:lang w:val="fr-FR"/>
        </w:rPr>
        <w:t>;</w:t>
      </w:r>
      <w:r>
        <w:rPr>
          <w:lang w:val="fr-FR"/>
        </w:rPr>
        <w:t> </w:t>
      </w:r>
      <w:r w:rsidRPr="00A80ECA">
        <w:rPr>
          <w:lang w:val="fr-FR"/>
        </w:rPr>
        <w:t>»</w:t>
      </w:r>
      <w:r>
        <w:rPr>
          <w:lang w:val="fr-FR"/>
        </w:rPr>
        <w:t>.</w:t>
      </w:r>
    </w:p>
    <w:p w:rsidR="00410159" w:rsidRPr="00A80ECA" w:rsidRDefault="00410159" w:rsidP="00410159">
      <w:pPr>
        <w:pStyle w:val="SingleTxtG"/>
        <w:rPr>
          <w:i/>
          <w:lang w:val="fr-FR"/>
        </w:rPr>
      </w:pPr>
      <w:r w:rsidRPr="00A80ECA">
        <w:rPr>
          <w:i/>
          <w:lang w:val="fr-FR"/>
        </w:rPr>
        <w:t>Ajouter un nouveau paragraphe 6.4.1.2.3.2</w:t>
      </w:r>
      <w:r w:rsidRPr="00A80ECA">
        <w:rPr>
          <w:lang w:val="fr-FR"/>
        </w:rPr>
        <w:t>, ainsi conçu</w:t>
      </w:r>
      <w:r>
        <w:rPr>
          <w:lang w:val="fr-FR"/>
        </w:rPr>
        <w:t> </w:t>
      </w:r>
      <w:r w:rsidRPr="00A80ECA">
        <w:rPr>
          <w:lang w:val="fr-FR"/>
        </w:rPr>
        <w:t>:</w:t>
      </w:r>
    </w:p>
    <w:p w:rsidR="00410159" w:rsidRPr="004B41A7" w:rsidRDefault="00410159" w:rsidP="00410159">
      <w:pPr>
        <w:pStyle w:val="SingleTxtG"/>
        <w:tabs>
          <w:tab w:val="left" w:pos="1560"/>
        </w:tabs>
        <w:ind w:left="2268" w:hanging="1134"/>
        <w:rPr>
          <w:spacing w:val="-2"/>
          <w:lang w:val="fr-FR"/>
        </w:rPr>
      </w:pPr>
      <w:r w:rsidRPr="00A80ECA">
        <w:rPr>
          <w:lang w:val="fr-FR"/>
        </w:rPr>
        <w:t>«</w:t>
      </w:r>
      <w:r>
        <w:rPr>
          <w:lang w:val="fr-FR"/>
        </w:rPr>
        <w:t> </w:t>
      </w:r>
      <w:r w:rsidRPr="00A80ECA">
        <w:rPr>
          <w:lang w:val="fr-FR"/>
        </w:rPr>
        <w:t>6.4.1.2.3.2</w:t>
      </w:r>
      <w:r w:rsidRPr="00A80ECA">
        <w:rPr>
          <w:lang w:val="fr-FR"/>
        </w:rPr>
        <w:tab/>
      </w:r>
      <w:r w:rsidRPr="004B41A7">
        <w:rPr>
          <w:spacing w:val="-2"/>
          <w:lang w:val="fr-FR"/>
        </w:rPr>
        <w:t>S’il s’agit d’un dispositif souple d’adaptation en hauteur faisant partie de la ceinture, celui-ci doit subir les essais en tant que système de retenue et le service technique chargé des essais doit appliquer les dispositions du paragraphe 7.7.1 qui sont pertinentes pour les essais effectués sur la partie de la structure du véhicule à laquelle le système de retenue est normalement fixé. ».</w:t>
      </w:r>
    </w:p>
    <w:p w:rsidR="00410159" w:rsidRPr="00A80ECA" w:rsidRDefault="00410159" w:rsidP="00410159">
      <w:pPr>
        <w:pStyle w:val="SingleTxtG"/>
        <w:rPr>
          <w:lang w:val="fr-FR"/>
        </w:rPr>
      </w:pPr>
      <w:r w:rsidRPr="00A80ECA">
        <w:rPr>
          <w:i/>
          <w:lang w:val="fr-FR"/>
        </w:rPr>
        <w:t>Paragraphe 6.4.2.2,</w:t>
      </w:r>
      <w:r w:rsidRPr="00A80ECA">
        <w:rPr>
          <w:lang w:val="fr-FR"/>
        </w:rPr>
        <w:t xml:space="preserve"> </w:t>
      </w:r>
      <w:r w:rsidRPr="00A80ECA">
        <w:rPr>
          <w:i/>
          <w:lang w:val="fr-FR"/>
        </w:rPr>
        <w:t>tableau</w:t>
      </w:r>
      <w:r w:rsidRPr="00A80ECA">
        <w:rPr>
          <w:lang w:val="fr-FR"/>
        </w:rPr>
        <w:t>, modifier comme suit</w:t>
      </w:r>
      <w:r>
        <w:rPr>
          <w:lang w:val="fr-FR"/>
        </w:rPr>
        <w:t> </w:t>
      </w:r>
      <w:r w:rsidRPr="00A80ECA">
        <w:rPr>
          <w:lang w:val="fr-FR"/>
        </w:rPr>
        <w:t>:</w:t>
      </w:r>
    </w:p>
    <w:p w:rsidR="00410159" w:rsidRPr="00A80ECA" w:rsidRDefault="00410159" w:rsidP="004B41A7">
      <w:pPr>
        <w:pStyle w:val="SingleTxtG"/>
        <w:ind w:left="2268" w:hanging="1134"/>
        <w:rPr>
          <w:lang w:val="fr-FR"/>
        </w:rPr>
      </w:pPr>
      <w:r w:rsidRPr="00A80ECA">
        <w:rPr>
          <w:lang w:val="fr-FR"/>
        </w:rPr>
        <w:t>«</w:t>
      </w:r>
      <w:r>
        <w:rPr>
          <w:lang w:val="fr-FR"/>
        </w:rPr>
        <w:t> </w:t>
      </w:r>
      <w:r w:rsidRPr="00A80ECA">
        <w:rPr>
          <w:lang w:val="fr-FR"/>
        </w:rPr>
        <w:t>6.4.2.2</w:t>
      </w:r>
      <w:r w:rsidRPr="00A80ECA">
        <w:rPr>
          <w:lang w:val="fr-FR"/>
        </w:rPr>
        <w:tab/>
        <w:t>Les parties de la... Un spécimen neuf est utilisé pour chaque processus.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5"/>
        <w:gridCol w:w="1469"/>
        <w:gridCol w:w="1673"/>
        <w:gridCol w:w="1673"/>
      </w:tblGrid>
      <w:tr w:rsidR="00410159" w:rsidRPr="00A80ECA" w:rsidTr="00C355C9">
        <w:trPr>
          <w:tblHeader/>
        </w:trPr>
        <w:tc>
          <w:tcPr>
            <w:tcW w:w="2555" w:type="dxa"/>
            <w:tcBorders>
              <w:bottom w:val="single" w:sz="12" w:space="0" w:color="auto"/>
            </w:tcBorders>
            <w:shd w:val="clear" w:color="auto" w:fill="auto"/>
            <w:vAlign w:val="bottom"/>
          </w:tcPr>
          <w:p w:rsidR="00410159" w:rsidRPr="00A80ECA" w:rsidRDefault="00410159" w:rsidP="00A57871">
            <w:pPr>
              <w:suppressAutoHyphens w:val="0"/>
              <w:spacing w:before="80" w:after="80" w:line="200" w:lineRule="exact"/>
              <w:ind w:left="57" w:right="57"/>
              <w:rPr>
                <w:i/>
                <w:sz w:val="16"/>
                <w:lang w:val="fr-FR"/>
              </w:rPr>
            </w:pPr>
          </w:p>
        </w:tc>
        <w:tc>
          <w:tcPr>
            <w:tcW w:w="1469" w:type="dxa"/>
            <w:tcBorders>
              <w:bottom w:val="single" w:sz="12" w:space="0" w:color="auto"/>
            </w:tcBorders>
            <w:shd w:val="clear" w:color="auto" w:fill="auto"/>
            <w:vAlign w:val="bottom"/>
          </w:tcPr>
          <w:p w:rsidR="00410159" w:rsidRPr="00A80ECA" w:rsidRDefault="00410159" w:rsidP="00A57871">
            <w:pPr>
              <w:suppressAutoHyphens w:val="0"/>
              <w:spacing w:before="80" w:after="80" w:line="200" w:lineRule="exact"/>
              <w:ind w:left="57" w:right="57"/>
              <w:jc w:val="center"/>
              <w:rPr>
                <w:i/>
                <w:sz w:val="16"/>
                <w:lang w:val="fr-FR"/>
              </w:rPr>
            </w:pPr>
            <w:r w:rsidRPr="00A80ECA">
              <w:rPr>
                <w:i/>
                <w:sz w:val="16"/>
                <w:lang w:val="fr-FR"/>
              </w:rPr>
              <w:t>Procédure 1</w:t>
            </w:r>
          </w:p>
        </w:tc>
        <w:tc>
          <w:tcPr>
            <w:tcW w:w="1673" w:type="dxa"/>
            <w:tcBorders>
              <w:bottom w:val="single" w:sz="12" w:space="0" w:color="auto"/>
            </w:tcBorders>
            <w:shd w:val="clear" w:color="auto" w:fill="auto"/>
            <w:vAlign w:val="bottom"/>
          </w:tcPr>
          <w:p w:rsidR="00410159" w:rsidRPr="00A80ECA" w:rsidRDefault="00410159" w:rsidP="00A57871">
            <w:pPr>
              <w:suppressAutoHyphens w:val="0"/>
              <w:spacing w:before="80" w:after="80" w:line="200" w:lineRule="exact"/>
              <w:ind w:left="57" w:right="57"/>
              <w:jc w:val="center"/>
              <w:rPr>
                <w:i/>
                <w:sz w:val="16"/>
                <w:lang w:val="fr-FR"/>
              </w:rPr>
            </w:pPr>
            <w:r w:rsidRPr="00A80ECA">
              <w:rPr>
                <w:i/>
                <w:sz w:val="16"/>
                <w:lang w:val="fr-FR"/>
              </w:rPr>
              <w:t>Procédure 2</w:t>
            </w:r>
          </w:p>
        </w:tc>
        <w:tc>
          <w:tcPr>
            <w:tcW w:w="1673" w:type="dxa"/>
            <w:tcBorders>
              <w:bottom w:val="single" w:sz="12" w:space="0" w:color="auto"/>
            </w:tcBorders>
            <w:shd w:val="clear" w:color="auto" w:fill="auto"/>
            <w:vAlign w:val="bottom"/>
          </w:tcPr>
          <w:p w:rsidR="00410159" w:rsidRPr="00A80ECA" w:rsidRDefault="00410159" w:rsidP="00A57871">
            <w:pPr>
              <w:suppressAutoHyphens w:val="0"/>
              <w:spacing w:before="80" w:after="80" w:line="200" w:lineRule="exact"/>
              <w:ind w:left="57" w:right="57"/>
              <w:jc w:val="center"/>
              <w:rPr>
                <w:i/>
                <w:sz w:val="16"/>
                <w:lang w:val="fr-FR"/>
              </w:rPr>
            </w:pPr>
            <w:r w:rsidRPr="00A80ECA">
              <w:rPr>
                <w:i/>
                <w:sz w:val="16"/>
                <w:lang w:val="fr-FR"/>
              </w:rPr>
              <w:t>Procédure 3</w:t>
            </w:r>
          </w:p>
        </w:tc>
      </w:tr>
      <w:tr w:rsidR="00410159" w:rsidRPr="00A80ECA" w:rsidTr="00C355C9">
        <w:tc>
          <w:tcPr>
            <w:tcW w:w="2555" w:type="dxa"/>
            <w:tcBorders>
              <w:top w:val="single" w:sz="12" w:space="0" w:color="auto"/>
            </w:tcBorders>
            <w:shd w:val="clear" w:color="auto" w:fill="auto"/>
          </w:tcPr>
          <w:p w:rsidR="00410159" w:rsidRPr="00A80ECA" w:rsidRDefault="00410159" w:rsidP="00A57871">
            <w:pPr>
              <w:suppressAutoHyphens w:val="0"/>
              <w:spacing w:before="40" w:after="120" w:line="220" w:lineRule="exact"/>
              <w:ind w:left="57" w:right="57"/>
              <w:rPr>
                <w:lang w:val="fr-FR"/>
              </w:rPr>
            </w:pPr>
            <w:r w:rsidRPr="00A80ECA">
              <w:rPr>
                <w:lang w:val="fr-FR"/>
              </w:rPr>
              <w:t>Pièces de fixation</w:t>
            </w:r>
          </w:p>
        </w:tc>
        <w:tc>
          <w:tcPr>
            <w:tcW w:w="1469" w:type="dxa"/>
            <w:tcBorders>
              <w:top w:val="single" w:sz="12" w:space="0" w:color="auto"/>
            </w:tcBorders>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tcBorders>
              <w:top w:val="single" w:sz="12" w:space="0" w:color="auto"/>
            </w:tcBorders>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tcBorders>
              <w:top w:val="single" w:sz="12" w:space="0" w:color="auto"/>
            </w:tcBorders>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r>
      <w:tr w:rsidR="00410159" w:rsidRPr="00A80ECA" w:rsidTr="00C355C9">
        <w:tc>
          <w:tcPr>
            <w:tcW w:w="2555" w:type="dxa"/>
            <w:shd w:val="clear" w:color="auto" w:fill="auto"/>
          </w:tcPr>
          <w:p w:rsidR="00410159" w:rsidRPr="00A80ECA" w:rsidRDefault="00410159" w:rsidP="00A57871">
            <w:pPr>
              <w:suppressAutoHyphens w:val="0"/>
              <w:spacing w:before="40" w:after="120" w:line="220" w:lineRule="exact"/>
              <w:ind w:left="57" w:right="57"/>
              <w:rPr>
                <w:lang w:val="fr-FR"/>
              </w:rPr>
            </w:pPr>
            <w:r w:rsidRPr="00A80ECA">
              <w:rPr>
                <w:lang w:val="fr-FR"/>
              </w:rPr>
              <w:t>Renvoi</w:t>
            </w:r>
          </w:p>
        </w:tc>
        <w:tc>
          <w:tcPr>
            <w:tcW w:w="1469" w:type="dxa"/>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c>
          <w:tcPr>
            <w:tcW w:w="1673" w:type="dxa"/>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r>
      <w:tr w:rsidR="00410159" w:rsidRPr="00A80ECA" w:rsidTr="00C355C9">
        <w:tc>
          <w:tcPr>
            <w:tcW w:w="2555" w:type="dxa"/>
            <w:shd w:val="clear" w:color="auto" w:fill="auto"/>
          </w:tcPr>
          <w:p w:rsidR="00410159" w:rsidRPr="00A80ECA" w:rsidRDefault="00410159" w:rsidP="00A57871">
            <w:pPr>
              <w:suppressAutoHyphens w:val="0"/>
              <w:spacing w:before="40" w:after="120" w:line="220" w:lineRule="exact"/>
              <w:ind w:left="57" w:right="57"/>
              <w:rPr>
                <w:lang w:val="fr-FR"/>
              </w:rPr>
            </w:pPr>
            <w:r w:rsidRPr="00A80ECA">
              <w:rPr>
                <w:lang w:val="fr-FR"/>
              </w:rPr>
              <w:t>Anneau de boucle</w:t>
            </w:r>
          </w:p>
        </w:tc>
        <w:tc>
          <w:tcPr>
            <w:tcW w:w="1469" w:type="dxa"/>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c>
          <w:tcPr>
            <w:tcW w:w="1673" w:type="dxa"/>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r>
      <w:tr w:rsidR="00410159" w:rsidRPr="00A80ECA" w:rsidTr="00C355C9">
        <w:tc>
          <w:tcPr>
            <w:tcW w:w="2555" w:type="dxa"/>
            <w:tcBorders>
              <w:bottom w:val="single" w:sz="2" w:space="0" w:color="auto"/>
            </w:tcBorders>
            <w:shd w:val="clear" w:color="auto" w:fill="auto"/>
          </w:tcPr>
          <w:p w:rsidR="00410159" w:rsidRPr="00A80ECA" w:rsidRDefault="00410159" w:rsidP="00A57871">
            <w:pPr>
              <w:suppressAutoHyphens w:val="0"/>
              <w:spacing w:before="40" w:after="120" w:line="220" w:lineRule="exact"/>
              <w:ind w:left="57" w:right="57"/>
              <w:rPr>
                <w:lang w:val="fr-FR"/>
              </w:rPr>
            </w:pPr>
            <w:r w:rsidRPr="00A80ECA">
              <w:rPr>
                <w:lang w:val="fr-FR"/>
              </w:rPr>
              <w:lastRenderedPageBreak/>
              <w:t>Dispositif de réglage</w:t>
            </w:r>
          </w:p>
        </w:tc>
        <w:tc>
          <w:tcPr>
            <w:tcW w:w="1469" w:type="dxa"/>
            <w:tcBorders>
              <w:bottom w:val="single" w:sz="2" w:space="0" w:color="auto"/>
            </w:tcBorders>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c>
          <w:tcPr>
            <w:tcW w:w="1673" w:type="dxa"/>
            <w:tcBorders>
              <w:bottom w:val="single" w:sz="2" w:space="0" w:color="auto"/>
            </w:tcBorders>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tcBorders>
              <w:bottom w:val="single" w:sz="2" w:space="0" w:color="auto"/>
            </w:tcBorders>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r>
      <w:tr w:rsidR="00410159" w:rsidRPr="00A80ECA" w:rsidTr="00C355C9">
        <w:tc>
          <w:tcPr>
            <w:tcW w:w="2555" w:type="dxa"/>
            <w:shd w:val="clear" w:color="auto" w:fill="auto"/>
          </w:tcPr>
          <w:p w:rsidR="00410159" w:rsidRPr="00A80ECA" w:rsidRDefault="00410159" w:rsidP="00A57871">
            <w:pPr>
              <w:suppressAutoHyphens w:val="0"/>
              <w:spacing w:before="40" w:after="120" w:line="220" w:lineRule="exact"/>
              <w:ind w:left="57" w:right="57"/>
              <w:rPr>
                <w:lang w:val="fr-FR"/>
              </w:rPr>
            </w:pPr>
            <w:r w:rsidRPr="00A80ECA">
              <w:rPr>
                <w:lang w:val="fr-FR"/>
              </w:rPr>
              <w:t>Pièces cousues à la sangle</w:t>
            </w:r>
          </w:p>
        </w:tc>
        <w:tc>
          <w:tcPr>
            <w:tcW w:w="1469" w:type="dxa"/>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r>
      <w:tr w:rsidR="00410159" w:rsidRPr="00A80ECA" w:rsidTr="00C355C9">
        <w:tc>
          <w:tcPr>
            <w:tcW w:w="2555" w:type="dxa"/>
            <w:tcBorders>
              <w:bottom w:val="single" w:sz="12" w:space="0" w:color="auto"/>
            </w:tcBorders>
            <w:shd w:val="clear" w:color="auto" w:fill="auto"/>
          </w:tcPr>
          <w:p w:rsidR="00410159" w:rsidRPr="00A80ECA" w:rsidRDefault="00410159" w:rsidP="00A57871">
            <w:pPr>
              <w:suppressAutoHyphens w:val="0"/>
              <w:spacing w:before="40" w:after="120" w:line="220" w:lineRule="exact"/>
              <w:ind w:left="57" w:right="57"/>
              <w:rPr>
                <w:lang w:val="fr-FR"/>
              </w:rPr>
            </w:pPr>
            <w:r w:rsidRPr="00A80ECA">
              <w:rPr>
                <w:lang w:val="fr-FR"/>
              </w:rPr>
              <w:t>Dispositif souple d’adaptation en hauteur de la ceinture</w:t>
            </w:r>
          </w:p>
        </w:tc>
        <w:tc>
          <w:tcPr>
            <w:tcW w:w="1469" w:type="dxa"/>
            <w:tcBorders>
              <w:bottom w:val="single" w:sz="12" w:space="0" w:color="auto"/>
            </w:tcBorders>
            <w:shd w:val="clear" w:color="auto" w:fill="auto"/>
          </w:tcPr>
          <w:p w:rsidR="00410159" w:rsidRPr="00A80ECA" w:rsidRDefault="00410159" w:rsidP="00A57871">
            <w:pPr>
              <w:suppressAutoHyphens w:val="0"/>
              <w:spacing w:before="40" w:after="120" w:line="220" w:lineRule="exact"/>
              <w:ind w:left="57" w:right="57"/>
              <w:jc w:val="center"/>
              <w:rPr>
                <w:lang w:val="fr-FR"/>
              </w:rPr>
            </w:pPr>
            <w:r w:rsidRPr="00A80ECA">
              <w:rPr>
                <w:lang w:val="fr-FR"/>
              </w:rPr>
              <w:t>x</w:t>
            </w:r>
          </w:p>
        </w:tc>
        <w:tc>
          <w:tcPr>
            <w:tcW w:w="1673" w:type="dxa"/>
            <w:tcBorders>
              <w:bottom w:val="single" w:sz="12" w:space="0" w:color="auto"/>
            </w:tcBorders>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c>
          <w:tcPr>
            <w:tcW w:w="1673" w:type="dxa"/>
            <w:tcBorders>
              <w:bottom w:val="single" w:sz="12" w:space="0" w:color="auto"/>
            </w:tcBorders>
            <w:shd w:val="clear" w:color="auto" w:fill="auto"/>
          </w:tcPr>
          <w:p w:rsidR="00410159" w:rsidRPr="00A80ECA" w:rsidRDefault="004B41A7" w:rsidP="00A57871">
            <w:pPr>
              <w:suppressAutoHyphens w:val="0"/>
              <w:spacing w:before="40" w:after="120" w:line="220" w:lineRule="exact"/>
              <w:ind w:left="57" w:right="57"/>
              <w:jc w:val="center"/>
              <w:rPr>
                <w:lang w:val="fr-FR"/>
              </w:rPr>
            </w:pPr>
            <w:r>
              <w:rPr>
                <w:lang w:val="fr-FR"/>
              </w:rPr>
              <w:t>-</w:t>
            </w:r>
          </w:p>
        </w:tc>
      </w:tr>
    </w:tbl>
    <w:p w:rsidR="00410159" w:rsidRPr="00A80ECA" w:rsidRDefault="00410159" w:rsidP="00410159">
      <w:pPr>
        <w:pStyle w:val="SingleTxtG"/>
        <w:jc w:val="right"/>
        <w:rPr>
          <w:lang w:val="fr-FR"/>
        </w:rPr>
      </w:pPr>
      <w:r w:rsidRPr="00A80ECA">
        <w:rPr>
          <w:lang w:val="fr-FR"/>
        </w:rPr>
        <w:t>».</w:t>
      </w:r>
    </w:p>
    <w:p w:rsidR="00410159" w:rsidRPr="00A80ECA" w:rsidRDefault="00410159" w:rsidP="00410159">
      <w:pPr>
        <w:pStyle w:val="SingleTxtG"/>
        <w:rPr>
          <w:lang w:val="fr-FR"/>
        </w:rPr>
      </w:pPr>
      <w:r w:rsidRPr="00A80ECA">
        <w:rPr>
          <w:i/>
          <w:lang w:val="fr-FR"/>
        </w:rPr>
        <w:t>Paragraphe 8.1.1</w:t>
      </w:r>
      <w:r w:rsidRPr="00410159">
        <w:rPr>
          <w:iCs/>
          <w:lang w:val="fr-FR"/>
        </w:rPr>
        <w:t xml:space="preserve">, </w:t>
      </w:r>
      <w:r w:rsidRPr="00A80ECA">
        <w:rPr>
          <w:lang w:val="fr-FR"/>
        </w:rPr>
        <w:t>modifier comme suit</w:t>
      </w:r>
      <w:r>
        <w:rPr>
          <w:lang w:val="fr-FR"/>
        </w:rPr>
        <w:t> </w:t>
      </w:r>
      <w:r w:rsidRPr="00A80ECA">
        <w:rPr>
          <w:lang w:val="fr-FR"/>
        </w:rPr>
        <w:t>:</w:t>
      </w:r>
    </w:p>
    <w:p w:rsidR="00410159" w:rsidRPr="00A80ECA" w:rsidRDefault="00410159" w:rsidP="00410159">
      <w:pPr>
        <w:pStyle w:val="HChG"/>
        <w:tabs>
          <w:tab w:val="clear" w:pos="851"/>
        </w:tabs>
        <w:spacing w:before="120" w:after="120"/>
        <w:ind w:left="2268"/>
        <w:rPr>
          <w:b w:val="0"/>
          <w:sz w:val="20"/>
          <w:lang w:val="fr-FR"/>
        </w:rPr>
      </w:pPr>
      <w:r w:rsidRPr="00A80ECA">
        <w:rPr>
          <w:b w:val="0"/>
          <w:sz w:val="20"/>
          <w:lang w:val="fr-FR"/>
        </w:rPr>
        <w:t>«</w:t>
      </w:r>
      <w:r>
        <w:rPr>
          <w:b w:val="0"/>
          <w:sz w:val="20"/>
          <w:lang w:val="fr-FR"/>
        </w:rPr>
        <w:t> </w:t>
      </w:r>
      <w:r w:rsidRPr="00A80ECA">
        <w:rPr>
          <w:b w:val="0"/>
          <w:sz w:val="20"/>
          <w:lang w:val="fr-FR"/>
        </w:rPr>
        <w:t>8.1.1</w:t>
      </w:r>
      <w:r w:rsidRPr="00A80ECA">
        <w:rPr>
          <w:b w:val="0"/>
          <w:sz w:val="20"/>
          <w:lang w:val="fr-FR"/>
        </w:rPr>
        <w:tab/>
        <w:t>À l’exception des...</w:t>
      </w:r>
    </w:p>
    <w:p w:rsidR="00410159" w:rsidRPr="00A80ECA" w:rsidRDefault="00410159" w:rsidP="00410159">
      <w:pPr>
        <w:pStyle w:val="SingleTxtG"/>
        <w:ind w:left="2268"/>
        <w:rPr>
          <w:lang w:val="fr-FR"/>
        </w:rPr>
      </w:pPr>
      <w:r>
        <w:rPr>
          <w:lang w:val="fr-FR"/>
        </w:rPr>
        <w:t>...</w:t>
      </w:r>
    </w:p>
    <w:p w:rsidR="00410159" w:rsidRPr="00A80ECA" w:rsidRDefault="00410159" w:rsidP="00410159">
      <w:pPr>
        <w:pStyle w:val="SingleTxtG"/>
        <w:ind w:left="2268"/>
        <w:rPr>
          <w:lang w:val="fr-FR"/>
        </w:rPr>
      </w:pPr>
      <w:r w:rsidRPr="00A80ECA">
        <w:rPr>
          <w:lang w:val="fr-FR"/>
        </w:rPr>
        <w:t>Les véhicules des catégories M</w:t>
      </w:r>
      <w:r w:rsidRPr="00A80ECA">
        <w:rPr>
          <w:vertAlign w:val="subscript"/>
          <w:lang w:val="fr-FR"/>
        </w:rPr>
        <w:t>2</w:t>
      </w:r>
      <w:r w:rsidRPr="00A80ECA">
        <w:rPr>
          <w:lang w:val="fr-FR"/>
        </w:rPr>
        <w:t xml:space="preserve"> ou M</w:t>
      </w:r>
      <w:r w:rsidRPr="00A80ECA">
        <w:rPr>
          <w:vertAlign w:val="subscript"/>
          <w:lang w:val="fr-FR"/>
        </w:rPr>
        <w:t>3</w:t>
      </w:r>
      <w:r>
        <w:rPr>
          <w:lang w:val="fr-FR"/>
        </w:rPr>
        <w:t>, classe </w:t>
      </w:r>
      <w:r w:rsidRPr="00A80ECA">
        <w:rPr>
          <w:lang w:val="fr-FR"/>
        </w:rPr>
        <w:t>I ou A ... du présent Règlement.</w:t>
      </w:r>
    </w:p>
    <w:p w:rsidR="00410159" w:rsidRPr="00A80ECA" w:rsidRDefault="00410159" w:rsidP="00410159">
      <w:pPr>
        <w:pStyle w:val="SingleTxtG"/>
        <w:ind w:left="2268"/>
        <w:rPr>
          <w:rFonts w:eastAsia="Batang" w:cs="EUAlbertina-Regu"/>
          <w:bCs/>
          <w:lang w:val="fr-FR" w:eastAsia="ko-KR" w:bidi="gu-IN"/>
        </w:rPr>
      </w:pPr>
      <w:r w:rsidRPr="00A80ECA">
        <w:rPr>
          <w:lang w:val="fr-FR"/>
        </w:rPr>
        <w:t xml:space="preserve">Seuls les véhicules des catégories </w:t>
      </w:r>
      <w:r w:rsidRPr="00A80ECA">
        <w:rPr>
          <w:bCs/>
          <w:lang w:val="fr-FR"/>
        </w:rPr>
        <w:t>M</w:t>
      </w:r>
      <w:r w:rsidRPr="00A80ECA">
        <w:rPr>
          <w:bCs/>
          <w:vertAlign w:val="subscript"/>
          <w:lang w:val="fr-FR"/>
        </w:rPr>
        <w:t>2</w:t>
      </w:r>
      <w:r w:rsidRPr="00A80ECA">
        <w:rPr>
          <w:bCs/>
          <w:lang w:val="fr-FR"/>
        </w:rPr>
        <w:t xml:space="preserve"> ou M</w:t>
      </w:r>
      <w:r w:rsidRPr="00A80ECA">
        <w:rPr>
          <w:bCs/>
          <w:vertAlign w:val="subscript"/>
          <w:lang w:val="fr-FR"/>
        </w:rPr>
        <w:t>3</w:t>
      </w:r>
      <w:r w:rsidRPr="00A80ECA">
        <w:rPr>
          <w:bCs/>
          <w:lang w:val="fr-FR"/>
        </w:rPr>
        <w:t xml:space="preserve"> </w:t>
      </w:r>
      <w:r w:rsidRPr="00A80ECA">
        <w:rPr>
          <w:lang w:val="fr-FR"/>
        </w:rPr>
        <w:t xml:space="preserve">peuvent être équipés de systèmes de retenue comprenant un dispositif souple d’adaptation </w:t>
      </w:r>
      <w:r>
        <w:rPr>
          <w:lang w:val="fr-FR"/>
        </w:rPr>
        <w:t>en hauteur de la ceinture (par. </w:t>
      </w:r>
      <w:r w:rsidRPr="00A80ECA">
        <w:rPr>
          <w:lang w:val="fr-FR"/>
        </w:rPr>
        <w:t>2.14.7</w:t>
      </w:r>
      <w:r>
        <w:rPr>
          <w:lang w:val="fr-FR"/>
        </w:rPr>
        <w:t>)</w:t>
      </w:r>
      <w:r w:rsidRPr="00A80ECA">
        <w:rPr>
          <w:lang w:val="fr-FR"/>
        </w:rPr>
        <w:t>.</w:t>
      </w:r>
      <w:r>
        <w:rPr>
          <w:lang w:val="fr-FR"/>
        </w:rPr>
        <w:t> </w:t>
      </w:r>
      <w:r w:rsidRPr="00A80ECA">
        <w:rPr>
          <w:lang w:val="fr-FR"/>
        </w:rPr>
        <w:t>»</w:t>
      </w:r>
      <w:r>
        <w:rPr>
          <w:lang w:val="fr-FR"/>
        </w:rPr>
        <w:t>.</w:t>
      </w:r>
    </w:p>
    <w:p w:rsidR="00410159" w:rsidRPr="00A80ECA" w:rsidRDefault="00410159" w:rsidP="00410159">
      <w:pPr>
        <w:pStyle w:val="SingleTxtG"/>
        <w:rPr>
          <w:lang w:val="fr-FR"/>
        </w:rPr>
      </w:pPr>
      <w:r w:rsidRPr="00A80ECA">
        <w:rPr>
          <w:i/>
          <w:lang w:val="fr-FR"/>
        </w:rPr>
        <w:t>Annexe 1B</w:t>
      </w:r>
      <w:r w:rsidRPr="00A80ECA">
        <w:rPr>
          <w:lang w:val="fr-FR"/>
        </w:rPr>
        <w:t xml:space="preserve">, </w:t>
      </w:r>
      <w:r w:rsidRPr="00A80ECA">
        <w:rPr>
          <w:i/>
          <w:lang w:val="fr-FR"/>
        </w:rPr>
        <w:t>point 1</w:t>
      </w:r>
      <w:r w:rsidRPr="00A80ECA">
        <w:rPr>
          <w:lang w:val="fr-FR"/>
        </w:rPr>
        <w:t>, modifier comme suit</w:t>
      </w:r>
      <w:r>
        <w:rPr>
          <w:lang w:val="fr-FR"/>
        </w:rPr>
        <w:t> </w:t>
      </w:r>
      <w:r w:rsidRPr="00A80ECA">
        <w:rPr>
          <w:lang w:val="fr-FR"/>
        </w:rPr>
        <w:t>:</w:t>
      </w:r>
    </w:p>
    <w:p w:rsidR="00410159" w:rsidRPr="00A80ECA" w:rsidRDefault="00410159" w:rsidP="00410159">
      <w:pPr>
        <w:pStyle w:val="SingleTxtG"/>
        <w:tabs>
          <w:tab w:val="right" w:leader="dot" w:pos="8505"/>
        </w:tabs>
        <w:ind w:left="2257" w:hanging="1123"/>
        <w:rPr>
          <w:lang w:val="fr-FR"/>
        </w:rPr>
      </w:pPr>
      <w:r w:rsidRPr="00A80ECA">
        <w:rPr>
          <w:lang w:val="fr-FR"/>
        </w:rPr>
        <w:t>«</w:t>
      </w:r>
      <w:r>
        <w:rPr>
          <w:lang w:val="fr-FR"/>
        </w:rPr>
        <w:t> </w:t>
      </w:r>
      <w:r w:rsidRPr="00A80ECA">
        <w:rPr>
          <w:lang w:val="fr-FR"/>
        </w:rPr>
        <w:t>1.</w:t>
      </w:r>
      <w:r w:rsidRPr="00A80ECA">
        <w:rPr>
          <w:lang w:val="fr-FR"/>
        </w:rPr>
        <w:tab/>
        <w:t>Système de retenue/à ceinture trois points/à ceinture sous-abdominale/à ceinture spéciale/avec absorbeur d’énergie/rétracteur/dispositif de réglage en hauteur du renvoi au montant/dispositif souple d’adaptation en hauteur de la ceinture</w:t>
      </w:r>
      <w:r w:rsidRPr="00410159">
        <w:rPr>
          <w:rStyle w:val="FootnoteReference"/>
        </w:rPr>
        <w:t>3</w:t>
      </w:r>
      <w:r w:rsidRPr="00A80ECA">
        <w:rPr>
          <w:lang w:val="fr-FR"/>
        </w:rPr>
        <w:tab/>
      </w:r>
    </w:p>
    <w:p w:rsidR="00410159" w:rsidRPr="00A80ECA" w:rsidRDefault="00410159" w:rsidP="00410159">
      <w:pPr>
        <w:spacing w:after="120" w:line="240" w:lineRule="auto"/>
        <w:ind w:left="680" w:right="1134"/>
        <w:jc w:val="both"/>
        <w:rPr>
          <w:lang w:val="fr-FR"/>
        </w:rPr>
      </w:pPr>
      <w:r>
        <w:rPr>
          <w:lang w:val="fr-FR"/>
        </w:rPr>
        <w:t>______________</w:t>
      </w:r>
    </w:p>
    <w:p w:rsidR="00410159" w:rsidRPr="00A80ECA" w:rsidRDefault="00410159" w:rsidP="00410159">
      <w:pPr>
        <w:pStyle w:val="FootnoteText"/>
        <w:rPr>
          <w:lang w:val="fr-FR"/>
        </w:rPr>
      </w:pPr>
      <w:r w:rsidRPr="00A80ECA">
        <w:rPr>
          <w:lang w:val="fr-FR"/>
        </w:rPr>
        <w:tab/>
      </w:r>
      <w:r w:rsidRPr="00A80ECA">
        <w:rPr>
          <w:rStyle w:val="FootnoteReference"/>
          <w:lang w:val="fr-FR"/>
        </w:rPr>
        <w:t>3</w:t>
      </w:r>
      <w:r w:rsidRPr="00A80ECA">
        <w:rPr>
          <w:lang w:val="fr-FR"/>
        </w:rPr>
        <w:tab/>
        <w:t>Indiquer le type de rétracteur.</w:t>
      </w:r>
      <w:r>
        <w:rPr>
          <w:lang w:val="fr-FR"/>
        </w:rPr>
        <w:t> </w:t>
      </w:r>
      <w:r w:rsidRPr="006E32DB">
        <w:rPr>
          <w:sz w:val="20"/>
          <w:lang w:val="fr-FR"/>
        </w:rPr>
        <w:t>»</w:t>
      </w:r>
      <w:r>
        <w:rPr>
          <w:sz w:val="20"/>
          <w:lang w:val="fr-FR"/>
        </w:rPr>
        <w:t>.</w:t>
      </w:r>
    </w:p>
    <w:p w:rsidR="00F9573C" w:rsidRPr="00410159" w:rsidRDefault="00410159" w:rsidP="00410159">
      <w:pPr>
        <w:pStyle w:val="SingleTxtG"/>
        <w:spacing w:before="240" w:after="0"/>
        <w:jc w:val="center"/>
        <w:rPr>
          <w:u w:val="single"/>
        </w:rPr>
      </w:pPr>
      <w:r>
        <w:rPr>
          <w:u w:val="single"/>
        </w:rPr>
        <w:tab/>
      </w:r>
      <w:r>
        <w:rPr>
          <w:u w:val="single"/>
        </w:rPr>
        <w:tab/>
      </w:r>
      <w:r>
        <w:rPr>
          <w:u w:val="single"/>
        </w:rPr>
        <w:tab/>
      </w:r>
    </w:p>
    <w:sectPr w:rsidR="00F9573C" w:rsidRPr="00410159" w:rsidSect="0041015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F4" w:rsidRDefault="00513BF4" w:rsidP="00F95C08">
      <w:pPr>
        <w:spacing w:line="240" w:lineRule="auto"/>
      </w:pPr>
    </w:p>
  </w:endnote>
  <w:endnote w:type="continuationSeparator" w:id="0">
    <w:p w:rsidR="00513BF4" w:rsidRPr="00AC3823" w:rsidRDefault="00513BF4" w:rsidP="00AC3823">
      <w:pPr>
        <w:pStyle w:val="Footer"/>
      </w:pPr>
    </w:p>
  </w:endnote>
  <w:endnote w:type="continuationNotice" w:id="1">
    <w:p w:rsidR="00513BF4" w:rsidRDefault="00513B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Albertina-Regu">
    <w:panose1 w:val="00000000000000000000"/>
    <w:charset w:val="00"/>
    <w:family w:val="auto"/>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9" w:rsidRPr="00410159" w:rsidRDefault="00410159" w:rsidP="00410159">
    <w:pPr>
      <w:pStyle w:val="Footer"/>
      <w:tabs>
        <w:tab w:val="right" w:pos="9638"/>
      </w:tabs>
    </w:pPr>
    <w:r w:rsidRPr="00410159">
      <w:rPr>
        <w:b/>
        <w:sz w:val="18"/>
      </w:rPr>
      <w:fldChar w:fldCharType="begin"/>
    </w:r>
    <w:r w:rsidRPr="00410159">
      <w:rPr>
        <w:b/>
        <w:sz w:val="18"/>
      </w:rPr>
      <w:instrText xml:space="preserve"> PAGE  \* MERGEFORMAT </w:instrText>
    </w:r>
    <w:r w:rsidRPr="00410159">
      <w:rPr>
        <w:b/>
        <w:sz w:val="18"/>
      </w:rPr>
      <w:fldChar w:fldCharType="separate"/>
    </w:r>
    <w:r w:rsidR="007F0969">
      <w:rPr>
        <w:b/>
        <w:noProof/>
        <w:sz w:val="18"/>
      </w:rPr>
      <w:t>2</w:t>
    </w:r>
    <w:r w:rsidRPr="00410159">
      <w:rPr>
        <w:b/>
        <w:sz w:val="18"/>
      </w:rPr>
      <w:fldChar w:fldCharType="end"/>
    </w:r>
    <w:r>
      <w:rPr>
        <w:b/>
        <w:sz w:val="18"/>
      </w:rPr>
      <w:tab/>
    </w:r>
    <w:r>
      <w:t>GE.16-05881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9" w:rsidRPr="00410159" w:rsidRDefault="00410159" w:rsidP="00410159">
    <w:pPr>
      <w:pStyle w:val="Footer"/>
      <w:tabs>
        <w:tab w:val="right" w:pos="9638"/>
      </w:tabs>
      <w:rPr>
        <w:b/>
        <w:sz w:val="18"/>
      </w:rPr>
    </w:pPr>
    <w:r>
      <w:t>GE.16-05881</w:t>
    </w:r>
    <w:r>
      <w:tab/>
    </w:r>
    <w:r w:rsidRPr="00410159">
      <w:rPr>
        <w:b/>
        <w:sz w:val="18"/>
      </w:rPr>
      <w:fldChar w:fldCharType="begin"/>
    </w:r>
    <w:r w:rsidRPr="00410159">
      <w:rPr>
        <w:b/>
        <w:sz w:val="18"/>
      </w:rPr>
      <w:instrText xml:space="preserve"> PAGE  \* MERGEFORMAT </w:instrText>
    </w:r>
    <w:r w:rsidRPr="00410159">
      <w:rPr>
        <w:b/>
        <w:sz w:val="18"/>
      </w:rPr>
      <w:fldChar w:fldCharType="separate"/>
    </w:r>
    <w:r w:rsidR="007F0969">
      <w:rPr>
        <w:b/>
        <w:noProof/>
        <w:sz w:val="18"/>
      </w:rPr>
      <w:t>3</w:t>
    </w:r>
    <w:r w:rsidRPr="004101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10159" w:rsidRDefault="00410159" w:rsidP="0041015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A5E6151" wp14:editId="01C8370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16-05881  (F)    040516    040516</w:t>
    </w:r>
    <w:r>
      <w:rPr>
        <w:sz w:val="20"/>
      </w:rPr>
      <w:br/>
    </w:r>
    <w:r w:rsidRPr="00410159">
      <w:rPr>
        <w:rFonts w:ascii="C39T30Lfz" w:hAnsi="C39T30Lfz"/>
        <w:sz w:val="56"/>
      </w:rPr>
      <w:t></w:t>
    </w:r>
    <w:r w:rsidRPr="00410159">
      <w:rPr>
        <w:rFonts w:ascii="C39T30Lfz" w:hAnsi="C39T30Lfz"/>
        <w:sz w:val="56"/>
      </w:rPr>
      <w:t></w:t>
    </w:r>
    <w:r w:rsidRPr="00410159">
      <w:rPr>
        <w:rFonts w:ascii="C39T30Lfz" w:hAnsi="C39T30Lfz"/>
        <w:sz w:val="56"/>
      </w:rPr>
      <w:t></w:t>
    </w:r>
    <w:r w:rsidRPr="00410159">
      <w:rPr>
        <w:rFonts w:ascii="C39T30Lfz" w:hAnsi="C39T30Lfz"/>
        <w:sz w:val="56"/>
      </w:rPr>
      <w:t></w:t>
    </w:r>
    <w:r w:rsidRPr="00410159">
      <w:rPr>
        <w:rFonts w:ascii="C39T30Lfz" w:hAnsi="C39T30Lfz"/>
        <w:sz w:val="56"/>
      </w:rPr>
      <w:t></w:t>
    </w:r>
    <w:r w:rsidRPr="00410159">
      <w:rPr>
        <w:rFonts w:ascii="C39T30Lfz" w:hAnsi="C39T30Lfz"/>
        <w:sz w:val="56"/>
      </w:rPr>
      <w:t></w:t>
    </w:r>
    <w:r w:rsidRPr="00410159">
      <w:rPr>
        <w:rFonts w:ascii="C39T30Lfz" w:hAnsi="C39T30Lfz"/>
        <w:sz w:val="56"/>
      </w:rPr>
      <w:t></w:t>
    </w:r>
    <w:r w:rsidRPr="00410159">
      <w:rPr>
        <w:rFonts w:ascii="C39T30Lfz" w:hAnsi="C39T30Lfz"/>
        <w:sz w:val="56"/>
      </w:rPr>
      <w:t></w:t>
    </w:r>
    <w:r w:rsidRPr="0041015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F4" w:rsidRPr="00AC3823" w:rsidRDefault="00513BF4" w:rsidP="00AC3823">
      <w:pPr>
        <w:pStyle w:val="Footer"/>
        <w:tabs>
          <w:tab w:val="right" w:pos="2155"/>
        </w:tabs>
        <w:spacing w:after="80" w:line="240" w:lineRule="atLeast"/>
        <w:ind w:left="680"/>
        <w:rPr>
          <w:u w:val="single"/>
        </w:rPr>
      </w:pPr>
      <w:r>
        <w:rPr>
          <w:u w:val="single"/>
        </w:rPr>
        <w:tab/>
      </w:r>
    </w:p>
  </w:footnote>
  <w:footnote w:type="continuationSeparator" w:id="0">
    <w:p w:rsidR="00513BF4" w:rsidRPr="00AC3823" w:rsidRDefault="00513BF4" w:rsidP="00AC3823">
      <w:pPr>
        <w:pStyle w:val="Footer"/>
        <w:tabs>
          <w:tab w:val="right" w:pos="2155"/>
        </w:tabs>
        <w:spacing w:after="80" w:line="240" w:lineRule="atLeast"/>
        <w:ind w:left="680"/>
        <w:rPr>
          <w:u w:val="single"/>
        </w:rPr>
      </w:pPr>
      <w:r>
        <w:rPr>
          <w:u w:val="single"/>
        </w:rPr>
        <w:tab/>
      </w:r>
    </w:p>
  </w:footnote>
  <w:footnote w:type="continuationNotice" w:id="1">
    <w:p w:rsidR="00513BF4" w:rsidRPr="00AC3823" w:rsidRDefault="00513BF4">
      <w:pPr>
        <w:spacing w:line="240" w:lineRule="auto"/>
        <w:rPr>
          <w:sz w:val="2"/>
          <w:szCs w:val="2"/>
        </w:rPr>
      </w:pPr>
    </w:p>
  </w:footnote>
  <w:footnote w:id="2">
    <w:p w:rsidR="00410159" w:rsidRPr="00ED017D" w:rsidRDefault="00410159" w:rsidP="00410159">
      <w:pPr>
        <w:pStyle w:val="FootnoteText"/>
        <w:rPr>
          <w:lang w:val="fr-FR"/>
        </w:rPr>
      </w:pPr>
      <w:r w:rsidRPr="00410159">
        <w:rPr>
          <w:lang w:val="fr-FR"/>
        </w:rPr>
        <w:tab/>
      </w:r>
      <w:r w:rsidRPr="00410159">
        <w:rPr>
          <w:rStyle w:val="FootnoteReference"/>
          <w:sz w:val="20"/>
          <w:vertAlign w:val="baseline"/>
          <w:lang w:val="fr-FR"/>
        </w:rPr>
        <w:t>*</w:t>
      </w:r>
      <w:r w:rsidRPr="00410159">
        <w:rPr>
          <w:sz w:val="20"/>
          <w:lang w:val="fr-FR"/>
        </w:rPr>
        <w:tab/>
      </w:r>
      <w:r w:rsidRPr="00410159">
        <w:rPr>
          <w:spacing w:val="-3"/>
          <w:lang w:val="fr-FR"/>
        </w:rPr>
        <w:t xml:space="preserve">Conformément au programme de travail du Comité des transports intérieurs pour la période </w:t>
      </w:r>
      <w:r w:rsidRPr="00410159">
        <w:rPr>
          <w:spacing w:val="-3"/>
          <w:szCs w:val="18"/>
          <w:lang w:val="fr-FR"/>
        </w:rPr>
        <w:t xml:space="preserve">2016-2017 (ECE/TRANS/254, par. 159, et ECE/TRANS/2016/28/Add.1, module 3.1), </w:t>
      </w:r>
      <w:r w:rsidRPr="00410159">
        <w:rPr>
          <w:spacing w:val="-3"/>
          <w:lang w:val="fr-FR"/>
        </w:rPr>
        <w:t>le Forum mondial a pour mission d’élaborer, d’harmoniser et de mettre à jour les Règlements en vue d’améliorer les caractéristiques fonctionnelles des véhicules</w:t>
      </w:r>
      <w:r w:rsidRPr="00410159">
        <w:rPr>
          <w:spacing w:val="-3"/>
          <w:szCs w:val="18"/>
          <w:lang w:val="fr-FR"/>
        </w:rPr>
        <w:t xml:space="preserve">. </w:t>
      </w:r>
      <w:r w:rsidRPr="00410159">
        <w:rPr>
          <w:spacing w:val="-3"/>
          <w:lang w:val="fr-FR"/>
        </w:rPr>
        <w:t>Le présent document est soumis dans le cadre de ce mandat</w:t>
      </w:r>
      <w:r w:rsidRPr="00410159">
        <w:rPr>
          <w:spacing w:val="-3"/>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9" w:rsidRPr="00410159" w:rsidRDefault="00410159">
    <w:pPr>
      <w:pStyle w:val="Header"/>
    </w:pPr>
    <w:r>
      <w:t>ECE/TRANS/WP.29/2016/36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9" w:rsidRPr="00410159" w:rsidRDefault="00410159" w:rsidP="00410159">
    <w:pPr>
      <w:pStyle w:val="Header"/>
      <w:jc w:val="right"/>
    </w:pPr>
    <w:r>
      <w:t>ECE/TRANS/WP.29/2016/36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F4"/>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10159"/>
    <w:rsid w:val="00441C3B"/>
    <w:rsid w:val="00446FE5"/>
    <w:rsid w:val="00452396"/>
    <w:rsid w:val="004837D8"/>
    <w:rsid w:val="004B41A7"/>
    <w:rsid w:val="004E468C"/>
    <w:rsid w:val="00513BF4"/>
    <w:rsid w:val="005505B7"/>
    <w:rsid w:val="00573BE5"/>
    <w:rsid w:val="00586ED3"/>
    <w:rsid w:val="00596AA9"/>
    <w:rsid w:val="0071601D"/>
    <w:rsid w:val="007A62E6"/>
    <w:rsid w:val="007F0969"/>
    <w:rsid w:val="007F20FA"/>
    <w:rsid w:val="0080684C"/>
    <w:rsid w:val="00871C75"/>
    <w:rsid w:val="008776DC"/>
    <w:rsid w:val="009705C8"/>
    <w:rsid w:val="00997106"/>
    <w:rsid w:val="009C1CF4"/>
    <w:rsid w:val="009F6B74"/>
    <w:rsid w:val="00A30353"/>
    <w:rsid w:val="00A57871"/>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 w:val="00FF2E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10159"/>
    <w:rPr>
      <w:rFonts w:ascii="Times New Roman" w:hAnsi="Times New Roman" w:cs="Times New Roman"/>
      <w:sz w:val="20"/>
      <w:szCs w:val="20"/>
      <w:lang w:eastAsia="en-US"/>
    </w:rPr>
  </w:style>
  <w:style w:type="character" w:customStyle="1" w:styleId="H1GChar">
    <w:name w:val="_ H_1_G Char"/>
    <w:link w:val="H1G"/>
    <w:rsid w:val="00410159"/>
    <w:rPr>
      <w:rFonts w:ascii="Times New Roman" w:hAnsi="Times New Roman" w:cs="Times New Roman"/>
      <w:b/>
      <w:sz w:val="24"/>
      <w:szCs w:val="20"/>
      <w:lang w:eastAsia="en-US"/>
    </w:rPr>
  </w:style>
  <w:style w:type="character" w:customStyle="1" w:styleId="HChGChar">
    <w:name w:val="_ H _Ch_G Char"/>
    <w:link w:val="HChG"/>
    <w:rsid w:val="00410159"/>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10159"/>
    <w:rPr>
      <w:rFonts w:ascii="Times New Roman" w:hAnsi="Times New Roman" w:cs="Times New Roman"/>
      <w:sz w:val="20"/>
      <w:szCs w:val="20"/>
      <w:lang w:eastAsia="en-US"/>
    </w:rPr>
  </w:style>
  <w:style w:type="character" w:customStyle="1" w:styleId="H1GChar">
    <w:name w:val="_ H_1_G Char"/>
    <w:link w:val="H1G"/>
    <w:rsid w:val="00410159"/>
    <w:rPr>
      <w:rFonts w:ascii="Times New Roman" w:hAnsi="Times New Roman" w:cs="Times New Roman"/>
      <w:b/>
      <w:sz w:val="24"/>
      <w:szCs w:val="20"/>
      <w:lang w:eastAsia="en-US"/>
    </w:rPr>
  </w:style>
  <w:style w:type="character" w:customStyle="1" w:styleId="HChGChar">
    <w:name w:val="_ H _Ch_G Char"/>
    <w:link w:val="HChG"/>
    <w:rsid w:val="00410159"/>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ECE/TRANS/WP.29/2016/36</vt:lpstr>
      <vt:lpstr>ECE/TRANS/WP.29/2016/36</vt:lpstr>
    </vt:vector>
  </TitlesOfParts>
  <Company>DCM</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ECE/TRANS/WP.29/2016/36</dc:title>
  <dc:creator>Morin</dc:creator>
  <cp:lastModifiedBy>Benedicte Boudol</cp:lastModifiedBy>
  <cp:revision>2</cp:revision>
  <cp:lastPrinted>2014-05-14T10:59:00Z</cp:lastPrinted>
  <dcterms:created xsi:type="dcterms:W3CDTF">2016-05-04T13:29:00Z</dcterms:created>
  <dcterms:modified xsi:type="dcterms:W3CDTF">2016-05-04T13:29:00Z</dcterms:modified>
</cp:coreProperties>
</file>