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E27" w:rsidRDefault="00E01E27" w:rsidP="00E01E27">
      <w:pPr>
        <w:spacing w:line="240" w:lineRule="auto"/>
        <w:rPr>
          <w:sz w:val="2"/>
        </w:rPr>
        <w:sectPr w:rsidR="00E01E27" w:rsidSect="00E01E27">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bookmarkStart w:id="0" w:name="_GoBack"/>
      <w:bookmarkEnd w:id="0"/>
    </w:p>
    <w:p w:rsidR="00E01E27" w:rsidRDefault="00E01E27" w:rsidP="00E01E27">
      <w:pPr>
        <w:pStyle w:val="H1"/>
        <w:spacing w:after="120"/>
        <w:rPr>
          <w:sz w:val="28"/>
        </w:rPr>
      </w:pPr>
      <w:r>
        <w:rPr>
          <w:sz w:val="28"/>
        </w:rPr>
        <w:lastRenderedPageBreak/>
        <w:t>Commission économique pour l’Europe</w:t>
      </w:r>
    </w:p>
    <w:p w:rsidR="00E01E27" w:rsidRDefault="00E01E27" w:rsidP="00E01E27">
      <w:pPr>
        <w:pStyle w:val="H1"/>
        <w:spacing w:after="120" w:line="300" w:lineRule="exact"/>
        <w:rPr>
          <w:b w:val="0"/>
          <w:sz w:val="28"/>
        </w:rPr>
      </w:pPr>
      <w:r>
        <w:rPr>
          <w:b w:val="0"/>
          <w:sz w:val="28"/>
        </w:rPr>
        <w:t>Comité des transports intérieurs</w:t>
      </w:r>
    </w:p>
    <w:p w:rsidR="00CF507F" w:rsidRPr="00CF507F" w:rsidRDefault="00CF507F" w:rsidP="00CF507F">
      <w:pPr>
        <w:spacing w:line="120" w:lineRule="exact"/>
        <w:rPr>
          <w:sz w:val="10"/>
        </w:rPr>
      </w:pPr>
    </w:p>
    <w:p w:rsidR="00CF507F" w:rsidRDefault="00CF507F" w:rsidP="00CF507F">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F40F05">
        <w:t xml:space="preserve">Forum mondial de l’harmonisation </w:t>
      </w:r>
      <w:r>
        <w:br/>
      </w:r>
      <w:r w:rsidRPr="00F40F05">
        <w:t>des Règlements concernant les véhicules</w:t>
      </w:r>
    </w:p>
    <w:p w:rsidR="00CF507F" w:rsidRPr="00CF507F" w:rsidRDefault="00CF507F" w:rsidP="00CF507F">
      <w:pPr>
        <w:spacing w:line="120" w:lineRule="exact"/>
        <w:rPr>
          <w:sz w:val="10"/>
        </w:rPr>
      </w:pPr>
    </w:p>
    <w:p w:rsidR="00CF507F" w:rsidRPr="00F40F05" w:rsidRDefault="00CF507F" w:rsidP="00CF507F">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F40F05">
        <w:t>168</w:t>
      </w:r>
      <w:r w:rsidRPr="00F40F05">
        <w:rPr>
          <w:vertAlign w:val="superscript"/>
        </w:rPr>
        <w:t>e</w:t>
      </w:r>
      <w:r w:rsidRPr="00F40F05">
        <w:t xml:space="preserve"> session</w:t>
      </w:r>
    </w:p>
    <w:p w:rsidR="00CF507F" w:rsidRPr="00F40F05" w:rsidRDefault="00CF507F" w:rsidP="00CF507F">
      <w:pPr>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F40F05">
        <w:t>Genève, 8-11 mars 2016</w:t>
      </w:r>
    </w:p>
    <w:p w:rsidR="00CF507F" w:rsidRPr="00943413" w:rsidRDefault="00CF507F" w:rsidP="00CF507F">
      <w:pPr>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F40F05">
        <w:t xml:space="preserve">Point </w:t>
      </w:r>
      <w:r w:rsidRPr="00943413">
        <w:t>4.</w:t>
      </w:r>
      <w:r>
        <w:t>7.2</w:t>
      </w:r>
      <w:r w:rsidRPr="00943413">
        <w:t xml:space="preserve"> </w:t>
      </w:r>
      <w:r w:rsidRPr="00F40F05">
        <w:t>de l’ordre du jour provisoire</w:t>
      </w:r>
    </w:p>
    <w:p w:rsidR="00CF507F" w:rsidRDefault="00CF507F" w:rsidP="00CF507F">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F40F05">
        <w:t xml:space="preserve">Accord de </w:t>
      </w:r>
      <w:r w:rsidRPr="00943413">
        <w:t xml:space="preserve">1958 </w:t>
      </w:r>
      <w:r>
        <w:t>–</w:t>
      </w:r>
      <w:r w:rsidRPr="00943413">
        <w:t xml:space="preserve"> </w:t>
      </w:r>
      <w:r w:rsidR="00270D77">
        <w:t>E</w:t>
      </w:r>
      <w:r w:rsidRPr="00F40F05">
        <w:t xml:space="preserve">xamen de projets d’amendements </w:t>
      </w:r>
      <w:r>
        <w:br/>
      </w:r>
      <w:r w:rsidRPr="00F40F05">
        <w:t>à des</w:t>
      </w:r>
      <w:r>
        <w:t xml:space="preserve"> </w:t>
      </w:r>
      <w:r w:rsidRPr="00F40F05">
        <w:t xml:space="preserve">Règlements existants, proposés par le </w:t>
      </w:r>
      <w:r w:rsidRPr="000043DB">
        <w:t>GRRF</w:t>
      </w:r>
    </w:p>
    <w:p w:rsidR="00CF507F" w:rsidRPr="00CF507F" w:rsidRDefault="00CF507F" w:rsidP="00CF507F">
      <w:pPr>
        <w:spacing w:line="120" w:lineRule="exact"/>
        <w:rPr>
          <w:sz w:val="10"/>
        </w:rPr>
      </w:pPr>
    </w:p>
    <w:p w:rsidR="00CF507F" w:rsidRPr="00CF507F" w:rsidRDefault="00CF507F" w:rsidP="00CF507F">
      <w:pPr>
        <w:spacing w:line="120" w:lineRule="exact"/>
        <w:rPr>
          <w:sz w:val="10"/>
        </w:rPr>
      </w:pPr>
    </w:p>
    <w:p w:rsidR="00CF507F" w:rsidRPr="00CF507F" w:rsidRDefault="00CF507F" w:rsidP="00CF507F">
      <w:pPr>
        <w:spacing w:line="120" w:lineRule="exact"/>
        <w:rPr>
          <w:sz w:val="10"/>
        </w:rPr>
      </w:pPr>
    </w:p>
    <w:p w:rsidR="00CF507F" w:rsidRDefault="00CF507F" w:rsidP="00CF507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F40F05">
        <w:t xml:space="preserve">Proposition de complément </w:t>
      </w:r>
      <w:r w:rsidRPr="000043DB">
        <w:t xml:space="preserve">1 </w:t>
      </w:r>
      <w:r w:rsidRPr="00F40F05">
        <w:t xml:space="preserve">au Règlement </w:t>
      </w:r>
      <w:r>
        <w:t>n</w:t>
      </w:r>
      <w:r w:rsidRPr="00CF507F">
        <w:rPr>
          <w:vertAlign w:val="superscript"/>
        </w:rPr>
        <w:t>o</w:t>
      </w:r>
      <w:r w:rsidRPr="00F40F05">
        <w:t> </w:t>
      </w:r>
      <w:r w:rsidRPr="000043DB">
        <w:t xml:space="preserve">130 </w:t>
      </w:r>
      <w:r>
        <w:br/>
      </w:r>
      <w:r w:rsidRPr="00F40F05">
        <w:t xml:space="preserve">(Système d’avertissement de franchissement </w:t>
      </w:r>
      <w:r>
        <w:br/>
      </w:r>
      <w:r w:rsidRPr="00F40F05">
        <w:t>de ligne (LDWS))</w:t>
      </w:r>
    </w:p>
    <w:p w:rsidR="00CF507F" w:rsidRPr="00CF507F" w:rsidRDefault="00CF507F" w:rsidP="00CF507F">
      <w:pPr>
        <w:pStyle w:val="SingleTxt"/>
        <w:spacing w:after="0" w:line="120" w:lineRule="exact"/>
        <w:rPr>
          <w:sz w:val="10"/>
        </w:rPr>
      </w:pPr>
    </w:p>
    <w:p w:rsidR="00CF507F" w:rsidRPr="00CF507F" w:rsidRDefault="00CF507F" w:rsidP="00CF507F">
      <w:pPr>
        <w:pStyle w:val="SingleTxt"/>
        <w:spacing w:after="0" w:line="120" w:lineRule="exact"/>
        <w:rPr>
          <w:sz w:val="10"/>
        </w:rPr>
      </w:pPr>
    </w:p>
    <w:p w:rsidR="00CF507F" w:rsidRPr="00CF507F" w:rsidRDefault="00CF507F" w:rsidP="00CF507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CF507F">
        <w:t xml:space="preserve">Communication du Groupe de travail en matière </w:t>
      </w:r>
      <w:r>
        <w:br/>
      </w:r>
      <w:r w:rsidRPr="00CF507F">
        <w:t>de roulement et de freinage</w:t>
      </w:r>
      <w:r w:rsidRPr="00CF507F">
        <w:rPr>
          <w:b w:val="0"/>
          <w:sz w:val="20"/>
          <w:szCs w:val="20"/>
        </w:rPr>
        <w:footnoteReference w:customMarkFollows="1" w:id="1"/>
        <w:t>*</w:t>
      </w:r>
    </w:p>
    <w:p w:rsidR="00CF507F" w:rsidRPr="00CF507F" w:rsidRDefault="00CF507F" w:rsidP="00CF507F">
      <w:pPr>
        <w:pStyle w:val="SingleTxt"/>
        <w:spacing w:after="0" w:line="120" w:lineRule="exact"/>
        <w:rPr>
          <w:sz w:val="10"/>
        </w:rPr>
      </w:pPr>
    </w:p>
    <w:p w:rsidR="00CF507F" w:rsidRPr="00CF507F" w:rsidRDefault="00CF507F" w:rsidP="00CF507F">
      <w:pPr>
        <w:pStyle w:val="SingleTxt"/>
        <w:spacing w:after="0" w:line="120" w:lineRule="exact"/>
        <w:rPr>
          <w:sz w:val="10"/>
        </w:rPr>
      </w:pPr>
    </w:p>
    <w:p w:rsidR="00CF507F" w:rsidRPr="000043DB" w:rsidRDefault="00CF507F" w:rsidP="00CF507F">
      <w:pPr>
        <w:pStyle w:val="SingleTxt"/>
        <w:rPr>
          <w:rFonts w:eastAsia="Times New Roman"/>
        </w:rPr>
      </w:pPr>
      <w:r>
        <w:tab/>
      </w:r>
      <w:r w:rsidRPr="00CF507F">
        <w:t>Le texte reproduit ci-après, adopté par le Groupe de travail en matière de roulement et de freinage (GRRF) à sa quatre-vingtième session (ECE/TRANS/WP.29/ GRRF/80, par. 6)</w:t>
      </w:r>
      <w:r w:rsidRPr="00CF507F">
        <w:rPr>
          <w:lang w:eastAsia="it-IT"/>
        </w:rPr>
        <w:t>, est fondé sur le document</w:t>
      </w:r>
      <w:r w:rsidRPr="00CF507F">
        <w:t xml:space="preserve"> ECE/TRANS/WP.29/GRRF/2015/17</w:t>
      </w:r>
      <w:r>
        <w:t>, tel que</w:t>
      </w:r>
      <w:r w:rsidRPr="00CF507F">
        <w:t xml:space="preserve"> modifié. Il comprend également le texte adopté à la soixante-quinzième session du GRFF (ECE/TRANS/WP29/GRRF/75 par. 9), lequel est fondé sur le document ECE/TRANS/ WP.29/GRRF/2013/13</w:t>
      </w:r>
      <w:r>
        <w:t>, tel que</w:t>
      </w:r>
      <w:r w:rsidRPr="00CF507F">
        <w:t xml:space="preserve"> modifié. Il est </w:t>
      </w:r>
      <w:r>
        <w:t>soumis</w:t>
      </w:r>
      <w:r w:rsidRPr="00CF507F">
        <w:t xml:space="preserve"> au Forum mondial de l’harmonisation des Règlements concernant les véhicules (WP.29) et au Comité </w:t>
      </w:r>
      <w:proofErr w:type="gramStart"/>
      <w:r w:rsidRPr="00CF507F">
        <w:t>d’administration</w:t>
      </w:r>
      <w:proofErr w:type="gramEnd"/>
      <w:r w:rsidRPr="00CF507F">
        <w:t xml:space="preserve"> (AC.1) pour examen à leurs sessions de mars 2016</w:t>
      </w:r>
      <w:r w:rsidRPr="00943413">
        <w:rPr>
          <w:rFonts w:eastAsia="Times New Roman"/>
        </w:rPr>
        <w:t>.</w:t>
      </w:r>
    </w:p>
    <w:p w:rsidR="00CF507F" w:rsidRPr="000043DB" w:rsidRDefault="00CF507F" w:rsidP="00CF507F">
      <w:pPr>
        <w:spacing w:line="240" w:lineRule="auto"/>
        <w:rPr>
          <w:rFonts w:eastAsia="Times New Roman"/>
          <w:u w:val="single"/>
        </w:rPr>
      </w:pPr>
      <w:r w:rsidRPr="000043DB">
        <w:rPr>
          <w:rFonts w:eastAsia="Times New Roman"/>
          <w:u w:val="single"/>
        </w:rPr>
        <w:br w:type="page"/>
      </w:r>
    </w:p>
    <w:p w:rsidR="00CF507F" w:rsidRDefault="00CF507F" w:rsidP="00CF507F">
      <w:pPr>
        <w:pStyle w:val="SingleTxt"/>
      </w:pPr>
      <w:bookmarkStart w:id="1" w:name="_Toc358726234"/>
      <w:bookmarkStart w:id="2" w:name="_Toc358726293"/>
      <w:r w:rsidRPr="00CF507F">
        <w:rPr>
          <w:i/>
        </w:rPr>
        <w:lastRenderedPageBreak/>
        <w:t>Ajouter une nouvelle introduction</w:t>
      </w:r>
      <w:r w:rsidRPr="000043DB">
        <w:t xml:space="preserve">, </w:t>
      </w:r>
      <w:r>
        <w:t>libellée comme suit </w:t>
      </w:r>
      <w:r w:rsidRPr="000043DB">
        <w:t>:</w:t>
      </w:r>
    </w:p>
    <w:p w:rsidR="00CF507F" w:rsidRPr="00CF507F" w:rsidRDefault="00CF507F" w:rsidP="00CF507F">
      <w:pPr>
        <w:pStyle w:val="SingleTxt"/>
        <w:spacing w:after="0" w:line="120" w:lineRule="exact"/>
        <w:rPr>
          <w:sz w:val="10"/>
        </w:rPr>
      </w:pPr>
    </w:p>
    <w:p w:rsidR="00CF507F" w:rsidRPr="00CF507F" w:rsidRDefault="00CF507F" w:rsidP="00CF507F">
      <w:pPr>
        <w:pStyle w:val="SingleTxt"/>
        <w:spacing w:after="0" w:line="120" w:lineRule="exact"/>
        <w:rPr>
          <w:sz w:val="10"/>
        </w:rPr>
      </w:pPr>
    </w:p>
    <w:p w:rsidR="00CF507F" w:rsidRDefault="00CF507F" w:rsidP="00CF507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w:t>
      </w:r>
      <w:r w:rsidRPr="000043DB">
        <w:t>Introduction</w:t>
      </w:r>
      <w:bookmarkEnd w:id="1"/>
      <w:bookmarkEnd w:id="2"/>
    </w:p>
    <w:p w:rsidR="00CF507F" w:rsidRPr="00CF507F" w:rsidRDefault="00CF507F" w:rsidP="00CF507F">
      <w:pPr>
        <w:pStyle w:val="SingleTxt"/>
        <w:spacing w:after="0" w:line="120" w:lineRule="exact"/>
        <w:rPr>
          <w:sz w:val="10"/>
        </w:rPr>
      </w:pPr>
    </w:p>
    <w:p w:rsidR="00CF507F" w:rsidRPr="00CF507F" w:rsidRDefault="00CF507F" w:rsidP="00CF507F">
      <w:pPr>
        <w:pStyle w:val="SingleTxt"/>
        <w:spacing w:after="0" w:line="120" w:lineRule="exact"/>
        <w:rPr>
          <w:sz w:val="10"/>
        </w:rPr>
      </w:pPr>
    </w:p>
    <w:p w:rsidR="00CF507F" w:rsidRPr="000043DB" w:rsidRDefault="00CF507F" w:rsidP="00CF507F">
      <w:pPr>
        <w:pStyle w:val="SingleTxt"/>
      </w:pPr>
      <w:r>
        <w:tab/>
      </w:r>
      <w:r w:rsidRPr="00ED7F39">
        <w:t xml:space="preserve">Le présent Règlement vise à établir des prescriptions uniformes pour les systèmes d’alerte en cas de changement de voie (LDWS) installés sur les véhicules </w:t>
      </w:r>
      <w:r>
        <w:t>automobiles</w:t>
      </w:r>
      <w:r w:rsidRPr="00ED7F39">
        <w:t xml:space="preserve"> des catégories </w:t>
      </w:r>
      <w:r w:rsidRPr="000043DB">
        <w:t>M</w:t>
      </w:r>
      <w:r w:rsidRPr="000043DB">
        <w:rPr>
          <w:vertAlign w:val="subscript"/>
        </w:rPr>
        <w:t>2</w:t>
      </w:r>
      <w:r w:rsidRPr="000043DB">
        <w:t>, M</w:t>
      </w:r>
      <w:r w:rsidRPr="000043DB">
        <w:rPr>
          <w:vertAlign w:val="subscript"/>
        </w:rPr>
        <w:t>3</w:t>
      </w:r>
      <w:r w:rsidRPr="000043DB">
        <w:t>, N</w:t>
      </w:r>
      <w:r w:rsidRPr="000043DB">
        <w:rPr>
          <w:vertAlign w:val="subscript"/>
        </w:rPr>
        <w:t>2</w:t>
      </w:r>
      <w:r w:rsidRPr="000043DB">
        <w:t xml:space="preserve"> </w:t>
      </w:r>
      <w:r>
        <w:t>et</w:t>
      </w:r>
      <w:r w:rsidRPr="000043DB">
        <w:t xml:space="preserve"> N</w:t>
      </w:r>
      <w:r w:rsidRPr="000043DB">
        <w:rPr>
          <w:vertAlign w:val="subscript"/>
        </w:rPr>
        <w:t>3</w:t>
      </w:r>
      <w:r w:rsidRPr="00CF507F">
        <w:rPr>
          <w:rStyle w:val="FootnoteReference"/>
        </w:rPr>
        <w:footnoteReference w:id="2"/>
      </w:r>
      <w:r w:rsidRPr="00ED7F39">
        <w:t>, principalement utilisés sur des autoroutes</w:t>
      </w:r>
      <w:r>
        <w:t>.</w:t>
      </w:r>
    </w:p>
    <w:p w:rsidR="00CF507F" w:rsidRPr="000043DB" w:rsidRDefault="00CF507F" w:rsidP="00CF507F">
      <w:pPr>
        <w:pStyle w:val="SingleTxt"/>
      </w:pPr>
      <w:r>
        <w:tab/>
      </w:r>
      <w:r w:rsidRPr="0080659C">
        <w:t>Ces catégories de véhicule bénéficieront de l’installation d’un LDWS, en particulier dans les c</w:t>
      </w:r>
      <w:r>
        <w:t>onditions de conduite monotones</w:t>
      </w:r>
      <w:r w:rsidRPr="000043DB">
        <w:t xml:space="preserve">. </w:t>
      </w:r>
      <w:r w:rsidRPr="00DC2281">
        <w:t>Il s’agit d’un système d’assistance en cas de distraction ou de somnolence au volant, qui avertit le conducteur d’un déport intempestif du véhicule, hors de sa voie de circulation.</w:t>
      </w:r>
    </w:p>
    <w:p w:rsidR="00CF507F" w:rsidRPr="000043DB" w:rsidRDefault="00CF507F" w:rsidP="00CF507F">
      <w:pPr>
        <w:pStyle w:val="SingleTxt"/>
      </w:pPr>
      <w:r>
        <w:tab/>
      </w:r>
      <w:r w:rsidRPr="003161D5">
        <w:t>S’il est vrai que les catégories de véhicule susmentionnées bénéficieront généralement de l’installation d’un LDWS, l’intérêt d’un tel système est douteux pour certaines sous-catégories du fait qu’elles sont principalement utilisées en dehors des autoroutes (autobus transportant des passagers debout, c’est-à-dire les véhicules des classes I, II et A, véhicules tout-terrain</w:t>
      </w:r>
      <w:r w:rsidRPr="00CF507F">
        <w:rPr>
          <w:vertAlign w:val="superscript"/>
        </w:rPr>
        <w:t>1</w:t>
      </w:r>
      <w:r w:rsidRPr="003161D5">
        <w:t>, véhicules de chantier, véhicules spéciaux, etc.).</w:t>
      </w:r>
      <w:r w:rsidRPr="000043DB">
        <w:t xml:space="preserve"> </w:t>
      </w:r>
      <w:r w:rsidRPr="003161D5">
        <w:t>Indépendamment de son intérêt, l’installation d’un tel système sur les véhicules d’autres sous-catégories présenterait des difficultés techniques (véhicules équipés de pare-brise en deux parties, de cabines asymétriques ou de pare-brise très épais, forme du capot avant, véhicules à équipement frontal, etc.).</w:t>
      </w:r>
    </w:p>
    <w:p w:rsidR="00CF507F" w:rsidRPr="000043DB" w:rsidRDefault="00CF507F" w:rsidP="00CF507F">
      <w:pPr>
        <w:pStyle w:val="SingleTxt"/>
      </w:pPr>
      <w:r>
        <w:tab/>
        <w:t xml:space="preserve">Le </w:t>
      </w:r>
      <w:r w:rsidRPr="00856784">
        <w:t>système doit automatiquement détecter les déports intempestifs du véhicule hors de sa voie de circulation et en avertir le conducteur</w:t>
      </w:r>
      <w:r w:rsidRPr="000043DB">
        <w:t>.</w:t>
      </w:r>
    </w:p>
    <w:p w:rsidR="00CF507F" w:rsidRPr="000043DB" w:rsidRDefault="00CF507F" w:rsidP="00CF507F">
      <w:pPr>
        <w:pStyle w:val="SingleTxt"/>
      </w:pPr>
      <w:r>
        <w:tab/>
      </w:r>
      <w:r w:rsidRPr="00856784">
        <w:t>Le système doit émettre un signal d’avertissement pour alerter un conducteur inattentif en cas de situation critique.</w:t>
      </w:r>
    </w:p>
    <w:p w:rsidR="00CF507F" w:rsidRPr="000043DB" w:rsidRDefault="00CF507F" w:rsidP="00CF507F">
      <w:pPr>
        <w:pStyle w:val="SingleTxt"/>
      </w:pPr>
      <w:r>
        <w:tab/>
      </w:r>
      <w:r w:rsidRPr="00856784">
        <w:t>Les conditions de circulation et les particularités des infrastructures ne peuvent pas toutes être prises en compte pour l’homologation de type dans le cadre du présent Règlement. Les circonstances et les particularités effectives ne doivent pas donner lieu à des avertissements intempestifs au point d’inciter le condu</w:t>
      </w:r>
      <w:r>
        <w:t>cteur à désactiver le système.».</w:t>
      </w:r>
    </w:p>
    <w:p w:rsidR="00CF507F" w:rsidRPr="000043DB" w:rsidRDefault="00CF507F" w:rsidP="00CF507F">
      <w:pPr>
        <w:pStyle w:val="SingleTxt"/>
        <w:rPr>
          <w:iCs/>
          <w:szCs w:val="21"/>
        </w:rPr>
      </w:pPr>
      <w:r>
        <w:rPr>
          <w:i/>
          <w:iCs/>
          <w:szCs w:val="21"/>
        </w:rPr>
        <w:t>Ajouter un nouveau</w:t>
      </w:r>
      <w:r w:rsidRPr="000043DB">
        <w:rPr>
          <w:i/>
          <w:iCs/>
          <w:szCs w:val="21"/>
        </w:rPr>
        <w:t xml:space="preserve"> paragraph</w:t>
      </w:r>
      <w:r>
        <w:rPr>
          <w:i/>
          <w:iCs/>
          <w:szCs w:val="21"/>
        </w:rPr>
        <w:t>e</w:t>
      </w:r>
      <w:r w:rsidRPr="000043DB">
        <w:rPr>
          <w:i/>
          <w:iCs/>
          <w:szCs w:val="21"/>
        </w:rPr>
        <w:t xml:space="preserve"> 5.1.2</w:t>
      </w:r>
      <w:r w:rsidRPr="000043DB">
        <w:rPr>
          <w:iCs/>
          <w:szCs w:val="21"/>
        </w:rPr>
        <w:t xml:space="preserve">, </w:t>
      </w:r>
      <w:r>
        <w:rPr>
          <w:iCs/>
          <w:szCs w:val="21"/>
        </w:rPr>
        <w:t>libellé comme suit </w:t>
      </w:r>
      <w:r w:rsidRPr="000043DB">
        <w:rPr>
          <w:iCs/>
          <w:szCs w:val="21"/>
        </w:rPr>
        <w:t xml:space="preserve">: </w:t>
      </w:r>
    </w:p>
    <w:p w:rsidR="00CF507F" w:rsidRPr="000043DB" w:rsidRDefault="00CF507F" w:rsidP="00CF507F">
      <w:pPr>
        <w:pStyle w:val="SingleTxt"/>
        <w:ind w:left="2218" w:hanging="951"/>
      </w:pPr>
      <w:r>
        <w:rPr>
          <w:szCs w:val="21"/>
        </w:rPr>
        <w:t>« </w:t>
      </w:r>
      <w:r w:rsidRPr="000043DB">
        <w:rPr>
          <w:szCs w:val="21"/>
        </w:rPr>
        <w:t>5.1.2</w:t>
      </w:r>
      <w:r w:rsidRPr="000043DB">
        <w:rPr>
          <w:b/>
          <w:szCs w:val="21"/>
        </w:rPr>
        <w:tab/>
      </w:r>
      <w:r w:rsidRPr="005F32D9">
        <w:t>L’efficacité des systèmes de freinage, y compris la ligne de commande électrique, ne doit pas être altérée par des champs magnétiques ou électriques. Cette condition est remplie s’il est satisfait aux prescriptions techniques et aux dispositions transitoires du</w:t>
      </w:r>
      <w:r>
        <w:t xml:space="preserve"> Règlement n</w:t>
      </w:r>
      <w:r w:rsidRPr="00CF507F">
        <w:rPr>
          <w:vertAlign w:val="superscript"/>
        </w:rPr>
        <w:t>o</w:t>
      </w:r>
      <w:r>
        <w:t> </w:t>
      </w:r>
      <w:r w:rsidRPr="000043DB">
        <w:t>10</w:t>
      </w:r>
      <w:r>
        <w:t xml:space="preserve"> en appliquant </w:t>
      </w:r>
      <w:r w:rsidRPr="000043DB">
        <w:t>:</w:t>
      </w:r>
    </w:p>
    <w:p w:rsidR="00CF507F" w:rsidRPr="000043DB" w:rsidRDefault="00CF507F" w:rsidP="00CF507F">
      <w:pPr>
        <w:pStyle w:val="SingleTxt"/>
        <w:ind w:left="2693" w:hanging="1426"/>
      </w:pPr>
      <w:r>
        <w:tab/>
      </w:r>
      <w:r>
        <w:tab/>
      </w:r>
      <w:r w:rsidRPr="000043DB">
        <w:t>a)</w:t>
      </w:r>
      <w:r w:rsidRPr="000043DB">
        <w:tab/>
      </w:r>
      <w:r w:rsidRPr="00CD423C">
        <w:t>La série 03 d’amendements aux véhicules dépourvus de système de raccordement de la recharge du système recharg</w:t>
      </w:r>
      <w:r>
        <w:t>eable de stockage de l’énergie</w:t>
      </w:r>
      <w:r w:rsidRPr="00CD423C">
        <w:t xml:space="preserve"> (batteries de traction);</w:t>
      </w:r>
    </w:p>
    <w:p w:rsidR="00CF507F" w:rsidRDefault="00CF507F" w:rsidP="00CF507F">
      <w:pPr>
        <w:pStyle w:val="SingleTxt"/>
        <w:ind w:left="2693" w:hanging="1426"/>
      </w:pPr>
      <w:r>
        <w:tab/>
      </w:r>
      <w:r>
        <w:tab/>
      </w:r>
      <w:r w:rsidRPr="000043DB">
        <w:t>b)</w:t>
      </w:r>
      <w:r w:rsidRPr="000043DB">
        <w:tab/>
      </w:r>
      <w:r w:rsidRPr="00CD423C">
        <w:t>La série 04 d’amendements aux véhicules équipés d’un système de raccordement de la recharge du système recharg</w:t>
      </w:r>
      <w:r>
        <w:t>eable de stockage de l’énergie</w:t>
      </w:r>
      <w:r w:rsidRPr="00CD423C">
        <w:t xml:space="preserve"> (batteries de traction).</w:t>
      </w:r>
      <w:r>
        <w:t> </w:t>
      </w:r>
      <w:r w:rsidRPr="00CD423C">
        <w:t>».</w:t>
      </w:r>
    </w:p>
    <w:p w:rsidR="00CF507F" w:rsidRPr="00CF507F" w:rsidRDefault="00CF507F" w:rsidP="00CF507F">
      <w:pPr>
        <w:tabs>
          <w:tab w:val="left" w:pos="2835"/>
        </w:tabs>
        <w:spacing w:line="240" w:lineRule="auto"/>
        <w:ind w:left="2835" w:right="1134" w:hanging="567"/>
        <w:jc w:val="both"/>
        <w:rPr>
          <w:rFonts w:eastAsia="Times New Roman"/>
        </w:rPr>
      </w:pPr>
      <w:r>
        <w:rPr>
          <w:rFonts w:eastAsia="Times New Roman"/>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CF507F" w:rsidRPr="00CF507F" w:rsidSect="00E01E27">
      <w:type w:val="continuous"/>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9DE" w:rsidRDefault="003D59DE" w:rsidP="00F3330B">
      <w:pPr>
        <w:spacing w:line="240" w:lineRule="auto"/>
      </w:pPr>
      <w:r>
        <w:separator/>
      </w:r>
    </w:p>
  </w:endnote>
  <w:endnote w:type="continuationSeparator" w:id="0">
    <w:p w:rsidR="003D59DE" w:rsidRDefault="003D59DE"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E01E27" w:rsidTr="00E01E27">
      <w:trPr>
        <w:jc w:val="center"/>
      </w:trPr>
      <w:tc>
        <w:tcPr>
          <w:tcW w:w="5126" w:type="dxa"/>
          <w:shd w:val="clear" w:color="auto" w:fill="auto"/>
        </w:tcPr>
        <w:p w:rsidR="00E01E27" w:rsidRPr="00E01E27" w:rsidRDefault="00E01E27" w:rsidP="00E01E27">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B3547">
            <w:rPr>
              <w:b w:val="0"/>
              <w:w w:val="103"/>
              <w:sz w:val="14"/>
            </w:rPr>
            <w:t>GE.15-22717</w:t>
          </w:r>
          <w:r>
            <w:rPr>
              <w:b w:val="0"/>
              <w:w w:val="103"/>
              <w:sz w:val="14"/>
            </w:rPr>
            <w:fldChar w:fldCharType="end"/>
          </w:r>
        </w:p>
      </w:tc>
      <w:tc>
        <w:tcPr>
          <w:tcW w:w="5127" w:type="dxa"/>
          <w:shd w:val="clear" w:color="auto" w:fill="auto"/>
        </w:tcPr>
        <w:p w:rsidR="00E01E27" w:rsidRPr="00E01E27" w:rsidRDefault="00E01E27" w:rsidP="00E01E27">
          <w:pPr>
            <w:pStyle w:val="Footer"/>
            <w:rPr>
              <w:w w:val="103"/>
            </w:rPr>
          </w:pPr>
          <w:r>
            <w:rPr>
              <w:w w:val="103"/>
            </w:rPr>
            <w:fldChar w:fldCharType="begin"/>
          </w:r>
          <w:r>
            <w:rPr>
              <w:w w:val="103"/>
            </w:rPr>
            <w:instrText xml:space="preserve"> PAGE  \* Arabic  \* MERGEFORMAT </w:instrText>
          </w:r>
          <w:r>
            <w:rPr>
              <w:w w:val="103"/>
            </w:rPr>
            <w:fldChar w:fldCharType="separate"/>
          </w:r>
          <w:r w:rsidR="00FC09AC">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C09AC">
            <w:rPr>
              <w:noProof/>
              <w:w w:val="103"/>
            </w:rPr>
            <w:t>2</w:t>
          </w:r>
          <w:r>
            <w:rPr>
              <w:w w:val="103"/>
            </w:rPr>
            <w:fldChar w:fldCharType="end"/>
          </w:r>
        </w:p>
      </w:tc>
    </w:tr>
  </w:tbl>
  <w:p w:rsidR="00E01E27" w:rsidRPr="00E01E27" w:rsidRDefault="00E01E27" w:rsidP="00E01E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E01E27" w:rsidTr="00E01E27">
      <w:trPr>
        <w:jc w:val="center"/>
      </w:trPr>
      <w:tc>
        <w:tcPr>
          <w:tcW w:w="5126" w:type="dxa"/>
          <w:shd w:val="clear" w:color="auto" w:fill="auto"/>
        </w:tcPr>
        <w:p w:rsidR="00E01E27" w:rsidRPr="00E01E27" w:rsidRDefault="00E01E27" w:rsidP="00E01E27">
          <w:pPr>
            <w:pStyle w:val="Footer"/>
            <w:jc w:val="right"/>
            <w:rPr>
              <w:w w:val="103"/>
            </w:rPr>
          </w:pPr>
          <w:r>
            <w:rPr>
              <w:w w:val="103"/>
            </w:rPr>
            <w:fldChar w:fldCharType="begin"/>
          </w:r>
          <w:r>
            <w:rPr>
              <w:w w:val="103"/>
            </w:rPr>
            <w:instrText xml:space="preserve"> PAGE  \* Arabic  \* MERGEFORMAT </w:instrText>
          </w:r>
          <w:r>
            <w:rPr>
              <w:w w:val="103"/>
            </w:rPr>
            <w:fldChar w:fldCharType="separate"/>
          </w:r>
          <w:r w:rsidR="005B3547">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B3547">
            <w:rPr>
              <w:noProof/>
              <w:w w:val="103"/>
            </w:rPr>
            <w:t>2</w:t>
          </w:r>
          <w:r>
            <w:rPr>
              <w:w w:val="103"/>
            </w:rPr>
            <w:fldChar w:fldCharType="end"/>
          </w:r>
        </w:p>
      </w:tc>
      <w:tc>
        <w:tcPr>
          <w:tcW w:w="5127" w:type="dxa"/>
          <w:shd w:val="clear" w:color="auto" w:fill="auto"/>
        </w:tcPr>
        <w:p w:rsidR="00E01E27" w:rsidRPr="00E01E27" w:rsidRDefault="00E01E27" w:rsidP="00E01E27">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B3547">
            <w:rPr>
              <w:b w:val="0"/>
              <w:w w:val="103"/>
              <w:sz w:val="14"/>
            </w:rPr>
            <w:t>GE.15-22717</w:t>
          </w:r>
          <w:r>
            <w:rPr>
              <w:b w:val="0"/>
              <w:w w:val="103"/>
              <w:sz w:val="14"/>
            </w:rPr>
            <w:fldChar w:fldCharType="end"/>
          </w:r>
        </w:p>
      </w:tc>
    </w:tr>
  </w:tbl>
  <w:p w:rsidR="00E01E27" w:rsidRPr="00E01E27" w:rsidRDefault="00E01E27" w:rsidP="00E01E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E27" w:rsidRDefault="00E01E27">
    <w:pPr>
      <w:pStyle w:val="Footer"/>
    </w:pPr>
    <w:r>
      <w:rPr>
        <w:noProof/>
        <w:lang w:val="en-GB" w:eastAsia="en-GB"/>
      </w:rPr>
      <w:drawing>
        <wp:anchor distT="0" distB="0" distL="114300" distR="114300" simplePos="0" relativeHeight="251658240" behindDoc="0" locked="0" layoutInCell="1" allowOverlap="1" wp14:anchorId="70490760" wp14:editId="3CACF486">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29/2016/6&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2016/6&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E01E27" w:rsidTr="00E01E27">
      <w:tc>
        <w:tcPr>
          <w:tcW w:w="3859" w:type="dxa"/>
        </w:tcPr>
        <w:p w:rsidR="00E01E27" w:rsidRDefault="00E01E27" w:rsidP="00E01E27">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5B3547">
            <w:rPr>
              <w:b w:val="0"/>
              <w:sz w:val="20"/>
            </w:rPr>
            <w:t>GE.15-22717 (F)</w:t>
          </w:r>
          <w:r>
            <w:rPr>
              <w:b w:val="0"/>
              <w:sz w:val="20"/>
            </w:rPr>
            <w:fldChar w:fldCharType="end"/>
          </w:r>
          <w:r>
            <w:rPr>
              <w:b w:val="0"/>
              <w:sz w:val="20"/>
            </w:rPr>
            <w:t xml:space="preserve">    050216    050216</w:t>
          </w:r>
        </w:p>
        <w:p w:rsidR="00E01E27" w:rsidRPr="00E01E27" w:rsidRDefault="00E01E27" w:rsidP="00E01E27">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5B3547">
            <w:rPr>
              <w:rFonts w:ascii="Barcode 3 of 9 by request" w:hAnsi="Barcode 3 of 9 by request"/>
              <w:b w:val="0"/>
              <w:spacing w:val="0"/>
              <w:w w:val="100"/>
              <w:sz w:val="24"/>
            </w:rPr>
            <w:t>*1522717*</w:t>
          </w:r>
          <w:r>
            <w:rPr>
              <w:rFonts w:ascii="Barcode 3 of 9 by request" w:hAnsi="Barcode 3 of 9 by request"/>
              <w:b w:val="0"/>
              <w:spacing w:val="0"/>
              <w:w w:val="100"/>
              <w:sz w:val="24"/>
            </w:rPr>
            <w:fldChar w:fldCharType="end"/>
          </w:r>
        </w:p>
      </w:tc>
      <w:tc>
        <w:tcPr>
          <w:tcW w:w="5127" w:type="dxa"/>
        </w:tcPr>
        <w:p w:rsidR="00E01E27" w:rsidRDefault="00E01E27" w:rsidP="00E01E27">
          <w:pPr>
            <w:pStyle w:val="Footer"/>
            <w:spacing w:line="240" w:lineRule="atLeast"/>
            <w:jc w:val="right"/>
            <w:rPr>
              <w:b w:val="0"/>
              <w:sz w:val="20"/>
            </w:rPr>
          </w:pPr>
          <w:r>
            <w:rPr>
              <w:b w:val="0"/>
              <w:noProof/>
              <w:sz w:val="20"/>
              <w:lang w:val="en-GB" w:eastAsia="en-GB"/>
            </w:rPr>
            <w:drawing>
              <wp:inline distT="0" distB="0" distL="0" distR="0" wp14:anchorId="522D7BE4" wp14:editId="35F6B10C">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E01E27" w:rsidRPr="00E01E27" w:rsidRDefault="00E01E27" w:rsidP="00E01E27">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9DE" w:rsidRPr="00CF507F" w:rsidRDefault="00CF507F" w:rsidP="00CF507F">
      <w:pPr>
        <w:pStyle w:val="Footer"/>
        <w:spacing w:after="80"/>
        <w:ind w:left="792"/>
        <w:rPr>
          <w:sz w:val="16"/>
        </w:rPr>
      </w:pPr>
      <w:r w:rsidRPr="00CF507F">
        <w:rPr>
          <w:sz w:val="16"/>
        </w:rPr>
        <w:t>__________________</w:t>
      </w:r>
    </w:p>
  </w:footnote>
  <w:footnote w:type="continuationSeparator" w:id="0">
    <w:p w:rsidR="003D59DE" w:rsidRPr="00CF507F" w:rsidRDefault="00CF507F" w:rsidP="00CF507F">
      <w:pPr>
        <w:pStyle w:val="Footer"/>
        <w:spacing w:after="80"/>
        <w:ind w:left="792"/>
        <w:rPr>
          <w:sz w:val="16"/>
        </w:rPr>
      </w:pPr>
      <w:r w:rsidRPr="00CF507F">
        <w:rPr>
          <w:sz w:val="16"/>
        </w:rPr>
        <w:t>__________________</w:t>
      </w:r>
    </w:p>
  </w:footnote>
  <w:footnote w:id="1">
    <w:p w:rsidR="00CF507F" w:rsidRPr="00706101" w:rsidRDefault="00CF507F" w:rsidP="00CF507F">
      <w:pPr>
        <w:pStyle w:val="FootnoteText"/>
        <w:tabs>
          <w:tab w:val="right" w:pos="1195"/>
          <w:tab w:val="left" w:pos="1267"/>
          <w:tab w:val="left" w:pos="1742"/>
          <w:tab w:val="left" w:pos="2218"/>
          <w:tab w:val="left" w:pos="2693"/>
        </w:tabs>
        <w:ind w:left="1267" w:right="1260" w:hanging="432"/>
        <w:rPr>
          <w:lang w:val="en-GB"/>
        </w:rPr>
      </w:pPr>
      <w:r w:rsidRPr="00A90EA8">
        <w:rPr>
          <w:lang w:val="en-GB"/>
        </w:rPr>
        <w:tab/>
      </w:r>
      <w:r w:rsidRPr="00CF507F">
        <w:rPr>
          <w:rStyle w:val="FootnoteReference"/>
          <w:sz w:val="20"/>
          <w:vertAlign w:val="baseline"/>
          <w:lang w:val="en-US"/>
        </w:rPr>
        <w:t>*</w:t>
      </w:r>
      <w:r w:rsidRPr="002232AF">
        <w:rPr>
          <w:sz w:val="20"/>
          <w:lang w:val="en-US"/>
        </w:rPr>
        <w:tab/>
      </w:r>
      <w:r w:rsidRPr="008E4959">
        <w:rPr>
          <w:szCs w:val="18"/>
        </w:rPr>
        <w:t>Conformément au programme de travail du Comité des transports intérieurs pour la période 2014</w:t>
      </w:r>
      <w:r>
        <w:rPr>
          <w:szCs w:val="18"/>
        </w:rPr>
        <w:t>-2018 (ECE/TRANS/240, par. </w:t>
      </w:r>
      <w:r w:rsidRPr="008E4959">
        <w:rPr>
          <w:szCs w:val="18"/>
        </w:rPr>
        <w:t>105 et ECE/TRANS/2014/26, activité 02.4), le Forum mondial a pour mission d</w:t>
      </w:r>
      <w:r w:rsidR="00270D77">
        <w:rPr>
          <w:szCs w:val="18"/>
        </w:rPr>
        <w:t>’</w:t>
      </w:r>
      <w:r w:rsidRPr="008E4959">
        <w:rPr>
          <w:szCs w:val="18"/>
        </w:rPr>
        <w:t>élaborer, d</w:t>
      </w:r>
      <w:r w:rsidR="00270D77">
        <w:rPr>
          <w:szCs w:val="18"/>
        </w:rPr>
        <w:t>’</w:t>
      </w:r>
      <w:r w:rsidRPr="008E4959">
        <w:rPr>
          <w:szCs w:val="18"/>
        </w:rPr>
        <w:t xml:space="preserve">harmoniser et de mettre à jour les Règlements </w:t>
      </w:r>
      <w:r w:rsidRPr="008E4959">
        <w:t>en vue d’améliorer les caractéristiques fonctionnelles des véhicules.</w:t>
      </w:r>
      <w:r w:rsidRPr="008E4959">
        <w:rPr>
          <w:szCs w:val="18"/>
        </w:rPr>
        <w:t xml:space="preserve"> Le présent document </w:t>
      </w:r>
      <w:r>
        <w:t>est soumis en vertu de ce mandat</w:t>
      </w:r>
      <w:r w:rsidRPr="00C04C5C">
        <w:rPr>
          <w:szCs w:val="18"/>
          <w:lang w:val="en-US"/>
        </w:rPr>
        <w:t>.</w:t>
      </w:r>
    </w:p>
  </w:footnote>
  <w:footnote w:id="2">
    <w:p w:rsidR="00CF507F" w:rsidRPr="00CF507F" w:rsidRDefault="00CF507F" w:rsidP="00CF507F">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ab/>
      </w:r>
      <w:r w:rsidRPr="00CF507F">
        <w:t xml:space="preserve">Selon la définition figurant dans la Résolution d’ensemble sur la construction des véhicules (R.E.3), document </w:t>
      </w:r>
      <w:r w:rsidRPr="00CF507F">
        <w:rPr>
          <w:lang w:val="en-US"/>
        </w:rPr>
        <w:t xml:space="preserve">ECE/TRANS/WP.29/78/Rev.3, par. 2 </w:t>
      </w:r>
      <w:r w:rsidRPr="00CF507F">
        <w:rPr>
          <w:lang w:val="en-GB"/>
        </w:rPr>
        <w:t xml:space="preserve">– </w:t>
      </w:r>
      <w:hyperlink r:id="rId1" w:history="1">
        <w:r w:rsidRPr="00CF507F">
          <w:rPr>
            <w:rStyle w:val="Hyperlink"/>
            <w:color w:val="auto"/>
            <w:u w:val="none"/>
            <w:lang w:val="en-GB"/>
          </w:rPr>
          <w:t>www.unece.org/trans/main/wp29/wp29wgs/ wp29gen/</w:t>
        </w:r>
      </w:hyperlink>
      <w:r w:rsidRPr="00CF507F">
        <w:rPr>
          <w:lang w:val="en-GB"/>
        </w:rPr>
        <w:t xml:space="preserve"> wp29resolutions.html</w:t>
      </w:r>
      <w:r w:rsidRPr="00CF507F">
        <w:rPr>
          <w:szCs w:val="18"/>
          <w:lang w:val="en-US" w:eastAsia="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E01E27" w:rsidTr="00E01E27">
      <w:trPr>
        <w:trHeight w:hRule="exact" w:val="864"/>
        <w:jc w:val="center"/>
      </w:trPr>
      <w:tc>
        <w:tcPr>
          <w:tcW w:w="4882" w:type="dxa"/>
          <w:shd w:val="clear" w:color="auto" w:fill="auto"/>
          <w:vAlign w:val="bottom"/>
        </w:tcPr>
        <w:p w:rsidR="00E01E27" w:rsidRPr="00E01E27" w:rsidRDefault="00E01E27" w:rsidP="00E01E27">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B3547">
            <w:rPr>
              <w:b/>
              <w:color w:val="000000"/>
            </w:rPr>
            <w:t>ECE/TRANS/WP.29/2016/6</w:t>
          </w:r>
          <w:r>
            <w:rPr>
              <w:b/>
              <w:color w:val="000000"/>
            </w:rPr>
            <w:fldChar w:fldCharType="end"/>
          </w:r>
        </w:p>
      </w:tc>
      <w:tc>
        <w:tcPr>
          <w:tcW w:w="5127" w:type="dxa"/>
          <w:shd w:val="clear" w:color="auto" w:fill="auto"/>
          <w:vAlign w:val="bottom"/>
        </w:tcPr>
        <w:p w:rsidR="00E01E27" w:rsidRDefault="00E01E27" w:rsidP="00E01E27">
          <w:pPr>
            <w:pStyle w:val="Header"/>
          </w:pPr>
        </w:p>
      </w:tc>
    </w:tr>
  </w:tbl>
  <w:p w:rsidR="00E01E27" w:rsidRPr="00E01E27" w:rsidRDefault="00E01E27" w:rsidP="00E01E27">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E01E27" w:rsidTr="00E01E27">
      <w:trPr>
        <w:trHeight w:hRule="exact" w:val="864"/>
        <w:jc w:val="center"/>
      </w:trPr>
      <w:tc>
        <w:tcPr>
          <w:tcW w:w="4882" w:type="dxa"/>
          <w:shd w:val="clear" w:color="auto" w:fill="auto"/>
          <w:vAlign w:val="bottom"/>
        </w:tcPr>
        <w:p w:rsidR="00E01E27" w:rsidRDefault="00E01E27" w:rsidP="00E01E27">
          <w:pPr>
            <w:pStyle w:val="Header"/>
          </w:pPr>
        </w:p>
      </w:tc>
      <w:tc>
        <w:tcPr>
          <w:tcW w:w="5127" w:type="dxa"/>
          <w:shd w:val="clear" w:color="auto" w:fill="auto"/>
          <w:vAlign w:val="bottom"/>
        </w:tcPr>
        <w:p w:rsidR="00E01E27" w:rsidRPr="00E01E27" w:rsidRDefault="00E01E27" w:rsidP="00E01E27">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B3547">
            <w:rPr>
              <w:b/>
              <w:color w:val="000000"/>
            </w:rPr>
            <w:t>ECE/TRANS/WP.29/2016/6</w:t>
          </w:r>
          <w:r>
            <w:rPr>
              <w:b/>
              <w:color w:val="000000"/>
            </w:rPr>
            <w:fldChar w:fldCharType="end"/>
          </w:r>
        </w:p>
      </w:tc>
    </w:tr>
  </w:tbl>
  <w:p w:rsidR="00E01E27" w:rsidRPr="00E01E27" w:rsidRDefault="00E01E27" w:rsidP="00E01E27">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E01E27" w:rsidTr="00E01E27">
      <w:trPr>
        <w:trHeight w:hRule="exact" w:val="864"/>
      </w:trPr>
      <w:tc>
        <w:tcPr>
          <w:tcW w:w="1267" w:type="dxa"/>
          <w:tcBorders>
            <w:bottom w:val="single" w:sz="4" w:space="0" w:color="auto"/>
          </w:tcBorders>
          <w:shd w:val="clear" w:color="auto" w:fill="auto"/>
          <w:vAlign w:val="bottom"/>
        </w:tcPr>
        <w:p w:rsidR="00E01E27" w:rsidRDefault="00E01E27" w:rsidP="00E01E27">
          <w:pPr>
            <w:pStyle w:val="Header"/>
            <w:spacing w:after="120"/>
          </w:pPr>
        </w:p>
      </w:tc>
      <w:tc>
        <w:tcPr>
          <w:tcW w:w="2059" w:type="dxa"/>
          <w:tcBorders>
            <w:bottom w:val="single" w:sz="4" w:space="0" w:color="auto"/>
          </w:tcBorders>
          <w:shd w:val="clear" w:color="auto" w:fill="auto"/>
          <w:vAlign w:val="bottom"/>
        </w:tcPr>
        <w:p w:rsidR="00E01E27" w:rsidRPr="00E01E27" w:rsidRDefault="00E01E27" w:rsidP="00E01E27">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E01E27" w:rsidRDefault="00E01E27" w:rsidP="00E01E27">
          <w:pPr>
            <w:pStyle w:val="Header"/>
            <w:spacing w:after="120"/>
          </w:pPr>
        </w:p>
      </w:tc>
      <w:tc>
        <w:tcPr>
          <w:tcW w:w="6653" w:type="dxa"/>
          <w:gridSpan w:val="4"/>
          <w:tcBorders>
            <w:bottom w:val="single" w:sz="4" w:space="0" w:color="auto"/>
          </w:tcBorders>
          <w:shd w:val="clear" w:color="auto" w:fill="auto"/>
          <w:vAlign w:val="bottom"/>
        </w:tcPr>
        <w:p w:rsidR="00E01E27" w:rsidRPr="00E01E27" w:rsidRDefault="00E01E27" w:rsidP="00E01E27">
          <w:pPr>
            <w:spacing w:after="80" w:line="240" w:lineRule="auto"/>
            <w:jc w:val="right"/>
            <w:rPr>
              <w:position w:val="-4"/>
            </w:rPr>
          </w:pPr>
          <w:r>
            <w:rPr>
              <w:position w:val="-4"/>
              <w:sz w:val="40"/>
            </w:rPr>
            <w:t>ECE</w:t>
          </w:r>
          <w:r>
            <w:rPr>
              <w:position w:val="-4"/>
            </w:rPr>
            <w:t>/TRANS/WP.29/2016/6</w:t>
          </w:r>
        </w:p>
      </w:tc>
    </w:tr>
    <w:tr w:rsidR="00E01E27" w:rsidRPr="00E01E27" w:rsidTr="00E01E27">
      <w:trPr>
        <w:gridAfter w:val="1"/>
        <w:wAfter w:w="18" w:type="dxa"/>
        <w:trHeight w:hRule="exact" w:val="2880"/>
      </w:trPr>
      <w:tc>
        <w:tcPr>
          <w:tcW w:w="1267" w:type="dxa"/>
          <w:tcBorders>
            <w:top w:val="single" w:sz="4" w:space="0" w:color="auto"/>
            <w:bottom w:val="single" w:sz="12" w:space="0" w:color="auto"/>
          </w:tcBorders>
          <w:shd w:val="clear" w:color="auto" w:fill="auto"/>
        </w:tcPr>
        <w:p w:rsidR="00E01E27" w:rsidRPr="00E01E27" w:rsidRDefault="00E01E27" w:rsidP="00E01E27">
          <w:pPr>
            <w:pStyle w:val="Header"/>
            <w:spacing w:before="120" w:line="240" w:lineRule="auto"/>
            <w:ind w:left="-72"/>
            <w:jc w:val="center"/>
          </w:pPr>
          <w:r>
            <w:t xml:space="preserve">  </w:t>
          </w:r>
          <w:r>
            <w:rPr>
              <w:noProof/>
              <w:lang w:val="en-GB" w:eastAsia="en-GB"/>
            </w:rPr>
            <w:drawing>
              <wp:inline distT="0" distB="0" distL="0" distR="0" wp14:anchorId="776B71D1" wp14:editId="6FFA4C2B">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E01E27" w:rsidRPr="00E01E27" w:rsidRDefault="00E01E27" w:rsidP="00E01E27">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E01E27" w:rsidRPr="00E01E27" w:rsidRDefault="00E01E27" w:rsidP="00E01E27">
          <w:pPr>
            <w:pStyle w:val="Header"/>
            <w:spacing w:before="109"/>
          </w:pPr>
        </w:p>
      </w:tc>
      <w:tc>
        <w:tcPr>
          <w:tcW w:w="3280" w:type="dxa"/>
          <w:tcBorders>
            <w:top w:val="single" w:sz="4" w:space="0" w:color="auto"/>
            <w:bottom w:val="single" w:sz="12" w:space="0" w:color="auto"/>
          </w:tcBorders>
          <w:shd w:val="clear" w:color="auto" w:fill="auto"/>
        </w:tcPr>
        <w:p w:rsidR="00E01E27" w:rsidRDefault="00E01E27" w:rsidP="00E01E27">
          <w:pPr>
            <w:pStyle w:val="Distribution"/>
            <w:rPr>
              <w:color w:val="000000"/>
            </w:rPr>
          </w:pPr>
          <w:r>
            <w:rPr>
              <w:color w:val="000000"/>
            </w:rPr>
            <w:t xml:space="preserve">Distr. </w:t>
          </w:r>
          <w:proofErr w:type="spellStart"/>
          <w:r>
            <w:rPr>
              <w:color w:val="000000"/>
            </w:rPr>
            <w:t>générale</w:t>
          </w:r>
          <w:proofErr w:type="spellEnd"/>
        </w:p>
        <w:p w:rsidR="00E01E27" w:rsidRDefault="00E01E27" w:rsidP="00E01E27">
          <w:pPr>
            <w:pStyle w:val="Publication"/>
            <w:rPr>
              <w:color w:val="000000"/>
            </w:rPr>
          </w:pPr>
          <w:r>
            <w:rPr>
              <w:color w:val="000000"/>
            </w:rPr>
            <w:t xml:space="preserve">23 </w:t>
          </w:r>
          <w:proofErr w:type="spellStart"/>
          <w:r>
            <w:rPr>
              <w:color w:val="000000"/>
            </w:rPr>
            <w:t>décembre</w:t>
          </w:r>
          <w:proofErr w:type="spellEnd"/>
          <w:r>
            <w:rPr>
              <w:color w:val="000000"/>
            </w:rPr>
            <w:t xml:space="preserve"> 2015</w:t>
          </w:r>
        </w:p>
        <w:p w:rsidR="00E01E27" w:rsidRDefault="00E01E27" w:rsidP="00E01E27">
          <w:pPr>
            <w:rPr>
              <w:lang w:val="en-US"/>
            </w:rPr>
          </w:pPr>
          <w:proofErr w:type="spellStart"/>
          <w:r>
            <w:rPr>
              <w:lang w:val="en-US"/>
            </w:rPr>
            <w:t>Français</w:t>
          </w:r>
          <w:proofErr w:type="spellEnd"/>
        </w:p>
        <w:p w:rsidR="00E01E27" w:rsidRPr="00E01E27" w:rsidRDefault="00E01E27" w:rsidP="00E01E27">
          <w:pPr>
            <w:pStyle w:val="Original"/>
            <w:rPr>
              <w:color w:val="000000"/>
            </w:rPr>
          </w:pPr>
          <w:r>
            <w:rPr>
              <w:color w:val="000000"/>
            </w:rPr>
            <w:t xml:space="preserve">Original : </w:t>
          </w:r>
          <w:proofErr w:type="spellStart"/>
          <w:r>
            <w:rPr>
              <w:color w:val="000000"/>
            </w:rPr>
            <w:t>anglais</w:t>
          </w:r>
          <w:proofErr w:type="spellEnd"/>
        </w:p>
      </w:tc>
    </w:tr>
  </w:tbl>
  <w:p w:rsidR="00E01E27" w:rsidRPr="00E01E27" w:rsidRDefault="00E01E27" w:rsidP="00E01E27">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SortMethod w:val="0003"/>
  <w:defaultTabStop w:val="475"/>
  <w:doNotHyphenateCaps/>
  <w:evenAndOddHeaders/>
  <w:characterSpacingControl w:val="doNotCompress"/>
  <w:hdrShapeDefaults>
    <o:shapedefaults v:ext="edit" spidmax="4097"/>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22717*"/>
    <w:docVar w:name="CreationDt" w:val="2/5/2016 3:06: PM"/>
    <w:docVar w:name="DocCategory" w:val="Doc"/>
    <w:docVar w:name="DocType" w:val="Final"/>
    <w:docVar w:name="DutyStation" w:val="Geneva"/>
    <w:docVar w:name="FooterJN" w:val="GE.15-22717"/>
    <w:docVar w:name="jobn" w:val="GE.15-22717 (F)"/>
    <w:docVar w:name="jobnDT" w:val="GE.15-22717 (F)   050216"/>
    <w:docVar w:name="jobnDTDT" w:val="GE.15-22717 (F)   050216   050216"/>
    <w:docVar w:name="JobNo" w:val="GE.1522717F"/>
    <w:docVar w:name="JobNo2" w:val="GE.1528982F"/>
    <w:docVar w:name="LocalDrive" w:val="0"/>
    <w:docVar w:name="OandT" w:val=" "/>
    <w:docVar w:name="PaperSize" w:val="A4"/>
    <w:docVar w:name="sss1" w:val="ECE/TRANS/WP.29/2016/6"/>
    <w:docVar w:name="sss2" w:val="-"/>
    <w:docVar w:name="Symbol1" w:val="ECE/TRANS/WP.29/2016/6"/>
    <w:docVar w:name="Symbol2" w:val="-"/>
  </w:docVars>
  <w:rsids>
    <w:rsidRoot w:val="003D59DE"/>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23812"/>
    <w:rsid w:val="001256F6"/>
    <w:rsid w:val="001262BA"/>
    <w:rsid w:val="00126FB2"/>
    <w:rsid w:val="00127266"/>
    <w:rsid w:val="0013186C"/>
    <w:rsid w:val="00132A45"/>
    <w:rsid w:val="001359FA"/>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18CC"/>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0D77"/>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CED"/>
    <w:rsid w:val="003C7D21"/>
    <w:rsid w:val="003D15A3"/>
    <w:rsid w:val="003D35C1"/>
    <w:rsid w:val="003D59DE"/>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345"/>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547"/>
    <w:rsid w:val="005B3C4C"/>
    <w:rsid w:val="005B5D99"/>
    <w:rsid w:val="005B74B8"/>
    <w:rsid w:val="005C1353"/>
    <w:rsid w:val="005C1587"/>
    <w:rsid w:val="005C3A63"/>
    <w:rsid w:val="005C65C2"/>
    <w:rsid w:val="005C765D"/>
    <w:rsid w:val="005C7B4D"/>
    <w:rsid w:val="005D7CA9"/>
    <w:rsid w:val="005E0F5F"/>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244D1"/>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1221"/>
    <w:rsid w:val="00735F3A"/>
    <w:rsid w:val="00735FB1"/>
    <w:rsid w:val="007367E1"/>
    <w:rsid w:val="007379A0"/>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C0C1F"/>
    <w:rsid w:val="007C1F58"/>
    <w:rsid w:val="007C206E"/>
    <w:rsid w:val="007C2936"/>
    <w:rsid w:val="007C4A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190"/>
    <w:rsid w:val="00964BDE"/>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3006"/>
    <w:rsid w:val="00A24099"/>
    <w:rsid w:val="00A264B0"/>
    <w:rsid w:val="00A2768E"/>
    <w:rsid w:val="00A329BC"/>
    <w:rsid w:val="00A33E3C"/>
    <w:rsid w:val="00A3426E"/>
    <w:rsid w:val="00A353ED"/>
    <w:rsid w:val="00A375D9"/>
    <w:rsid w:val="00A37FBB"/>
    <w:rsid w:val="00A4236C"/>
    <w:rsid w:val="00A43CAC"/>
    <w:rsid w:val="00A45E20"/>
    <w:rsid w:val="00A46DB8"/>
    <w:rsid w:val="00A52DF2"/>
    <w:rsid w:val="00A546A6"/>
    <w:rsid w:val="00A54A5E"/>
    <w:rsid w:val="00A55810"/>
    <w:rsid w:val="00A56CDD"/>
    <w:rsid w:val="00A56E3B"/>
    <w:rsid w:val="00A57C5A"/>
    <w:rsid w:val="00A64AD2"/>
    <w:rsid w:val="00A72C1F"/>
    <w:rsid w:val="00A72F5E"/>
    <w:rsid w:val="00A75482"/>
    <w:rsid w:val="00A75A3C"/>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333"/>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13B0"/>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7ADD"/>
    <w:rsid w:val="00CF507F"/>
    <w:rsid w:val="00CF5E7B"/>
    <w:rsid w:val="00CF7A75"/>
    <w:rsid w:val="00D00362"/>
    <w:rsid w:val="00D01153"/>
    <w:rsid w:val="00D02293"/>
    <w:rsid w:val="00D026B6"/>
    <w:rsid w:val="00D03953"/>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1E27"/>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136"/>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9AC"/>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lsdException w:name="footer" w:semiHidden="0" w:unhideWhenUsed="0" w:qFormat="1"/>
    <w:lsdException w:name="caption" w:uiPriority="35" w:qFormat="1"/>
    <w:lsdException w:name="footnote reference" w:uiPriority="0"/>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
    <w:basedOn w:val="Normal"/>
    <w:link w:val="FootnoteTextChar"/>
    <w:rsid w:val="00611DA0"/>
    <w:pPr>
      <w:spacing w:line="210" w:lineRule="exact"/>
    </w:pPr>
    <w:rPr>
      <w:sz w:val="17"/>
      <w:szCs w:val="20"/>
    </w:rPr>
  </w:style>
  <w:style w:type="character" w:customStyle="1" w:styleId="FootnoteTextChar">
    <w:name w:val="Footnote Text Char"/>
    <w:aliases w:val="5_G Char"/>
    <w:link w:val="FootnoteText"/>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Footnote Reference),-E Fußnotenzeichen,BVI fnr, BVI fnr,Footnote symbol,Footnote,Footnote Reference Superscript,SUPERS"/>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E01E27"/>
    <w:rPr>
      <w:sz w:val="16"/>
      <w:szCs w:val="16"/>
    </w:rPr>
  </w:style>
  <w:style w:type="paragraph" w:styleId="CommentText">
    <w:name w:val="annotation text"/>
    <w:basedOn w:val="Normal"/>
    <w:link w:val="CommentTextChar"/>
    <w:uiPriority w:val="99"/>
    <w:semiHidden/>
    <w:unhideWhenUsed/>
    <w:rsid w:val="00E01E27"/>
    <w:pPr>
      <w:spacing w:line="240" w:lineRule="auto"/>
    </w:pPr>
    <w:rPr>
      <w:szCs w:val="20"/>
    </w:rPr>
  </w:style>
  <w:style w:type="character" w:customStyle="1" w:styleId="CommentTextChar">
    <w:name w:val="Comment Text Char"/>
    <w:basedOn w:val="DefaultParagraphFont"/>
    <w:link w:val="CommentText"/>
    <w:uiPriority w:val="99"/>
    <w:semiHidden/>
    <w:rsid w:val="00E01E27"/>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E01E27"/>
    <w:rPr>
      <w:b/>
      <w:bCs/>
    </w:rPr>
  </w:style>
  <w:style w:type="character" w:customStyle="1" w:styleId="CommentSubjectChar">
    <w:name w:val="Comment Subject Char"/>
    <w:basedOn w:val="CommentTextChar"/>
    <w:link w:val="CommentSubject"/>
    <w:uiPriority w:val="99"/>
    <w:semiHidden/>
    <w:rsid w:val="00E01E27"/>
    <w:rPr>
      <w:rFonts w:ascii="Times New Roman" w:hAnsi="Times New Roman"/>
      <w:b/>
      <w:bCs/>
      <w:spacing w:val="4"/>
      <w:w w:val="103"/>
      <w:kern w:val="14"/>
      <w:lang w:val="fr-CA"/>
    </w:rPr>
  </w:style>
  <w:style w:type="character" w:styleId="Hyperlink">
    <w:name w:val="Hyperlink"/>
    <w:basedOn w:val="DefaultParagraphFont"/>
    <w:uiPriority w:val="99"/>
    <w:unhideWhenUsed/>
    <w:rsid w:val="00CF50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lsdException w:name="footer" w:semiHidden="0" w:unhideWhenUsed="0" w:qFormat="1"/>
    <w:lsdException w:name="caption" w:uiPriority="35" w:qFormat="1"/>
    <w:lsdException w:name="footnote reference" w:uiPriority="0"/>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
    <w:basedOn w:val="Normal"/>
    <w:link w:val="FootnoteTextChar"/>
    <w:rsid w:val="00611DA0"/>
    <w:pPr>
      <w:spacing w:line="210" w:lineRule="exact"/>
    </w:pPr>
    <w:rPr>
      <w:sz w:val="17"/>
      <w:szCs w:val="20"/>
    </w:rPr>
  </w:style>
  <w:style w:type="character" w:customStyle="1" w:styleId="FootnoteTextChar">
    <w:name w:val="Footnote Text Char"/>
    <w:aliases w:val="5_G Char"/>
    <w:link w:val="FootnoteText"/>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Footnote Reference),-E Fußnotenzeichen,BVI fnr, BVI fnr,Footnote symbol,Footnote,Footnote Reference Superscript,SUPERS"/>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E01E27"/>
    <w:rPr>
      <w:sz w:val="16"/>
      <w:szCs w:val="16"/>
    </w:rPr>
  </w:style>
  <w:style w:type="paragraph" w:styleId="CommentText">
    <w:name w:val="annotation text"/>
    <w:basedOn w:val="Normal"/>
    <w:link w:val="CommentTextChar"/>
    <w:uiPriority w:val="99"/>
    <w:semiHidden/>
    <w:unhideWhenUsed/>
    <w:rsid w:val="00E01E27"/>
    <w:pPr>
      <w:spacing w:line="240" w:lineRule="auto"/>
    </w:pPr>
    <w:rPr>
      <w:szCs w:val="20"/>
    </w:rPr>
  </w:style>
  <w:style w:type="character" w:customStyle="1" w:styleId="CommentTextChar">
    <w:name w:val="Comment Text Char"/>
    <w:basedOn w:val="DefaultParagraphFont"/>
    <w:link w:val="CommentText"/>
    <w:uiPriority w:val="99"/>
    <w:semiHidden/>
    <w:rsid w:val="00E01E27"/>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E01E27"/>
    <w:rPr>
      <w:b/>
      <w:bCs/>
    </w:rPr>
  </w:style>
  <w:style w:type="character" w:customStyle="1" w:styleId="CommentSubjectChar">
    <w:name w:val="Comment Subject Char"/>
    <w:basedOn w:val="CommentTextChar"/>
    <w:link w:val="CommentSubject"/>
    <w:uiPriority w:val="99"/>
    <w:semiHidden/>
    <w:rsid w:val="00E01E27"/>
    <w:rPr>
      <w:rFonts w:ascii="Times New Roman" w:hAnsi="Times New Roman"/>
      <w:b/>
      <w:bCs/>
      <w:spacing w:val="4"/>
      <w:w w:val="103"/>
      <w:kern w:val="14"/>
      <w:lang w:val="fr-CA"/>
    </w:rPr>
  </w:style>
  <w:style w:type="character" w:styleId="Hyperlink">
    <w:name w:val="Hyperlink"/>
    <w:basedOn w:val="DefaultParagraphFont"/>
    <w:uiPriority w:val="99"/>
    <w:unhideWhenUsed/>
    <w:rsid w:val="00CF50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20wp29ge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ADE61-A237-415B-BEDB-E6AE39D0C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Beaunee</dc:creator>
  <cp:lastModifiedBy>Caillot</cp:lastModifiedBy>
  <cp:revision>2</cp:revision>
  <cp:lastPrinted>2016-02-05T14:58:00Z</cp:lastPrinted>
  <dcterms:created xsi:type="dcterms:W3CDTF">2016-02-10T17:19:00Z</dcterms:created>
  <dcterms:modified xsi:type="dcterms:W3CDTF">2016-02-10T17:19:00Z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1522717F</vt:lpwstr>
  </property>
  <property fmtid="{D5CDD505-2E9C-101B-9397-08002B2CF9AE}" pid="3" name="ODSRefJobNo">
    <vt:lpwstr>1528982F</vt:lpwstr>
  </property>
  <property fmtid="{D5CDD505-2E9C-101B-9397-08002B2CF9AE}" pid="4" name="Symbol1">
    <vt:lpwstr>ECE/TRANS/WP.29/2016/6</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23 décembre 2015</vt:lpwstr>
  </property>
  <property fmtid="{D5CDD505-2E9C-101B-9397-08002B2CF9AE}" pid="12" name="Original">
    <vt:lpwstr>anglais</vt:lpwstr>
  </property>
  <property fmtid="{D5CDD505-2E9C-101B-9397-08002B2CF9AE}" pid="13" name="Release Date">
    <vt:lpwstr>050216</vt:lpwstr>
  </property>
</Properties>
</file>