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3" w:rsidRDefault="00A37543" w:rsidP="00A37543">
      <w:pPr>
        <w:spacing w:line="240" w:lineRule="auto"/>
        <w:rPr>
          <w:sz w:val="2"/>
        </w:rPr>
        <w:sectPr w:rsidR="00A37543" w:rsidSect="00A375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A37543" w:rsidRDefault="00A37543" w:rsidP="002B493A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lastRenderedPageBreak/>
        <w:t>Commission économique pour l</w:t>
      </w:r>
      <w:r w:rsidR="00A7350C">
        <w:t>’</w:t>
      </w:r>
      <w:r>
        <w:t>Europe</w:t>
      </w:r>
    </w:p>
    <w:p w:rsidR="002B493A" w:rsidRPr="002B493A" w:rsidRDefault="002B493A" w:rsidP="002B493A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A37543" w:rsidRPr="002B493A" w:rsidRDefault="00A37543" w:rsidP="002B493A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2B493A">
        <w:rPr>
          <w:b w:val="0"/>
          <w:bCs/>
        </w:rPr>
        <w:t>Comité des transports intérieurs</w:t>
      </w:r>
    </w:p>
    <w:p w:rsidR="00A7350C" w:rsidRPr="00A7350C" w:rsidRDefault="00A7350C" w:rsidP="00A7350C">
      <w:pPr>
        <w:spacing w:line="120" w:lineRule="exact"/>
        <w:rPr>
          <w:sz w:val="10"/>
          <w:lang w:val="fr-FR"/>
        </w:rPr>
      </w:pPr>
    </w:p>
    <w:p w:rsidR="00A7350C" w:rsidRPr="00822D69" w:rsidRDefault="00A7350C" w:rsidP="00A7350C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822D69">
        <w:rPr>
          <w:lang w:val="fr-FR"/>
        </w:rPr>
        <w:t>Forum mondial de l</w:t>
      </w:r>
      <w:r>
        <w:rPr>
          <w:lang w:val="fr-FR"/>
        </w:rPr>
        <w:t>’</w:t>
      </w:r>
      <w:r w:rsidRPr="00822D69">
        <w:rPr>
          <w:lang w:val="fr-FR"/>
        </w:rPr>
        <w:t xml:space="preserve">harmonisation </w:t>
      </w:r>
      <w:r>
        <w:rPr>
          <w:lang w:val="fr-FR"/>
        </w:rPr>
        <w:br/>
      </w:r>
      <w:r w:rsidRPr="00822D69">
        <w:rPr>
          <w:lang w:val="fr-FR"/>
        </w:rPr>
        <w:t>des Règlements concernant les véhicules</w:t>
      </w:r>
    </w:p>
    <w:p w:rsidR="00A7350C" w:rsidRPr="00A7350C" w:rsidRDefault="00A7350C" w:rsidP="00A7350C">
      <w:pPr>
        <w:spacing w:line="120" w:lineRule="exact"/>
        <w:rPr>
          <w:sz w:val="10"/>
          <w:lang w:val="fr-FR"/>
        </w:rPr>
      </w:pPr>
    </w:p>
    <w:p w:rsidR="00A7350C" w:rsidRPr="00822D69" w:rsidRDefault="00A7350C" w:rsidP="00A7350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822D69">
        <w:rPr>
          <w:lang w:val="fr-FR"/>
        </w:rPr>
        <w:t>168</w:t>
      </w:r>
      <w:r w:rsidRPr="00822D69">
        <w:rPr>
          <w:vertAlign w:val="superscript"/>
          <w:lang w:val="fr-FR"/>
        </w:rPr>
        <w:t>e</w:t>
      </w:r>
      <w:r w:rsidRPr="00822D69">
        <w:rPr>
          <w:lang w:val="fr-FR"/>
        </w:rPr>
        <w:t xml:space="preserve"> session</w:t>
      </w:r>
    </w:p>
    <w:p w:rsidR="00A7350C" w:rsidRPr="00822D69" w:rsidRDefault="00A7350C" w:rsidP="00A7350C">
      <w:pPr>
        <w:rPr>
          <w:lang w:val="fr-FR"/>
        </w:rPr>
      </w:pPr>
      <w:r w:rsidRPr="00822D69">
        <w:rPr>
          <w:lang w:val="fr-FR"/>
        </w:rPr>
        <w:t>Genève, 8-11 mars 2016</w:t>
      </w:r>
    </w:p>
    <w:p w:rsidR="00A7350C" w:rsidRPr="00822D69" w:rsidRDefault="00A7350C" w:rsidP="00A7350C">
      <w:pPr>
        <w:rPr>
          <w:lang w:val="fr-FR"/>
        </w:rPr>
      </w:pPr>
      <w:r w:rsidRPr="00822D69">
        <w:rPr>
          <w:lang w:val="fr-FR"/>
        </w:rPr>
        <w:t>Point 4.6.1 de l</w:t>
      </w:r>
      <w:r>
        <w:rPr>
          <w:lang w:val="fr-FR"/>
        </w:rPr>
        <w:t>’</w:t>
      </w:r>
      <w:r w:rsidRPr="00822D69">
        <w:rPr>
          <w:lang w:val="fr-FR"/>
        </w:rPr>
        <w:t>ordre du jour provisoire</w:t>
      </w:r>
    </w:p>
    <w:p w:rsidR="00A7350C" w:rsidRDefault="00A7350C" w:rsidP="00A7350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822D69">
        <w:rPr>
          <w:lang w:val="fr-FR"/>
        </w:rPr>
        <w:t xml:space="preserve">Accord de 1958 </w:t>
      </w:r>
      <w:r>
        <w:rPr>
          <w:lang w:val="fr-FR"/>
        </w:rPr>
        <w:t>–</w:t>
      </w:r>
      <w:r w:rsidRPr="00822D69">
        <w:rPr>
          <w:lang w:val="fr-FR"/>
        </w:rPr>
        <w:t xml:space="preserve"> Examen de projets d</w:t>
      </w:r>
      <w:r>
        <w:rPr>
          <w:lang w:val="fr-FR"/>
        </w:rPr>
        <w:t>’</w:t>
      </w:r>
      <w:r w:rsidRPr="00822D69">
        <w:rPr>
          <w:lang w:val="fr-FR"/>
        </w:rPr>
        <w:t>amendements</w:t>
      </w:r>
      <w:r>
        <w:rPr>
          <w:lang w:val="fr-FR"/>
        </w:rPr>
        <w:t xml:space="preserve"> </w:t>
      </w:r>
      <w:r>
        <w:rPr>
          <w:lang w:val="fr-FR"/>
        </w:rPr>
        <w:br/>
      </w:r>
      <w:r w:rsidRPr="00822D69">
        <w:rPr>
          <w:lang w:val="fr-FR"/>
        </w:rPr>
        <w:t>à des Règlements existants, proposés par le GRB</w:t>
      </w:r>
    </w:p>
    <w:p w:rsidR="00A7350C" w:rsidRPr="00A7350C" w:rsidRDefault="00A7350C" w:rsidP="00A7350C">
      <w:pPr>
        <w:spacing w:line="120" w:lineRule="exact"/>
        <w:rPr>
          <w:sz w:val="10"/>
          <w:lang w:val="fr-FR"/>
        </w:rPr>
      </w:pPr>
    </w:p>
    <w:p w:rsidR="00A7350C" w:rsidRPr="00A7350C" w:rsidRDefault="00A7350C" w:rsidP="00A7350C">
      <w:pPr>
        <w:spacing w:line="120" w:lineRule="exact"/>
        <w:rPr>
          <w:sz w:val="10"/>
          <w:lang w:val="fr-FR"/>
        </w:rPr>
      </w:pPr>
    </w:p>
    <w:p w:rsidR="00A7350C" w:rsidRPr="00A7350C" w:rsidRDefault="00A7350C" w:rsidP="00A7350C">
      <w:pPr>
        <w:spacing w:line="120" w:lineRule="exact"/>
        <w:rPr>
          <w:sz w:val="10"/>
          <w:lang w:val="fr-FR"/>
        </w:rPr>
      </w:pPr>
    </w:p>
    <w:p w:rsidR="00A7350C" w:rsidRDefault="00A7350C" w:rsidP="00A7350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822D69">
        <w:rPr>
          <w:lang w:val="fr-FR"/>
        </w:rPr>
        <w:t>Proposition de complément 4 à la série 04 d</w:t>
      </w:r>
      <w:r>
        <w:rPr>
          <w:lang w:val="fr-FR"/>
        </w:rPr>
        <w:t>’</w:t>
      </w:r>
      <w:r w:rsidRPr="00822D69">
        <w:rPr>
          <w:lang w:val="fr-FR"/>
        </w:rPr>
        <w:t xml:space="preserve">amendements </w:t>
      </w:r>
      <w:r>
        <w:rPr>
          <w:lang w:val="fr-FR"/>
        </w:rPr>
        <w:br/>
        <w:t>au Règlement n</w:t>
      </w:r>
      <w:r w:rsidRPr="00A7350C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822D69">
        <w:rPr>
          <w:lang w:val="fr-FR"/>
        </w:rPr>
        <w:t>41 (Bruit émis par les motocycles)</w:t>
      </w:r>
    </w:p>
    <w:p w:rsidR="00A7350C" w:rsidRPr="00A7350C" w:rsidRDefault="00A7350C" w:rsidP="00A7350C">
      <w:pPr>
        <w:pStyle w:val="SingleTxt"/>
        <w:spacing w:after="0" w:line="120" w:lineRule="exact"/>
        <w:rPr>
          <w:sz w:val="10"/>
          <w:lang w:val="fr-FR"/>
        </w:rPr>
      </w:pPr>
    </w:p>
    <w:p w:rsidR="00A7350C" w:rsidRPr="00A7350C" w:rsidRDefault="00A7350C" w:rsidP="00A7350C">
      <w:pPr>
        <w:pStyle w:val="SingleTxt"/>
        <w:spacing w:after="0" w:line="120" w:lineRule="exact"/>
        <w:rPr>
          <w:sz w:val="10"/>
          <w:lang w:val="fr-FR"/>
        </w:rPr>
      </w:pPr>
    </w:p>
    <w:p w:rsidR="00A7350C" w:rsidRPr="00A7350C" w:rsidRDefault="00A7350C" w:rsidP="00A7350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822D69">
        <w:rPr>
          <w:lang w:val="fr-FR"/>
        </w:rPr>
        <w:t>Communication du Groupe de travail du bruit</w:t>
      </w:r>
      <w:r w:rsidRPr="00A7350C">
        <w:rPr>
          <w:b w:val="0"/>
          <w:bCs/>
          <w:sz w:val="20"/>
          <w:szCs w:val="20"/>
          <w:lang w:val="fr-FR"/>
        </w:rPr>
        <w:footnoteReference w:customMarkFollows="1" w:id="1"/>
        <w:t>*</w:t>
      </w:r>
    </w:p>
    <w:p w:rsidR="00A7350C" w:rsidRPr="00A7350C" w:rsidRDefault="00A7350C" w:rsidP="00A7350C">
      <w:pPr>
        <w:pStyle w:val="SingleTxt"/>
        <w:spacing w:after="0" w:line="120" w:lineRule="exact"/>
        <w:rPr>
          <w:sz w:val="10"/>
          <w:lang w:val="fr-FR"/>
        </w:rPr>
      </w:pPr>
    </w:p>
    <w:p w:rsidR="00A7350C" w:rsidRPr="00A7350C" w:rsidRDefault="00A7350C" w:rsidP="00A7350C">
      <w:pPr>
        <w:pStyle w:val="SingleTxt"/>
        <w:spacing w:after="0" w:line="120" w:lineRule="exact"/>
        <w:rPr>
          <w:sz w:val="10"/>
          <w:lang w:val="fr-FR"/>
        </w:rPr>
      </w:pPr>
    </w:p>
    <w:p w:rsidR="00A7350C" w:rsidRPr="00A7350C" w:rsidRDefault="00A7350C" w:rsidP="00A7350C">
      <w:pPr>
        <w:pStyle w:val="SingleTxt"/>
        <w:rPr>
          <w:spacing w:val="3"/>
          <w:lang w:val="fr-FR"/>
        </w:rPr>
      </w:pPr>
      <w:r w:rsidRPr="00A7350C">
        <w:rPr>
          <w:spacing w:val="3"/>
          <w:lang w:val="fr-FR"/>
        </w:rPr>
        <w:tab/>
        <w:t>Le texte ci-après, adopté par le Groupe de travail du bruit (GRB) à sa soixante-deuxième session (</w:t>
      </w:r>
      <w:r w:rsidRPr="00A7350C">
        <w:rPr>
          <w:spacing w:val="3"/>
          <w:lang w:val="fr-FR" w:eastAsia="it-IT"/>
        </w:rPr>
        <w:t xml:space="preserve">ECE/TRANS/WP.29/GRB/60, par. 4 et 5), est fondé sur le document ECE/TRANS/WP.29/GRB/2015/8 et sur l’annexe II du rapport. </w:t>
      </w:r>
      <w:r w:rsidRPr="00A7350C">
        <w:rPr>
          <w:spacing w:val="3"/>
          <w:lang w:val="fr-FR"/>
        </w:rPr>
        <w:t>Il est soumis au Forum mondial de l’harmonisation des Règlements concernant les véhicules (WP.29) et au Comité d’administration (AC.1) pour examen à leur session de mars 2016.</w:t>
      </w:r>
    </w:p>
    <w:p w:rsidR="00A7350C" w:rsidRPr="00822D69" w:rsidRDefault="00A7350C" w:rsidP="00A7350C">
      <w:pPr>
        <w:pStyle w:val="SingleTxt"/>
        <w:rPr>
          <w:lang w:val="fr-FR" w:eastAsia="zh-CN"/>
        </w:rPr>
      </w:pPr>
      <w:r w:rsidRPr="00822D69">
        <w:rPr>
          <w:lang w:val="fr-FR"/>
        </w:rPr>
        <w:br w:type="page"/>
      </w:r>
    </w:p>
    <w:p w:rsidR="00A7350C" w:rsidRPr="00822D69" w:rsidRDefault="00A7350C" w:rsidP="00A7350C">
      <w:pPr>
        <w:pStyle w:val="SingleTxt"/>
        <w:rPr>
          <w:lang w:val="fr-FR"/>
        </w:rPr>
      </w:pPr>
      <w:commentRangeStart w:id="1"/>
      <w:r w:rsidRPr="00A7350C">
        <w:rPr>
          <w:i/>
          <w:iCs/>
          <w:lang w:val="fr-FR"/>
        </w:rPr>
        <w:lastRenderedPageBreak/>
        <w:t>Paragraphe 2.13</w:t>
      </w:r>
      <w:r w:rsidRPr="003C0863">
        <w:rPr>
          <w:i/>
          <w:iCs/>
          <w:lang w:val="fr-FR"/>
        </w:rPr>
        <w:t>, tableau</w:t>
      </w:r>
      <w:r w:rsidRPr="00822D69">
        <w:rPr>
          <w:lang w:val="fr-FR"/>
        </w:rPr>
        <w:t>, lire</w:t>
      </w:r>
      <w:r>
        <w:rPr>
          <w:lang w:val="fr-FR"/>
        </w:rPr>
        <w:t> </w:t>
      </w:r>
      <w:r w:rsidRPr="00822D69">
        <w:rPr>
          <w:lang w:val="fr-FR"/>
        </w:rPr>
        <w:t>:</w:t>
      </w:r>
    </w:p>
    <w:p w:rsidR="00A7350C" w:rsidRPr="00822D69" w:rsidRDefault="00A7350C" w:rsidP="00A7350C">
      <w:pPr>
        <w:pStyle w:val="SingleTxt"/>
        <w:rPr>
          <w:lang w:val="fr-FR"/>
        </w:rPr>
      </w:pPr>
      <w:r>
        <w:rPr>
          <w:lang w:val="fr-FR"/>
        </w:rPr>
        <w:t>« </w:t>
      </w:r>
    </w:p>
    <w:tbl>
      <w:tblPr>
        <w:tblW w:w="7553" w:type="dxa"/>
        <w:tblInd w:w="1267" w:type="dxa"/>
        <w:tblLook w:val="01E0" w:firstRow="1" w:lastRow="1" w:firstColumn="1" w:lastColumn="1" w:noHBand="0" w:noVBand="0"/>
      </w:tblPr>
      <w:tblGrid>
        <w:gridCol w:w="1195"/>
        <w:gridCol w:w="917"/>
        <w:gridCol w:w="2946"/>
        <w:gridCol w:w="2495"/>
      </w:tblGrid>
      <w:tr w:rsidR="00A7350C" w:rsidRPr="003C0863" w:rsidTr="003C0863">
        <w:trPr>
          <w:trHeight w:val="20"/>
          <w:tblHeader/>
        </w:trPr>
        <w:tc>
          <w:tcPr>
            <w:tcW w:w="11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A7350C" w:rsidRPr="003C0863" w:rsidRDefault="00A7350C" w:rsidP="003C0863">
            <w:pPr>
              <w:tabs>
                <w:tab w:val="left" w:pos="-1440"/>
              </w:tabs>
              <w:suppressAutoHyphens/>
              <w:spacing w:before="80" w:after="80" w:line="160" w:lineRule="exact"/>
              <w:rPr>
                <w:i/>
                <w:sz w:val="14"/>
                <w:szCs w:val="24"/>
                <w:lang w:val="fr-FR"/>
              </w:rPr>
            </w:pPr>
            <w:r w:rsidRPr="003C0863">
              <w:rPr>
                <w:i/>
                <w:sz w:val="14"/>
                <w:szCs w:val="24"/>
                <w:lang w:val="fr-FR"/>
              </w:rPr>
              <w:t>Symbole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A7350C" w:rsidRPr="003C0863" w:rsidRDefault="00A7350C" w:rsidP="003C0863">
            <w:pPr>
              <w:tabs>
                <w:tab w:val="left" w:pos="-1440"/>
              </w:tabs>
              <w:suppressAutoHyphens/>
              <w:spacing w:before="80" w:after="80" w:line="160" w:lineRule="exact"/>
              <w:rPr>
                <w:i/>
                <w:sz w:val="14"/>
                <w:szCs w:val="24"/>
                <w:lang w:val="fr-FR"/>
              </w:rPr>
            </w:pPr>
            <w:r w:rsidRPr="003C0863">
              <w:rPr>
                <w:i/>
                <w:sz w:val="14"/>
                <w:szCs w:val="24"/>
                <w:lang w:val="fr-FR"/>
              </w:rPr>
              <w:t>Unité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A7350C" w:rsidRPr="003C0863" w:rsidRDefault="00A7350C" w:rsidP="003C0863">
            <w:pPr>
              <w:tabs>
                <w:tab w:val="left" w:pos="-1440"/>
              </w:tabs>
              <w:suppressAutoHyphens/>
              <w:spacing w:before="80" w:after="80" w:line="160" w:lineRule="exact"/>
              <w:rPr>
                <w:i/>
                <w:sz w:val="14"/>
                <w:szCs w:val="24"/>
                <w:lang w:val="fr-FR"/>
              </w:rPr>
            </w:pPr>
            <w:r w:rsidRPr="003C0863">
              <w:rPr>
                <w:i/>
                <w:sz w:val="14"/>
                <w:szCs w:val="24"/>
                <w:lang w:val="fr-FR"/>
              </w:rPr>
              <w:t>Signification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A7350C" w:rsidRPr="003C0863" w:rsidRDefault="00A7350C" w:rsidP="003C0863">
            <w:pPr>
              <w:tabs>
                <w:tab w:val="left" w:pos="-1440"/>
              </w:tabs>
              <w:suppressAutoHyphens/>
              <w:spacing w:before="80" w:after="80" w:line="160" w:lineRule="exact"/>
              <w:rPr>
                <w:i/>
                <w:sz w:val="14"/>
                <w:szCs w:val="24"/>
                <w:lang w:val="fr-FR"/>
              </w:rPr>
            </w:pPr>
            <w:r w:rsidRPr="003C0863">
              <w:rPr>
                <w:i/>
                <w:sz w:val="14"/>
                <w:szCs w:val="24"/>
                <w:lang w:val="fr-FR"/>
              </w:rPr>
              <w:t>Référence</w:t>
            </w:r>
          </w:p>
        </w:tc>
      </w:tr>
      <w:tr w:rsidR="00A7350C" w:rsidRPr="003C0863" w:rsidTr="003C0863">
        <w:trPr>
          <w:trHeight w:hRule="exact" w:val="115"/>
          <w:tblHeader/>
        </w:trPr>
        <w:tc>
          <w:tcPr>
            <w:tcW w:w="1195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A7350C" w:rsidRPr="003C0863" w:rsidRDefault="00A7350C" w:rsidP="003C0863">
            <w:pPr>
              <w:tabs>
                <w:tab w:val="left" w:pos="-1440"/>
              </w:tabs>
              <w:suppressAutoHyphens/>
              <w:spacing w:before="40" w:after="80"/>
              <w:rPr>
                <w:szCs w:val="24"/>
                <w:lang w:val="fr-FR"/>
              </w:rPr>
            </w:pPr>
          </w:p>
        </w:tc>
        <w:tc>
          <w:tcPr>
            <w:tcW w:w="917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A7350C" w:rsidRPr="003C0863" w:rsidRDefault="00A7350C" w:rsidP="003C0863">
            <w:pPr>
              <w:tabs>
                <w:tab w:val="left" w:pos="-1440"/>
              </w:tabs>
              <w:suppressAutoHyphens/>
              <w:spacing w:before="40" w:after="80"/>
              <w:rPr>
                <w:szCs w:val="24"/>
                <w:lang w:val="fr-FR"/>
              </w:rPr>
            </w:pPr>
          </w:p>
        </w:tc>
        <w:tc>
          <w:tcPr>
            <w:tcW w:w="2946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A7350C" w:rsidRPr="003C0863" w:rsidRDefault="00A7350C" w:rsidP="003C0863">
            <w:pPr>
              <w:tabs>
                <w:tab w:val="left" w:pos="-1440"/>
              </w:tabs>
              <w:suppressAutoHyphens/>
              <w:spacing w:before="40" w:after="80"/>
              <w:rPr>
                <w:szCs w:val="24"/>
                <w:lang w:val="fr-FR"/>
              </w:rPr>
            </w:pPr>
          </w:p>
        </w:tc>
        <w:tc>
          <w:tcPr>
            <w:tcW w:w="2495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A7350C" w:rsidRPr="003C0863" w:rsidRDefault="00A7350C" w:rsidP="003C0863">
            <w:pPr>
              <w:tabs>
                <w:tab w:val="left" w:pos="-1440"/>
              </w:tabs>
              <w:suppressAutoHyphens/>
              <w:spacing w:before="40" w:after="80"/>
              <w:rPr>
                <w:szCs w:val="24"/>
                <w:lang w:val="fr-FR"/>
              </w:rPr>
            </w:pPr>
          </w:p>
        </w:tc>
      </w:tr>
      <w:tr w:rsidR="00A7350C" w:rsidRPr="003C0863" w:rsidTr="003C0863">
        <w:tc>
          <w:tcPr>
            <w:tcW w:w="1195" w:type="dxa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A7350C" w:rsidRPr="003C0863" w:rsidRDefault="00A7350C" w:rsidP="003C0863">
            <w:pPr>
              <w:tabs>
                <w:tab w:val="left" w:pos="-1440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rPr>
                <w:szCs w:val="24"/>
                <w:lang w:val="fr-FR"/>
              </w:rPr>
            </w:pPr>
            <w:r w:rsidRPr="003C0863">
              <w:rPr>
                <w:szCs w:val="24"/>
                <w:lang w:val="fr-FR"/>
              </w:rPr>
              <w:t>…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A7350C" w:rsidRPr="003C0863" w:rsidRDefault="00A7350C" w:rsidP="003C0863">
            <w:pPr>
              <w:tabs>
                <w:tab w:val="left" w:pos="-1440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rPr>
                <w:szCs w:val="24"/>
                <w:lang w:val="fr-FR"/>
              </w:rPr>
            </w:pPr>
            <w:r w:rsidRPr="003C0863">
              <w:rPr>
                <w:szCs w:val="24"/>
                <w:lang w:val="fr-FR"/>
              </w:rPr>
              <w:t>…</w:t>
            </w:r>
          </w:p>
        </w:tc>
        <w:tc>
          <w:tcPr>
            <w:tcW w:w="2946" w:type="dxa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A7350C" w:rsidRPr="003C0863" w:rsidRDefault="00A7350C" w:rsidP="003C0863">
            <w:pPr>
              <w:tabs>
                <w:tab w:val="left" w:pos="-1440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rPr>
                <w:szCs w:val="24"/>
                <w:lang w:val="fr-FR"/>
              </w:rPr>
            </w:pPr>
            <w:r w:rsidRPr="003C0863">
              <w:rPr>
                <w:szCs w:val="24"/>
                <w:lang w:val="fr-FR"/>
              </w:rPr>
              <w:t>…</w:t>
            </w:r>
          </w:p>
        </w:tc>
        <w:tc>
          <w:tcPr>
            <w:tcW w:w="2495" w:type="dxa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A7350C" w:rsidRPr="003C0863" w:rsidRDefault="00A7350C" w:rsidP="003C0863">
            <w:pPr>
              <w:tabs>
                <w:tab w:val="left" w:pos="-1440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rPr>
                <w:szCs w:val="24"/>
                <w:lang w:val="fr-FR"/>
              </w:rPr>
            </w:pPr>
            <w:r w:rsidRPr="003C0863">
              <w:rPr>
                <w:szCs w:val="24"/>
                <w:lang w:val="fr-FR"/>
              </w:rPr>
              <w:t>…</w:t>
            </w:r>
          </w:p>
        </w:tc>
      </w:tr>
      <w:tr w:rsidR="00A7350C" w:rsidRPr="003C0863" w:rsidTr="003C0863">
        <w:tc>
          <w:tcPr>
            <w:tcW w:w="1195" w:type="dxa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7350C" w:rsidRPr="003C0863" w:rsidRDefault="00A7350C" w:rsidP="003C0863">
            <w:pPr>
              <w:tabs>
                <w:tab w:val="left" w:pos="-1440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rPr>
                <w:szCs w:val="24"/>
                <w:lang w:val="fr-FR"/>
              </w:rPr>
            </w:pPr>
            <w:r w:rsidRPr="003C0863">
              <w:rPr>
                <w:szCs w:val="24"/>
                <w:lang w:val="fr-FR"/>
              </w:rPr>
              <w:t xml:space="preserve">L 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7350C" w:rsidRPr="003C0863" w:rsidRDefault="00A7350C" w:rsidP="003C0863">
            <w:pPr>
              <w:tabs>
                <w:tab w:val="left" w:pos="-1440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rPr>
                <w:szCs w:val="24"/>
                <w:lang w:val="fr-FR"/>
              </w:rPr>
            </w:pPr>
            <w:r w:rsidRPr="003C0863">
              <w:rPr>
                <w:szCs w:val="24"/>
                <w:lang w:val="fr-FR"/>
              </w:rPr>
              <w:t>dB(A)</w:t>
            </w:r>
          </w:p>
        </w:tc>
        <w:tc>
          <w:tcPr>
            <w:tcW w:w="2946" w:type="dxa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7350C" w:rsidRPr="003C0863" w:rsidRDefault="00A7350C" w:rsidP="003C0863">
            <w:pPr>
              <w:tabs>
                <w:tab w:val="left" w:pos="-1440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rPr>
                <w:szCs w:val="24"/>
                <w:lang w:val="fr-FR"/>
              </w:rPr>
            </w:pPr>
            <w:r w:rsidRPr="003C0863">
              <w:rPr>
                <w:szCs w:val="24"/>
                <w:lang w:val="fr-FR"/>
              </w:rPr>
              <w:t>niveau de pression acoustique</w:t>
            </w:r>
          </w:p>
        </w:tc>
        <w:tc>
          <w:tcPr>
            <w:tcW w:w="2495" w:type="dxa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7350C" w:rsidRPr="003C0863" w:rsidRDefault="00A7350C" w:rsidP="003C0863">
            <w:pPr>
              <w:tabs>
                <w:tab w:val="left" w:pos="-1440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rPr>
                <w:szCs w:val="24"/>
                <w:lang w:val="fr-FR"/>
              </w:rPr>
            </w:pPr>
            <w:r w:rsidRPr="003C0863">
              <w:rPr>
                <w:szCs w:val="24"/>
                <w:lang w:val="fr-FR"/>
              </w:rPr>
              <w:t>Annexe 3 – 1.4.1</w:t>
            </w:r>
          </w:p>
        </w:tc>
      </w:tr>
      <w:tr w:rsidR="00A7350C" w:rsidRPr="003C0863" w:rsidTr="003C0863">
        <w:tc>
          <w:tcPr>
            <w:tcW w:w="1195" w:type="dxa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A7350C" w:rsidRPr="003C0863" w:rsidRDefault="00A7350C" w:rsidP="003C0863">
            <w:pPr>
              <w:tabs>
                <w:tab w:val="left" w:pos="-1440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rPr>
                <w:szCs w:val="24"/>
                <w:lang w:val="fr-FR"/>
              </w:rPr>
            </w:pPr>
            <w:proofErr w:type="spellStart"/>
            <w:r w:rsidRPr="003C0863">
              <w:rPr>
                <w:szCs w:val="24"/>
                <w:lang w:val="fr-FR"/>
              </w:rPr>
              <w:t>L</w:t>
            </w:r>
            <w:r w:rsidRPr="003C0863">
              <w:rPr>
                <w:szCs w:val="24"/>
                <w:vertAlign w:val="subscript"/>
                <w:lang w:val="fr-FR"/>
              </w:rPr>
              <w:t>wot</w:t>
            </w:r>
            <w:proofErr w:type="spellEnd"/>
            <w:r w:rsidRPr="003C0863">
              <w:rPr>
                <w:szCs w:val="24"/>
                <w:vertAlign w:val="subscript"/>
                <w:lang w:val="fr-FR"/>
              </w:rPr>
              <w:t>(i)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A7350C" w:rsidRPr="003C0863" w:rsidRDefault="00A7350C" w:rsidP="003C0863">
            <w:pPr>
              <w:tabs>
                <w:tab w:val="left" w:pos="-1440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rPr>
                <w:szCs w:val="24"/>
                <w:lang w:val="fr-FR"/>
              </w:rPr>
            </w:pPr>
            <w:r w:rsidRPr="003C0863">
              <w:rPr>
                <w:szCs w:val="24"/>
                <w:lang w:val="fr-FR"/>
              </w:rPr>
              <w:t>dB(A)</w:t>
            </w:r>
          </w:p>
        </w:tc>
        <w:tc>
          <w:tcPr>
            <w:tcW w:w="2946" w:type="dxa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A7350C" w:rsidRPr="003C0863" w:rsidRDefault="00A7350C" w:rsidP="003C0863">
            <w:pPr>
              <w:tabs>
                <w:tab w:val="left" w:pos="-1440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rPr>
                <w:szCs w:val="24"/>
                <w:lang w:val="fr-FR"/>
              </w:rPr>
            </w:pPr>
            <w:r w:rsidRPr="003C0863">
              <w:rPr>
                <w:szCs w:val="24"/>
                <w:lang w:val="fr-FR"/>
              </w:rPr>
              <w:t>L à pleins gaz</w:t>
            </w:r>
          </w:p>
        </w:tc>
        <w:tc>
          <w:tcPr>
            <w:tcW w:w="2495" w:type="dxa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A7350C" w:rsidRPr="003C0863" w:rsidRDefault="00A7350C" w:rsidP="003C0863">
            <w:pPr>
              <w:tabs>
                <w:tab w:val="left" w:pos="-1440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rPr>
                <w:szCs w:val="24"/>
                <w:lang w:val="fr-FR"/>
              </w:rPr>
            </w:pPr>
            <w:r w:rsidRPr="003C0863">
              <w:rPr>
                <w:szCs w:val="24"/>
                <w:lang w:val="fr-FR"/>
              </w:rPr>
              <w:t xml:space="preserve">Annexe 3 – 1.4.6 </w:t>
            </w:r>
          </w:p>
        </w:tc>
      </w:tr>
      <w:tr w:rsidR="00A7350C" w:rsidRPr="003C0863" w:rsidTr="003C0863">
        <w:tc>
          <w:tcPr>
            <w:tcW w:w="1195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A7350C" w:rsidRPr="003C0863" w:rsidRDefault="00A7350C" w:rsidP="003C0863">
            <w:pPr>
              <w:tabs>
                <w:tab w:val="left" w:pos="-1440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rPr>
                <w:szCs w:val="24"/>
                <w:lang w:val="fr-FR"/>
              </w:rPr>
            </w:pPr>
            <w:r w:rsidRPr="003C0863">
              <w:rPr>
                <w:szCs w:val="24"/>
                <w:lang w:val="fr-FR"/>
              </w:rPr>
              <w:t>...</w:t>
            </w:r>
          </w:p>
        </w:tc>
        <w:tc>
          <w:tcPr>
            <w:tcW w:w="917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A7350C" w:rsidRPr="003C0863" w:rsidRDefault="00A7350C" w:rsidP="003C0863">
            <w:pPr>
              <w:tabs>
                <w:tab w:val="left" w:pos="-1440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rPr>
                <w:szCs w:val="24"/>
                <w:lang w:val="fr-FR"/>
              </w:rPr>
            </w:pPr>
            <w:r w:rsidRPr="003C0863">
              <w:rPr>
                <w:szCs w:val="24"/>
                <w:lang w:val="fr-FR"/>
              </w:rPr>
              <w:t>…</w:t>
            </w:r>
          </w:p>
        </w:tc>
        <w:tc>
          <w:tcPr>
            <w:tcW w:w="2946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A7350C" w:rsidRPr="003C0863" w:rsidRDefault="00A7350C" w:rsidP="003C0863">
            <w:pPr>
              <w:tabs>
                <w:tab w:val="left" w:pos="-1440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rPr>
                <w:szCs w:val="24"/>
                <w:lang w:val="fr-FR"/>
              </w:rPr>
            </w:pPr>
            <w:r w:rsidRPr="003C0863">
              <w:rPr>
                <w:szCs w:val="24"/>
                <w:lang w:val="fr-FR"/>
              </w:rPr>
              <w:t>…</w:t>
            </w:r>
          </w:p>
        </w:tc>
        <w:tc>
          <w:tcPr>
            <w:tcW w:w="2495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A7350C" w:rsidRPr="003C0863" w:rsidRDefault="00A7350C" w:rsidP="003C0863">
            <w:pPr>
              <w:tabs>
                <w:tab w:val="left" w:pos="-1440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rPr>
                <w:szCs w:val="24"/>
                <w:lang w:val="fr-FR"/>
              </w:rPr>
            </w:pPr>
            <w:r w:rsidRPr="003C0863">
              <w:rPr>
                <w:szCs w:val="24"/>
                <w:lang w:val="fr-FR"/>
              </w:rPr>
              <w:t>…</w:t>
            </w:r>
          </w:p>
        </w:tc>
      </w:tr>
    </w:tbl>
    <w:commentRangeEnd w:id="1"/>
    <w:p w:rsidR="00A7350C" w:rsidRDefault="00A7350C" w:rsidP="00A7350C">
      <w:pPr>
        <w:pStyle w:val="SingleTxt"/>
        <w:jc w:val="right"/>
        <w:rPr>
          <w:lang w:val="fr-FR"/>
        </w:rPr>
      </w:pPr>
      <w:r w:rsidRPr="00822D69">
        <w:rPr>
          <w:rStyle w:val="CommentReference"/>
          <w:lang w:val="fr-FR"/>
        </w:rPr>
        <w:commentReference w:id="1"/>
      </w:r>
      <w:r>
        <w:rPr>
          <w:lang w:val="fr-FR"/>
        </w:rPr>
        <w:t> ».</w:t>
      </w:r>
    </w:p>
    <w:p w:rsidR="00A7350C" w:rsidRPr="00A7350C" w:rsidRDefault="00A7350C" w:rsidP="00A7350C">
      <w:pPr>
        <w:pStyle w:val="SingleTxt"/>
        <w:spacing w:after="0" w:line="120" w:lineRule="exact"/>
        <w:rPr>
          <w:sz w:val="10"/>
          <w:lang w:val="fr-FR"/>
        </w:rPr>
      </w:pPr>
    </w:p>
    <w:p w:rsidR="00A7350C" w:rsidRPr="00A7350C" w:rsidRDefault="00A7350C" w:rsidP="00A7350C">
      <w:pPr>
        <w:pStyle w:val="SingleTxt"/>
        <w:spacing w:after="0" w:line="120" w:lineRule="exact"/>
        <w:rPr>
          <w:sz w:val="10"/>
          <w:lang w:val="fr-FR"/>
        </w:rPr>
      </w:pPr>
    </w:p>
    <w:p w:rsidR="00A7350C" w:rsidRPr="00822D69" w:rsidRDefault="00A7350C" w:rsidP="00A7350C">
      <w:pPr>
        <w:pStyle w:val="SingleTxt"/>
        <w:rPr>
          <w:lang w:val="fr-FR"/>
        </w:rPr>
      </w:pPr>
      <w:r w:rsidRPr="00A7350C">
        <w:rPr>
          <w:i/>
          <w:iCs/>
          <w:lang w:val="fr-FR"/>
        </w:rPr>
        <w:t>Paragraphe 8.2</w:t>
      </w:r>
      <w:r w:rsidRPr="00822D69">
        <w:rPr>
          <w:lang w:val="fr-FR"/>
        </w:rPr>
        <w:t xml:space="preserve">, </w:t>
      </w:r>
      <w:r>
        <w:rPr>
          <w:lang w:val="fr-FR"/>
        </w:rPr>
        <w:t>lire :</w:t>
      </w:r>
    </w:p>
    <w:p w:rsidR="00A7350C" w:rsidRPr="00822D69" w:rsidRDefault="00A7350C" w:rsidP="00A7350C">
      <w:pPr>
        <w:pStyle w:val="SingleTxt"/>
        <w:ind w:left="2218" w:hanging="951"/>
        <w:rPr>
          <w:lang w:val="fr-FR"/>
        </w:rPr>
      </w:pPr>
      <w:r>
        <w:rPr>
          <w:lang w:val="fr-FR"/>
        </w:rPr>
        <w:t>« </w:t>
      </w:r>
      <w:r w:rsidRPr="00822D69">
        <w:rPr>
          <w:lang w:val="fr-FR"/>
        </w:rPr>
        <w:t>8.2</w:t>
      </w:r>
      <w:r>
        <w:rPr>
          <w:lang w:val="fr-FR"/>
        </w:rPr>
        <w:tab/>
      </w:r>
      <w:r w:rsidRPr="00822D69">
        <w:rPr>
          <w:lang w:val="fr-FR"/>
        </w:rPr>
        <w:tab/>
      </w:r>
      <w:commentRangeStart w:id="2"/>
      <w:r w:rsidRPr="00822D69">
        <w:rPr>
          <w:lang w:val="fr-FR"/>
        </w:rPr>
        <w:t xml:space="preserve">Afin de vérifier que les conditions énoncées ci-dessus sont remplies, un échantillon de motocycle est prélevé sur la chaîne de production du type homologué conformément au présent Règlement. Les valeurs du niveau sonore relevées et traitées </w:t>
      </w:r>
      <w:commentRangeEnd w:id="2"/>
      <w:r w:rsidRPr="00822D69">
        <w:rPr>
          <w:rStyle w:val="CommentReference"/>
          <w:lang w:val="fr-FR"/>
        </w:rPr>
        <w:commentReference w:id="2"/>
      </w:r>
      <w:r w:rsidRPr="00822D69">
        <w:rPr>
          <w:lang w:val="fr-FR"/>
        </w:rPr>
        <w:t>(</w:t>
      </w:r>
      <w:proofErr w:type="spellStart"/>
      <w:r w:rsidRPr="00822D69">
        <w:rPr>
          <w:lang w:val="fr-FR"/>
        </w:rPr>
        <w:t>L</w:t>
      </w:r>
      <w:r w:rsidRPr="00822D69">
        <w:rPr>
          <w:vertAlign w:val="subscript"/>
          <w:lang w:val="fr-FR"/>
        </w:rPr>
        <w:t>urban</w:t>
      </w:r>
      <w:proofErr w:type="spellEnd"/>
      <w:r w:rsidRPr="00822D69">
        <w:rPr>
          <w:lang w:val="fr-FR"/>
        </w:rPr>
        <w:t xml:space="preserve"> et </w:t>
      </w:r>
      <w:proofErr w:type="spellStart"/>
      <w:r w:rsidRPr="00822D69">
        <w:rPr>
          <w:lang w:val="fr-FR"/>
        </w:rPr>
        <w:t>L</w:t>
      </w:r>
      <w:r w:rsidRPr="00822D69">
        <w:rPr>
          <w:vertAlign w:val="subscript"/>
          <w:lang w:val="fr-FR"/>
        </w:rPr>
        <w:t>wot</w:t>
      </w:r>
      <w:proofErr w:type="spellEnd"/>
      <w:r w:rsidRPr="00822D69">
        <w:rPr>
          <w:lang w:val="fr-FR"/>
        </w:rPr>
        <w:t xml:space="preserve">) </w:t>
      </w:r>
      <w:commentRangeStart w:id="3"/>
      <w:r w:rsidRPr="00822D69">
        <w:rPr>
          <w:lang w:val="fr-FR"/>
        </w:rPr>
        <w:t>selon la méthode définie à l</w:t>
      </w:r>
      <w:r>
        <w:rPr>
          <w:lang w:val="fr-FR"/>
        </w:rPr>
        <w:t>’</w:t>
      </w:r>
      <w:r w:rsidR="003C0863">
        <w:rPr>
          <w:lang w:val="fr-FR"/>
        </w:rPr>
        <w:t>annexe </w:t>
      </w:r>
      <w:r w:rsidRPr="00822D69">
        <w:rPr>
          <w:lang w:val="fr-FR"/>
        </w:rPr>
        <w:t xml:space="preserve">3, avec le ou les mêmes rapports et la ou les mêmes distances de </w:t>
      </w:r>
      <w:proofErr w:type="spellStart"/>
      <w:r w:rsidRPr="00822D69">
        <w:rPr>
          <w:lang w:val="fr-FR"/>
        </w:rPr>
        <w:t>préaccélération</w:t>
      </w:r>
      <w:proofErr w:type="spellEnd"/>
      <w:r w:rsidRPr="00822D69">
        <w:rPr>
          <w:lang w:val="fr-FR"/>
        </w:rPr>
        <w:t xml:space="preserve"> que lors de l</w:t>
      </w:r>
      <w:r>
        <w:rPr>
          <w:lang w:val="fr-FR"/>
        </w:rPr>
        <w:t>’</w:t>
      </w:r>
      <w:r w:rsidRPr="00822D69">
        <w:rPr>
          <w:lang w:val="fr-FR"/>
        </w:rPr>
        <w:t>essai d</w:t>
      </w:r>
      <w:r>
        <w:rPr>
          <w:lang w:val="fr-FR"/>
        </w:rPr>
        <w:t>’</w:t>
      </w:r>
      <w:r w:rsidRPr="00822D69">
        <w:rPr>
          <w:lang w:val="fr-FR"/>
        </w:rPr>
        <w:t>homologation de type initial, arrondies au chiffre entier le plus proche, ne doiv</w:t>
      </w:r>
      <w:r>
        <w:rPr>
          <w:lang w:val="fr-FR"/>
        </w:rPr>
        <w:t>ent pas dépasser de plus de 3,0 </w:t>
      </w:r>
      <w:r w:rsidRPr="00822D69">
        <w:rPr>
          <w:lang w:val="fr-FR"/>
        </w:rPr>
        <w:t>dB(A) les valeurs relevées et traitées au moment de l</w:t>
      </w:r>
      <w:r>
        <w:rPr>
          <w:lang w:val="fr-FR"/>
        </w:rPr>
        <w:t>’</w:t>
      </w:r>
      <w:r w:rsidRPr="00822D69">
        <w:rPr>
          <w:lang w:val="fr-FR"/>
        </w:rPr>
        <w:t>homologation de type</w:t>
      </w:r>
      <w:commentRangeEnd w:id="3"/>
      <w:r w:rsidRPr="00822D69">
        <w:rPr>
          <w:rStyle w:val="CommentReference"/>
          <w:lang w:val="fr-FR"/>
        </w:rPr>
        <w:commentReference w:id="3"/>
      </w:r>
      <w:r w:rsidRPr="00822D69">
        <w:rPr>
          <w:lang w:val="fr-FR"/>
        </w:rPr>
        <w:t xml:space="preserve">. En outre, </w:t>
      </w:r>
      <w:proofErr w:type="spellStart"/>
      <w:r w:rsidRPr="00822D69">
        <w:rPr>
          <w:lang w:val="fr-FR"/>
        </w:rPr>
        <w:t>L</w:t>
      </w:r>
      <w:r w:rsidRPr="00822D69">
        <w:rPr>
          <w:vertAlign w:val="subscript"/>
          <w:lang w:val="fr-FR"/>
        </w:rPr>
        <w:t>urban</w:t>
      </w:r>
      <w:proofErr w:type="spellEnd"/>
      <w:r w:rsidRPr="00822D69">
        <w:rPr>
          <w:lang w:val="fr-FR"/>
        </w:rPr>
        <w:t xml:space="preserve"> </w:t>
      </w:r>
      <w:commentRangeStart w:id="4"/>
      <w:r w:rsidRPr="00822D69">
        <w:rPr>
          <w:lang w:val="fr-FR"/>
        </w:rPr>
        <w:t>ne doit pas dépasser de plus de 1,0</w:t>
      </w:r>
      <w:r>
        <w:rPr>
          <w:lang w:val="fr-FR"/>
        </w:rPr>
        <w:t> </w:t>
      </w:r>
      <w:r w:rsidRPr="00822D69">
        <w:rPr>
          <w:lang w:val="fr-FR"/>
        </w:rPr>
        <w:t>dB(A) les limites définies à l</w:t>
      </w:r>
      <w:r>
        <w:rPr>
          <w:lang w:val="fr-FR"/>
        </w:rPr>
        <w:t>’annexe </w:t>
      </w:r>
      <w:r w:rsidRPr="00822D69">
        <w:rPr>
          <w:lang w:val="fr-FR"/>
        </w:rPr>
        <w:t>6 du présent Règlement</w:t>
      </w:r>
      <w:commentRangeEnd w:id="4"/>
      <w:r w:rsidRPr="00822D69">
        <w:rPr>
          <w:rStyle w:val="CommentReference"/>
          <w:lang w:val="fr-FR"/>
        </w:rPr>
        <w:commentReference w:id="4"/>
      </w:r>
      <w:r w:rsidRPr="00822D69">
        <w:rPr>
          <w:lang w:val="fr-FR"/>
        </w:rPr>
        <w:t xml:space="preserve"> et </w:t>
      </w:r>
      <w:proofErr w:type="spellStart"/>
      <w:r w:rsidRPr="00822D69">
        <w:rPr>
          <w:lang w:val="fr-FR"/>
        </w:rPr>
        <w:t>L</w:t>
      </w:r>
      <w:r w:rsidRPr="00822D69">
        <w:rPr>
          <w:vertAlign w:val="subscript"/>
          <w:lang w:val="fr-FR"/>
        </w:rPr>
        <w:t>wot</w:t>
      </w:r>
      <w:proofErr w:type="spellEnd"/>
      <w:r w:rsidRPr="00A7350C">
        <w:t>,</w:t>
      </w:r>
      <w:r w:rsidRPr="00822D69">
        <w:rPr>
          <w:lang w:val="fr-FR"/>
        </w:rPr>
        <w:t xml:space="preserve"> </w:t>
      </w:r>
      <w:commentRangeStart w:id="5"/>
      <w:r w:rsidRPr="00822D69">
        <w:rPr>
          <w:lang w:val="fr-FR"/>
        </w:rPr>
        <w:t>suivant l</w:t>
      </w:r>
      <w:r>
        <w:rPr>
          <w:lang w:val="fr-FR"/>
        </w:rPr>
        <w:t>’exemple du paragraphe </w:t>
      </w:r>
      <w:r w:rsidRPr="00822D69">
        <w:rPr>
          <w:lang w:val="fr-FR"/>
        </w:rPr>
        <w:t xml:space="preserve">6.2.3, ne doit pas dépasser la valeur limite </w:t>
      </w:r>
      <w:commentRangeEnd w:id="5"/>
      <w:r w:rsidRPr="00822D69">
        <w:rPr>
          <w:rStyle w:val="CommentReference"/>
          <w:lang w:val="fr-FR"/>
        </w:rPr>
        <w:commentReference w:id="5"/>
      </w:r>
      <w:r w:rsidRPr="00822D69">
        <w:rPr>
          <w:lang w:val="fr-FR"/>
        </w:rPr>
        <w:t xml:space="preserve">de </w:t>
      </w:r>
      <w:proofErr w:type="spellStart"/>
      <w:r w:rsidRPr="00822D69">
        <w:rPr>
          <w:lang w:val="fr-FR"/>
        </w:rPr>
        <w:t>L</w:t>
      </w:r>
      <w:r w:rsidRPr="00822D69">
        <w:rPr>
          <w:vertAlign w:val="subscript"/>
          <w:lang w:val="fr-FR"/>
        </w:rPr>
        <w:t>urban</w:t>
      </w:r>
      <w:proofErr w:type="spellEnd"/>
      <w:r w:rsidRPr="00822D69">
        <w:rPr>
          <w:lang w:val="fr-FR"/>
        </w:rPr>
        <w:t xml:space="preserve"> </w:t>
      </w:r>
      <w:commentRangeStart w:id="6"/>
      <w:r w:rsidRPr="00822D69">
        <w:rPr>
          <w:lang w:val="fr-FR"/>
        </w:rPr>
        <w:t>de plus de 6,0 dB(A).</w:t>
      </w:r>
      <w:r>
        <w:rPr>
          <w:lang w:val="fr-FR"/>
        </w:rPr>
        <w:t> ».</w:t>
      </w:r>
      <w:r w:rsidRPr="00822D69">
        <w:rPr>
          <w:lang w:val="fr-FR"/>
        </w:rPr>
        <w:t xml:space="preserve"> </w:t>
      </w:r>
      <w:commentRangeEnd w:id="6"/>
      <w:r w:rsidRPr="00822D69">
        <w:rPr>
          <w:rStyle w:val="CommentReference"/>
          <w:lang w:val="fr-FR"/>
        </w:rPr>
        <w:commentReference w:id="6"/>
      </w:r>
    </w:p>
    <w:p w:rsidR="00A37543" w:rsidRPr="00A7350C" w:rsidRDefault="00A7350C" w:rsidP="00A7350C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A37543" w:rsidRPr="00A7350C" w:rsidSect="00A37543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Blandine Legardeur" w:date="2016-02-12T16:40:00Z" w:initials="BL">
    <w:p w:rsidR="00A7350C" w:rsidRPr="00822D69" w:rsidRDefault="00A7350C" w:rsidP="00A7350C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822D69">
        <w:rPr>
          <w:lang w:val="en-US"/>
        </w:rPr>
        <w:t>ECE/TRANS/WP.29/GRB/60</w:t>
      </w:r>
    </w:p>
  </w:comment>
  <w:comment w:id="2" w:author="Blandine Legardeur" w:date="2016-02-12T16:40:00Z" w:initials="BL">
    <w:p w:rsidR="00A7350C" w:rsidRPr="00822D69" w:rsidRDefault="00A7350C" w:rsidP="00A7350C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822D69">
        <w:rPr>
          <w:lang w:val="en-US"/>
        </w:rPr>
        <w:t>ECE/TRANS/WP.29/GRB/2015/8</w:t>
      </w:r>
    </w:p>
  </w:comment>
  <w:comment w:id="3" w:author="Blandine Legardeur" w:date="2016-02-12T16:40:00Z" w:initials="BL">
    <w:p w:rsidR="00A7350C" w:rsidRDefault="00A7350C" w:rsidP="00A7350C">
      <w:pPr>
        <w:pStyle w:val="CommentText"/>
      </w:pPr>
      <w:r>
        <w:rPr>
          <w:rStyle w:val="CommentReference"/>
        </w:rPr>
        <w:annotationRef/>
      </w:r>
      <w:proofErr w:type="gramStart"/>
      <w:r>
        <w:t>idem</w:t>
      </w:r>
      <w:proofErr w:type="gramEnd"/>
    </w:p>
  </w:comment>
  <w:comment w:id="4" w:author="Blandine Legardeur" w:date="2016-02-12T16:40:00Z" w:initials="BL">
    <w:p w:rsidR="00A7350C" w:rsidRDefault="00A7350C" w:rsidP="00A7350C">
      <w:pPr>
        <w:pStyle w:val="CommentText"/>
      </w:pPr>
      <w:r>
        <w:rPr>
          <w:rStyle w:val="CommentReference"/>
        </w:rPr>
        <w:annotationRef/>
      </w:r>
      <w:proofErr w:type="gramStart"/>
      <w:r>
        <w:t>idem</w:t>
      </w:r>
      <w:proofErr w:type="gramEnd"/>
    </w:p>
  </w:comment>
  <w:comment w:id="5" w:author="Blandine Legardeur" w:date="2016-02-12T16:40:00Z" w:initials="BL">
    <w:p w:rsidR="00A7350C" w:rsidRDefault="00A7350C" w:rsidP="00A7350C">
      <w:pPr>
        <w:pStyle w:val="CommentText"/>
      </w:pPr>
      <w:r>
        <w:rPr>
          <w:rStyle w:val="CommentReference"/>
        </w:rPr>
        <w:annotationRef/>
      </w:r>
      <w:proofErr w:type="gramStart"/>
      <w:r>
        <w:t>idem</w:t>
      </w:r>
      <w:proofErr w:type="gramEnd"/>
    </w:p>
  </w:comment>
  <w:comment w:id="6" w:author="Blandine Legardeur" w:date="2016-02-12T16:40:00Z" w:initials="BL">
    <w:p w:rsidR="00A7350C" w:rsidRDefault="00A7350C" w:rsidP="00A7350C">
      <w:pPr>
        <w:pStyle w:val="CommentText"/>
      </w:pPr>
      <w:r>
        <w:rPr>
          <w:rStyle w:val="CommentReference"/>
        </w:rPr>
        <w:annotationRef/>
      </w:r>
      <w:proofErr w:type="gramStart"/>
      <w:r>
        <w:t>idem</w:t>
      </w:r>
      <w:proofErr w:type="gramEnd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61" w:rsidRDefault="005F3861" w:rsidP="00F3330B">
      <w:pPr>
        <w:spacing w:line="240" w:lineRule="auto"/>
      </w:pPr>
      <w:r>
        <w:separator/>
      </w:r>
    </w:p>
  </w:endnote>
  <w:endnote w:type="continuationSeparator" w:id="0">
    <w:p w:rsidR="005F3861" w:rsidRDefault="005F3861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A37543" w:rsidTr="00A37543">
      <w:trPr>
        <w:jc w:val="center"/>
      </w:trPr>
      <w:tc>
        <w:tcPr>
          <w:tcW w:w="5088" w:type="dxa"/>
          <w:shd w:val="clear" w:color="auto" w:fill="auto"/>
        </w:tcPr>
        <w:p w:rsidR="00A37543" w:rsidRPr="00A37543" w:rsidRDefault="00A37543" w:rsidP="00A37543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1566EF">
            <w:rPr>
              <w:b w:val="0"/>
              <w:w w:val="103"/>
              <w:sz w:val="14"/>
            </w:rPr>
            <w:t>GE.15-22596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A37543" w:rsidRPr="00A37543" w:rsidRDefault="00A37543" w:rsidP="00A37543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1566EF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1566EF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A37543" w:rsidRPr="00A37543" w:rsidRDefault="00A37543" w:rsidP="00A375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A37543" w:rsidTr="00A37543">
      <w:trPr>
        <w:jc w:val="center"/>
      </w:trPr>
      <w:tc>
        <w:tcPr>
          <w:tcW w:w="5088" w:type="dxa"/>
          <w:shd w:val="clear" w:color="auto" w:fill="auto"/>
        </w:tcPr>
        <w:p w:rsidR="00A37543" w:rsidRPr="00A37543" w:rsidRDefault="00A37543" w:rsidP="00A37543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CE7B17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1566EF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A37543" w:rsidRPr="00A37543" w:rsidRDefault="00A37543" w:rsidP="00A37543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1566EF">
            <w:rPr>
              <w:b w:val="0"/>
              <w:w w:val="103"/>
              <w:sz w:val="14"/>
            </w:rPr>
            <w:t>GE.15-22596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A37543" w:rsidRPr="00A37543" w:rsidRDefault="00A37543" w:rsidP="00A375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43" w:rsidRDefault="00A3754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52C6231" wp14:editId="02BFD143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2016/3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2016/3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59"/>
      <w:gridCol w:w="5089"/>
    </w:tblGrid>
    <w:tr w:rsidR="00A37543" w:rsidTr="00A37543">
      <w:tc>
        <w:tcPr>
          <w:tcW w:w="3859" w:type="dxa"/>
        </w:tcPr>
        <w:p w:rsidR="00A37543" w:rsidRDefault="00A37543" w:rsidP="00A37543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1566EF">
            <w:rPr>
              <w:b w:val="0"/>
              <w:sz w:val="20"/>
            </w:rPr>
            <w:t>GE.15-22596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120216    120216</w:t>
          </w:r>
        </w:p>
        <w:p w:rsidR="00A37543" w:rsidRPr="00A37543" w:rsidRDefault="00A37543" w:rsidP="00A37543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1566EF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*1522596*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89" w:type="dxa"/>
        </w:tcPr>
        <w:p w:rsidR="00A37543" w:rsidRDefault="00A37543" w:rsidP="00A3754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3CBBA8E" wp14:editId="09C08A72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37543" w:rsidRPr="00A37543" w:rsidRDefault="00A37543" w:rsidP="00A37543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61" w:rsidRPr="00A7350C" w:rsidRDefault="00A7350C" w:rsidP="00A7350C">
      <w:pPr>
        <w:pStyle w:val="Footer"/>
        <w:spacing w:after="80"/>
        <w:ind w:left="792"/>
        <w:rPr>
          <w:sz w:val="16"/>
        </w:rPr>
      </w:pPr>
      <w:r w:rsidRPr="00A7350C">
        <w:rPr>
          <w:sz w:val="16"/>
        </w:rPr>
        <w:t>__________________</w:t>
      </w:r>
    </w:p>
  </w:footnote>
  <w:footnote w:type="continuationSeparator" w:id="0">
    <w:p w:rsidR="005F3861" w:rsidRPr="00A7350C" w:rsidRDefault="00A7350C" w:rsidP="00A7350C">
      <w:pPr>
        <w:pStyle w:val="Footer"/>
        <w:spacing w:after="80"/>
        <w:ind w:left="792"/>
        <w:rPr>
          <w:sz w:val="16"/>
        </w:rPr>
      </w:pPr>
      <w:r w:rsidRPr="00A7350C">
        <w:rPr>
          <w:sz w:val="16"/>
        </w:rPr>
        <w:t>__________________</w:t>
      </w:r>
    </w:p>
  </w:footnote>
  <w:footnote w:id="1">
    <w:p w:rsidR="00A7350C" w:rsidRPr="00A7350C" w:rsidRDefault="00A7350C" w:rsidP="00A7350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pacing w:val="2"/>
        </w:rPr>
      </w:pPr>
      <w:r w:rsidRPr="00A7350C">
        <w:rPr>
          <w:lang w:val="en-GB"/>
        </w:rPr>
        <w:tab/>
      </w:r>
      <w:r w:rsidRPr="00A7350C">
        <w:rPr>
          <w:rStyle w:val="FootnoteReference"/>
          <w:spacing w:val="4"/>
          <w:sz w:val="20"/>
          <w:vertAlign w:val="baseline"/>
        </w:rPr>
        <w:t>*</w:t>
      </w:r>
      <w:r w:rsidRPr="00A7350C">
        <w:rPr>
          <w:sz w:val="20"/>
        </w:rPr>
        <w:tab/>
      </w:r>
      <w:r w:rsidRPr="00A7350C">
        <w:rPr>
          <w:spacing w:val="2"/>
          <w:szCs w:val="18"/>
        </w:rPr>
        <w:t>Conformément au programme de travail du Comité des transports intérieurs pour la période 2014</w:t>
      </w:r>
      <w:r>
        <w:rPr>
          <w:spacing w:val="2"/>
          <w:szCs w:val="18"/>
        </w:rPr>
        <w:t>-</w:t>
      </w:r>
      <w:r w:rsidRPr="00A7350C">
        <w:rPr>
          <w:spacing w:val="2"/>
          <w:szCs w:val="18"/>
        </w:rPr>
        <w:t>2018 (ECE/TRANS/240, par.</w:t>
      </w:r>
      <w:r>
        <w:rPr>
          <w:spacing w:val="2"/>
          <w:szCs w:val="18"/>
        </w:rPr>
        <w:t> </w:t>
      </w:r>
      <w:r w:rsidRPr="00A7350C">
        <w:rPr>
          <w:spacing w:val="2"/>
          <w:szCs w:val="18"/>
        </w:rPr>
        <w:t>105, et ECE/TRANS/2014/26, activité</w:t>
      </w:r>
      <w:r>
        <w:rPr>
          <w:spacing w:val="2"/>
          <w:szCs w:val="18"/>
        </w:rPr>
        <w:t> </w:t>
      </w:r>
      <w:r w:rsidRPr="00A7350C">
        <w:rPr>
          <w:spacing w:val="2"/>
          <w:szCs w:val="18"/>
        </w:rPr>
        <w:t>02.4), le Forum mondial élabore, harmonise et actualise les Règlements, afin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A37543" w:rsidTr="00A3754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37543" w:rsidRPr="00A37543" w:rsidRDefault="00A37543" w:rsidP="00A37543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1566EF">
            <w:rPr>
              <w:b/>
              <w:color w:val="000000"/>
            </w:rPr>
            <w:t>ECE/TRANS/WP.29/2016/3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089" w:type="dxa"/>
          <w:shd w:val="clear" w:color="auto" w:fill="auto"/>
          <w:vAlign w:val="bottom"/>
        </w:tcPr>
        <w:p w:rsidR="00A37543" w:rsidRDefault="00A37543" w:rsidP="00A37543">
          <w:pPr>
            <w:pStyle w:val="Header"/>
          </w:pPr>
        </w:p>
      </w:tc>
    </w:tr>
  </w:tbl>
  <w:p w:rsidR="00A37543" w:rsidRPr="00A37543" w:rsidRDefault="00A37543" w:rsidP="00A37543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A37543" w:rsidTr="00A3754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37543" w:rsidRDefault="00A37543" w:rsidP="00A37543">
          <w:pPr>
            <w:pStyle w:val="Header"/>
          </w:pPr>
        </w:p>
      </w:tc>
      <w:tc>
        <w:tcPr>
          <w:tcW w:w="5089" w:type="dxa"/>
          <w:shd w:val="clear" w:color="auto" w:fill="auto"/>
          <w:vAlign w:val="bottom"/>
        </w:tcPr>
        <w:p w:rsidR="00A37543" w:rsidRPr="00A37543" w:rsidRDefault="00A37543" w:rsidP="00A37543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1566EF">
            <w:rPr>
              <w:b/>
              <w:color w:val="000000"/>
            </w:rPr>
            <w:t>ECE/TRANS/WP.29/2016/3</w:t>
          </w:r>
          <w:r>
            <w:rPr>
              <w:b/>
              <w:color w:val="000000"/>
            </w:rPr>
            <w:fldChar w:fldCharType="end"/>
          </w:r>
        </w:p>
      </w:tc>
    </w:tr>
  </w:tbl>
  <w:p w:rsidR="00A37543" w:rsidRPr="00A37543" w:rsidRDefault="00A37543" w:rsidP="00A3754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A37543" w:rsidTr="00A37543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37543" w:rsidRDefault="00A37543" w:rsidP="00A37543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37543" w:rsidRPr="00A37543" w:rsidRDefault="00A37543" w:rsidP="00A37543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37543" w:rsidRDefault="00A37543" w:rsidP="00A37543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A37543" w:rsidRPr="00A37543" w:rsidRDefault="00A37543" w:rsidP="00A37543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/TRANS/WP.29/2016/3</w:t>
          </w:r>
        </w:p>
      </w:tc>
    </w:tr>
    <w:tr w:rsidR="00A37543" w:rsidRPr="00A37543" w:rsidTr="00A37543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37543" w:rsidRPr="00A37543" w:rsidRDefault="00A37543" w:rsidP="00A37543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13D59784" wp14:editId="04225BE7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37543" w:rsidRPr="00A37543" w:rsidRDefault="00A37543" w:rsidP="00A37543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37543" w:rsidRPr="00A37543" w:rsidRDefault="00A37543" w:rsidP="00A37543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37543" w:rsidRDefault="00A37543" w:rsidP="00A37543">
          <w:pPr>
            <w:pStyle w:val="Distribution"/>
            <w:rPr>
              <w:color w:val="000000"/>
            </w:rPr>
          </w:pPr>
          <w:r>
            <w:rPr>
              <w:color w:val="000000"/>
            </w:rPr>
            <w:t xml:space="preserve">Distr. </w:t>
          </w:r>
          <w:proofErr w:type="spellStart"/>
          <w:r>
            <w:rPr>
              <w:color w:val="000000"/>
            </w:rPr>
            <w:t>générale</w:t>
          </w:r>
          <w:proofErr w:type="spellEnd"/>
        </w:p>
        <w:p w:rsidR="00A37543" w:rsidRDefault="00A37543" w:rsidP="00A37543">
          <w:pPr>
            <w:pStyle w:val="Publication"/>
            <w:rPr>
              <w:color w:val="000000"/>
            </w:rPr>
          </w:pPr>
          <w:r>
            <w:rPr>
              <w:color w:val="000000"/>
            </w:rPr>
            <w:t xml:space="preserve">22 </w:t>
          </w:r>
          <w:proofErr w:type="spellStart"/>
          <w:r>
            <w:rPr>
              <w:color w:val="000000"/>
            </w:rPr>
            <w:t>décembre</w:t>
          </w:r>
          <w:proofErr w:type="spellEnd"/>
          <w:r>
            <w:rPr>
              <w:color w:val="000000"/>
            </w:rPr>
            <w:t xml:space="preserve"> 2015</w:t>
          </w:r>
        </w:p>
        <w:p w:rsidR="00A37543" w:rsidRDefault="00A37543" w:rsidP="00A37543">
          <w:pPr>
            <w:rPr>
              <w:lang w:val="en-US"/>
            </w:rPr>
          </w:pPr>
          <w:proofErr w:type="spellStart"/>
          <w:r>
            <w:rPr>
              <w:lang w:val="en-US"/>
            </w:rPr>
            <w:t>Français</w:t>
          </w:r>
          <w:proofErr w:type="spellEnd"/>
        </w:p>
        <w:p w:rsidR="00A37543" w:rsidRPr="00A37543" w:rsidRDefault="00A37543" w:rsidP="00A37543">
          <w:pPr>
            <w:pStyle w:val="Original"/>
            <w:rPr>
              <w:color w:val="000000"/>
            </w:rPr>
          </w:pPr>
          <w:r>
            <w:rPr>
              <w:color w:val="000000"/>
            </w:rPr>
            <w:t xml:space="preserve">Original : </w:t>
          </w:r>
          <w:proofErr w:type="spellStart"/>
          <w:r>
            <w:rPr>
              <w:color w:val="000000"/>
            </w:rPr>
            <w:t>anglais</w:t>
          </w:r>
          <w:proofErr w:type="spellEnd"/>
        </w:p>
      </w:tc>
    </w:tr>
  </w:tbl>
  <w:p w:rsidR="00A37543" w:rsidRPr="00A37543" w:rsidRDefault="00A37543" w:rsidP="00A37543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SortMethod w:val="0003"/>
  <w:defaultTabStop w:val="475"/>
  <w:hyphenationZone w:val="425"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22596*"/>
    <w:docVar w:name="CreationDt" w:val="2/12/2016 4:26: PM"/>
    <w:docVar w:name="DocCategory" w:val="Doc"/>
    <w:docVar w:name="DocType" w:val="Final"/>
    <w:docVar w:name="DutyStation" w:val="Geneva"/>
    <w:docVar w:name="FooterJN" w:val="GE.15-22596"/>
    <w:docVar w:name="jobn" w:val="GE.15-22596 (F)"/>
    <w:docVar w:name="jobnDT" w:val="GE.15-22596 (F)   120216"/>
    <w:docVar w:name="jobnDTDT" w:val="GE.15-22596 (F)   120216   120216"/>
    <w:docVar w:name="JobNo" w:val="GE.1522596F"/>
    <w:docVar w:name="JobNo2" w:val="GE.1528888F"/>
    <w:docVar w:name="LocalDrive" w:val="0"/>
    <w:docVar w:name="OandT" w:val="N.Morin"/>
    <w:docVar w:name="PaperSize" w:val="A4"/>
    <w:docVar w:name="sss1" w:val="ECE/TRANS/WP.29/2016/3"/>
    <w:docVar w:name="sss2" w:val="-"/>
    <w:docVar w:name="Symbol1" w:val="ECE/TRANS/WP.29/2016/3"/>
    <w:docVar w:name="Symbol2" w:val="-"/>
  </w:docVars>
  <w:rsids>
    <w:rsidRoot w:val="005F3861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54E6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2DFB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07DF0"/>
    <w:rsid w:val="00110242"/>
    <w:rsid w:val="0011255C"/>
    <w:rsid w:val="001126A7"/>
    <w:rsid w:val="00112FE9"/>
    <w:rsid w:val="0011497A"/>
    <w:rsid w:val="00114B31"/>
    <w:rsid w:val="001156F7"/>
    <w:rsid w:val="00116149"/>
    <w:rsid w:val="00117C27"/>
    <w:rsid w:val="00123812"/>
    <w:rsid w:val="001256F6"/>
    <w:rsid w:val="001262BA"/>
    <w:rsid w:val="00126FB2"/>
    <w:rsid w:val="00127266"/>
    <w:rsid w:val="0013186C"/>
    <w:rsid w:val="00132A45"/>
    <w:rsid w:val="001359FA"/>
    <w:rsid w:val="00136134"/>
    <w:rsid w:val="0013714F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4D51"/>
    <w:rsid w:val="00155B70"/>
    <w:rsid w:val="001566EF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7D83"/>
    <w:rsid w:val="00180387"/>
    <w:rsid w:val="001818CC"/>
    <w:rsid w:val="001836CE"/>
    <w:rsid w:val="00183EBF"/>
    <w:rsid w:val="00186793"/>
    <w:rsid w:val="0019082C"/>
    <w:rsid w:val="00192D05"/>
    <w:rsid w:val="00193A8C"/>
    <w:rsid w:val="001A2E2D"/>
    <w:rsid w:val="001A4BAA"/>
    <w:rsid w:val="001A4F4E"/>
    <w:rsid w:val="001A5D31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2D50"/>
    <w:rsid w:val="001E44F3"/>
    <w:rsid w:val="001F053A"/>
    <w:rsid w:val="001F2DA6"/>
    <w:rsid w:val="001F4DBE"/>
    <w:rsid w:val="001F62AF"/>
    <w:rsid w:val="001F793D"/>
    <w:rsid w:val="001F7E9D"/>
    <w:rsid w:val="002009A2"/>
    <w:rsid w:val="002021E9"/>
    <w:rsid w:val="00202789"/>
    <w:rsid w:val="00202F1F"/>
    <w:rsid w:val="00205199"/>
    <w:rsid w:val="0020521E"/>
    <w:rsid w:val="00206598"/>
    <w:rsid w:val="00207655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15C7"/>
    <w:rsid w:val="002523F6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530D"/>
    <w:rsid w:val="002A69DB"/>
    <w:rsid w:val="002B037D"/>
    <w:rsid w:val="002B1D15"/>
    <w:rsid w:val="002B493A"/>
    <w:rsid w:val="002B4A7F"/>
    <w:rsid w:val="002B5449"/>
    <w:rsid w:val="002B5928"/>
    <w:rsid w:val="002C3640"/>
    <w:rsid w:val="002C3FD3"/>
    <w:rsid w:val="002C419A"/>
    <w:rsid w:val="002C472D"/>
    <w:rsid w:val="002C52BE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91F"/>
    <w:rsid w:val="00356B67"/>
    <w:rsid w:val="003616BD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B7282"/>
    <w:rsid w:val="003C012D"/>
    <w:rsid w:val="003C0863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16F7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2FE3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56C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238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1F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462F4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345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3C4C"/>
    <w:rsid w:val="005B50F0"/>
    <w:rsid w:val="005B5D99"/>
    <w:rsid w:val="005B74B8"/>
    <w:rsid w:val="005C1353"/>
    <w:rsid w:val="005C1587"/>
    <w:rsid w:val="005C3A63"/>
    <w:rsid w:val="005C65C2"/>
    <w:rsid w:val="005C765D"/>
    <w:rsid w:val="005C7B4D"/>
    <w:rsid w:val="005D7CA9"/>
    <w:rsid w:val="005E0F5F"/>
    <w:rsid w:val="005F12E0"/>
    <w:rsid w:val="005F2726"/>
    <w:rsid w:val="005F2A30"/>
    <w:rsid w:val="005F2FA6"/>
    <w:rsid w:val="005F34E5"/>
    <w:rsid w:val="005F35C5"/>
    <w:rsid w:val="005F3861"/>
    <w:rsid w:val="005F43E1"/>
    <w:rsid w:val="005F47D4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984"/>
    <w:rsid w:val="00616E84"/>
    <w:rsid w:val="00617EBE"/>
    <w:rsid w:val="0062117B"/>
    <w:rsid w:val="00622055"/>
    <w:rsid w:val="006244D1"/>
    <w:rsid w:val="00632332"/>
    <w:rsid w:val="00633E85"/>
    <w:rsid w:val="006361EE"/>
    <w:rsid w:val="0063657E"/>
    <w:rsid w:val="00636EB6"/>
    <w:rsid w:val="006407EF"/>
    <w:rsid w:val="0064115E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2934"/>
    <w:rsid w:val="006B2CC8"/>
    <w:rsid w:val="006B64BE"/>
    <w:rsid w:val="006B6669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1B55"/>
    <w:rsid w:val="00743131"/>
    <w:rsid w:val="0074339E"/>
    <w:rsid w:val="00744BE5"/>
    <w:rsid w:val="00744D58"/>
    <w:rsid w:val="00745376"/>
    <w:rsid w:val="0074587F"/>
    <w:rsid w:val="007476BA"/>
    <w:rsid w:val="00750C8F"/>
    <w:rsid w:val="0075110B"/>
    <w:rsid w:val="00751637"/>
    <w:rsid w:val="007517F6"/>
    <w:rsid w:val="007531C9"/>
    <w:rsid w:val="007537B8"/>
    <w:rsid w:val="00754913"/>
    <w:rsid w:val="00755393"/>
    <w:rsid w:val="007553FC"/>
    <w:rsid w:val="00756346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28A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48E"/>
    <w:rsid w:val="007B1E17"/>
    <w:rsid w:val="007B4C73"/>
    <w:rsid w:val="007C0C1F"/>
    <w:rsid w:val="007C1F58"/>
    <w:rsid w:val="007C206E"/>
    <w:rsid w:val="007C2936"/>
    <w:rsid w:val="007C4A36"/>
    <w:rsid w:val="007C662A"/>
    <w:rsid w:val="007C7D7F"/>
    <w:rsid w:val="007D33BA"/>
    <w:rsid w:val="007D385A"/>
    <w:rsid w:val="007D6FCB"/>
    <w:rsid w:val="007D7FD4"/>
    <w:rsid w:val="007E2FEB"/>
    <w:rsid w:val="007E3CF9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1BD0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5C9F"/>
    <w:rsid w:val="00846431"/>
    <w:rsid w:val="00846B9D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84F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355A"/>
    <w:rsid w:val="008E4FFA"/>
    <w:rsid w:val="008E5CC1"/>
    <w:rsid w:val="008E6532"/>
    <w:rsid w:val="008E7FF5"/>
    <w:rsid w:val="008F125F"/>
    <w:rsid w:val="008F2C00"/>
    <w:rsid w:val="008F3DAE"/>
    <w:rsid w:val="008F6630"/>
    <w:rsid w:val="008F7622"/>
    <w:rsid w:val="0090311E"/>
    <w:rsid w:val="0090438E"/>
    <w:rsid w:val="00906110"/>
    <w:rsid w:val="0090704E"/>
    <w:rsid w:val="0091108F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3F33"/>
    <w:rsid w:val="00955DBA"/>
    <w:rsid w:val="00957244"/>
    <w:rsid w:val="00962CAC"/>
    <w:rsid w:val="00964BDE"/>
    <w:rsid w:val="009676D3"/>
    <w:rsid w:val="0096782D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656D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5A3A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3006"/>
    <w:rsid w:val="00A24099"/>
    <w:rsid w:val="00A264B0"/>
    <w:rsid w:val="00A2768E"/>
    <w:rsid w:val="00A31263"/>
    <w:rsid w:val="00A329BC"/>
    <w:rsid w:val="00A33E3C"/>
    <w:rsid w:val="00A3426E"/>
    <w:rsid w:val="00A353ED"/>
    <w:rsid w:val="00A37543"/>
    <w:rsid w:val="00A375D9"/>
    <w:rsid w:val="00A37FBB"/>
    <w:rsid w:val="00A4236C"/>
    <w:rsid w:val="00A43CAC"/>
    <w:rsid w:val="00A45E20"/>
    <w:rsid w:val="00A46DB8"/>
    <w:rsid w:val="00A52DF2"/>
    <w:rsid w:val="00A546A6"/>
    <w:rsid w:val="00A54A5E"/>
    <w:rsid w:val="00A55810"/>
    <w:rsid w:val="00A56CDD"/>
    <w:rsid w:val="00A56E3B"/>
    <w:rsid w:val="00A57C5A"/>
    <w:rsid w:val="00A64AD2"/>
    <w:rsid w:val="00A72C1F"/>
    <w:rsid w:val="00A72F5E"/>
    <w:rsid w:val="00A7350C"/>
    <w:rsid w:val="00A75482"/>
    <w:rsid w:val="00A75A3C"/>
    <w:rsid w:val="00A761B5"/>
    <w:rsid w:val="00A83E5E"/>
    <w:rsid w:val="00A84C12"/>
    <w:rsid w:val="00A85CA4"/>
    <w:rsid w:val="00A85D04"/>
    <w:rsid w:val="00A85DB4"/>
    <w:rsid w:val="00A86044"/>
    <w:rsid w:val="00A90002"/>
    <w:rsid w:val="00A96709"/>
    <w:rsid w:val="00A97EBD"/>
    <w:rsid w:val="00AA260F"/>
    <w:rsid w:val="00AA5F19"/>
    <w:rsid w:val="00AA750A"/>
    <w:rsid w:val="00AB001C"/>
    <w:rsid w:val="00AB30D0"/>
    <w:rsid w:val="00AB37EB"/>
    <w:rsid w:val="00AB39C5"/>
    <w:rsid w:val="00AB4438"/>
    <w:rsid w:val="00AB4466"/>
    <w:rsid w:val="00AB50E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1C7"/>
    <w:rsid w:val="00AE164F"/>
    <w:rsid w:val="00AE2D40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27CAC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107"/>
    <w:rsid w:val="00B61CB4"/>
    <w:rsid w:val="00B65DB9"/>
    <w:rsid w:val="00B66644"/>
    <w:rsid w:val="00B67333"/>
    <w:rsid w:val="00B67756"/>
    <w:rsid w:val="00B70DA9"/>
    <w:rsid w:val="00B712B0"/>
    <w:rsid w:val="00B71478"/>
    <w:rsid w:val="00B71802"/>
    <w:rsid w:val="00B7200B"/>
    <w:rsid w:val="00B76414"/>
    <w:rsid w:val="00B77EB8"/>
    <w:rsid w:val="00B81A2A"/>
    <w:rsid w:val="00B82E95"/>
    <w:rsid w:val="00B84109"/>
    <w:rsid w:val="00B85BDA"/>
    <w:rsid w:val="00B870D6"/>
    <w:rsid w:val="00B874A9"/>
    <w:rsid w:val="00B913B0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4E69"/>
    <w:rsid w:val="00BF651C"/>
    <w:rsid w:val="00BF734B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0F47"/>
    <w:rsid w:val="00C3163F"/>
    <w:rsid w:val="00C35E4D"/>
    <w:rsid w:val="00C436F7"/>
    <w:rsid w:val="00C45692"/>
    <w:rsid w:val="00C46175"/>
    <w:rsid w:val="00C472E3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770FD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1548"/>
    <w:rsid w:val="00CE3799"/>
    <w:rsid w:val="00CE4AA9"/>
    <w:rsid w:val="00CE5477"/>
    <w:rsid w:val="00CE7ADD"/>
    <w:rsid w:val="00CE7B17"/>
    <w:rsid w:val="00CF5E7B"/>
    <w:rsid w:val="00CF7A75"/>
    <w:rsid w:val="00D00362"/>
    <w:rsid w:val="00D01153"/>
    <w:rsid w:val="00D02293"/>
    <w:rsid w:val="00D026B6"/>
    <w:rsid w:val="00D03953"/>
    <w:rsid w:val="00D03CE8"/>
    <w:rsid w:val="00D03F61"/>
    <w:rsid w:val="00D047D6"/>
    <w:rsid w:val="00D047EE"/>
    <w:rsid w:val="00D11FE5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50AB"/>
    <w:rsid w:val="00D265B2"/>
    <w:rsid w:val="00D26BA6"/>
    <w:rsid w:val="00D27D4B"/>
    <w:rsid w:val="00D301BE"/>
    <w:rsid w:val="00D31D58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375A"/>
    <w:rsid w:val="00D64A77"/>
    <w:rsid w:val="00D66AB5"/>
    <w:rsid w:val="00D6726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DF5407"/>
    <w:rsid w:val="00E00127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474F9"/>
    <w:rsid w:val="00E51F8B"/>
    <w:rsid w:val="00E51FCF"/>
    <w:rsid w:val="00E529D4"/>
    <w:rsid w:val="00E53839"/>
    <w:rsid w:val="00E53C18"/>
    <w:rsid w:val="00E53F41"/>
    <w:rsid w:val="00E54488"/>
    <w:rsid w:val="00E5638A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81A"/>
    <w:rsid w:val="00EB0BAE"/>
    <w:rsid w:val="00EB0F20"/>
    <w:rsid w:val="00EB1632"/>
    <w:rsid w:val="00EB377B"/>
    <w:rsid w:val="00EB4086"/>
    <w:rsid w:val="00EB4EB6"/>
    <w:rsid w:val="00EB535D"/>
    <w:rsid w:val="00EB5CD2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2EDF"/>
    <w:rsid w:val="00F54C59"/>
    <w:rsid w:val="00F6067A"/>
    <w:rsid w:val="00F609CB"/>
    <w:rsid w:val="00F60FB9"/>
    <w:rsid w:val="00F64004"/>
    <w:rsid w:val="00F642D3"/>
    <w:rsid w:val="00F64DDA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136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0B7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semiHidden="0" w:unhideWhenUsed="0"/>
    <w:lsdException w:name="footer" w:semiHidden="0" w:unhideWhenUsed="0" w:qFormat="1"/>
    <w:lsdException w:name="caption" w:uiPriority="35" w:qFormat="1"/>
    <w:lsdException w:name="footnote reference" w:uiPriority="0"/>
    <w:lsdException w:name="annotation reference" w:uiPriority="0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E8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aliases w:val="5_G,PP"/>
    <w:basedOn w:val="Normal"/>
    <w:link w:val="FootnoteTextChar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aliases w:val="5_G Char,PP Char"/>
    <w:link w:val="FootnoteText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TitleH1">
    <w:name w:val="Title_H1"/>
    <w:basedOn w:val="H1"/>
    <w:next w:val="SingleTxt"/>
    <w:qFormat/>
    <w:rsid w:val="003B7282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3B7282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customStyle="1" w:styleId="TitleHCH">
    <w:name w:val="Title_H_CH"/>
    <w:basedOn w:val="HCH"/>
    <w:next w:val="SingleTxt"/>
    <w:qFormat/>
    <w:rsid w:val="003B728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1836C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ItemNormal">
    <w:name w:val="Agenda_Item_Normal"/>
    <w:next w:val="Normal"/>
    <w:autoRedefine/>
    <w:qFormat/>
    <w:rsid w:val="003B7282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nhideWhenUsed/>
    <w:rsid w:val="00A3754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754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37543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543"/>
    <w:rPr>
      <w:rFonts w:ascii="Times New Roman" w:hAnsi="Times New Roman"/>
      <w:b/>
      <w:bCs/>
      <w:spacing w:val="4"/>
      <w:w w:val="103"/>
      <w:kern w:val="14"/>
      <w:lang w:val="fr-CA"/>
    </w:rPr>
  </w:style>
  <w:style w:type="paragraph" w:customStyle="1" w:styleId="HChG">
    <w:name w:val="_ H _Ch_G"/>
    <w:basedOn w:val="Normal"/>
    <w:next w:val="Normal"/>
    <w:link w:val="HChGChar"/>
    <w:qFormat/>
    <w:rsid w:val="00A7350C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="Calibri"/>
      <w:b/>
      <w:spacing w:val="0"/>
      <w:w w:val="100"/>
      <w:kern w:val="0"/>
      <w:sz w:val="28"/>
      <w:szCs w:val="20"/>
      <w:lang w:val="fr-CH"/>
    </w:rPr>
  </w:style>
  <w:style w:type="paragraph" w:customStyle="1" w:styleId="SingleTxtG">
    <w:name w:val="_ Single Txt_G"/>
    <w:basedOn w:val="Normal"/>
    <w:link w:val="SingleTxtGChar"/>
    <w:qFormat/>
    <w:rsid w:val="00A7350C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eastAsia="Calibri"/>
      <w:spacing w:val="0"/>
      <w:w w:val="100"/>
      <w:kern w:val="0"/>
      <w:sz w:val="24"/>
      <w:szCs w:val="20"/>
      <w:lang w:val="fr-CH"/>
    </w:rPr>
  </w:style>
  <w:style w:type="character" w:customStyle="1" w:styleId="SingleTxtGChar">
    <w:name w:val="_ Single Txt_G Char"/>
    <w:link w:val="SingleTxtG"/>
    <w:rsid w:val="00A7350C"/>
    <w:rPr>
      <w:rFonts w:ascii="Times New Roman" w:eastAsia="Calibri" w:hAnsi="Times New Roman"/>
      <w:sz w:val="24"/>
      <w:lang w:val="fr-CH"/>
    </w:rPr>
  </w:style>
  <w:style w:type="character" w:customStyle="1" w:styleId="HChGChar">
    <w:name w:val="_ H _Ch_G Char"/>
    <w:link w:val="HChG"/>
    <w:rsid w:val="00A7350C"/>
    <w:rPr>
      <w:rFonts w:ascii="Times New Roman" w:eastAsia="Calibri" w:hAnsi="Times New Roman"/>
      <w:b/>
      <w:sz w:val="28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semiHidden="0" w:unhideWhenUsed="0"/>
    <w:lsdException w:name="footer" w:semiHidden="0" w:unhideWhenUsed="0" w:qFormat="1"/>
    <w:lsdException w:name="caption" w:uiPriority="35" w:qFormat="1"/>
    <w:lsdException w:name="footnote reference" w:uiPriority="0"/>
    <w:lsdException w:name="annotation reference" w:uiPriority="0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E8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aliases w:val="5_G,PP"/>
    <w:basedOn w:val="Normal"/>
    <w:link w:val="FootnoteTextChar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aliases w:val="5_G Char,PP Char"/>
    <w:link w:val="FootnoteText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TitleH1">
    <w:name w:val="Title_H1"/>
    <w:basedOn w:val="H1"/>
    <w:next w:val="SingleTxt"/>
    <w:qFormat/>
    <w:rsid w:val="003B7282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3B7282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customStyle="1" w:styleId="TitleHCH">
    <w:name w:val="Title_H_CH"/>
    <w:basedOn w:val="HCH"/>
    <w:next w:val="SingleTxt"/>
    <w:qFormat/>
    <w:rsid w:val="003B728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1836C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ItemNormal">
    <w:name w:val="Agenda_Item_Normal"/>
    <w:next w:val="Normal"/>
    <w:autoRedefine/>
    <w:qFormat/>
    <w:rsid w:val="003B7282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nhideWhenUsed/>
    <w:rsid w:val="00A3754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754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37543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543"/>
    <w:rPr>
      <w:rFonts w:ascii="Times New Roman" w:hAnsi="Times New Roman"/>
      <w:b/>
      <w:bCs/>
      <w:spacing w:val="4"/>
      <w:w w:val="103"/>
      <w:kern w:val="14"/>
      <w:lang w:val="fr-CA"/>
    </w:rPr>
  </w:style>
  <w:style w:type="paragraph" w:customStyle="1" w:styleId="HChG">
    <w:name w:val="_ H _Ch_G"/>
    <w:basedOn w:val="Normal"/>
    <w:next w:val="Normal"/>
    <w:link w:val="HChGChar"/>
    <w:qFormat/>
    <w:rsid w:val="00A7350C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="Calibri"/>
      <w:b/>
      <w:spacing w:val="0"/>
      <w:w w:val="100"/>
      <w:kern w:val="0"/>
      <w:sz w:val="28"/>
      <w:szCs w:val="20"/>
      <w:lang w:val="fr-CH"/>
    </w:rPr>
  </w:style>
  <w:style w:type="paragraph" w:customStyle="1" w:styleId="SingleTxtG">
    <w:name w:val="_ Single Txt_G"/>
    <w:basedOn w:val="Normal"/>
    <w:link w:val="SingleTxtGChar"/>
    <w:qFormat/>
    <w:rsid w:val="00A7350C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eastAsia="Calibri"/>
      <w:spacing w:val="0"/>
      <w:w w:val="100"/>
      <w:kern w:val="0"/>
      <w:sz w:val="24"/>
      <w:szCs w:val="20"/>
      <w:lang w:val="fr-CH"/>
    </w:rPr>
  </w:style>
  <w:style w:type="character" w:customStyle="1" w:styleId="SingleTxtGChar">
    <w:name w:val="_ Single Txt_G Char"/>
    <w:link w:val="SingleTxtG"/>
    <w:rsid w:val="00A7350C"/>
    <w:rPr>
      <w:rFonts w:ascii="Times New Roman" w:eastAsia="Calibri" w:hAnsi="Times New Roman"/>
      <w:sz w:val="24"/>
      <w:lang w:val="fr-CH"/>
    </w:rPr>
  </w:style>
  <w:style w:type="character" w:customStyle="1" w:styleId="HChGChar">
    <w:name w:val="_ H _Ch_G Char"/>
    <w:link w:val="HChG"/>
    <w:rsid w:val="00A7350C"/>
    <w:rPr>
      <w:rFonts w:ascii="Times New Roman" w:eastAsia="Calibri" w:hAnsi="Times New Roman"/>
      <w:b/>
      <w:sz w:val="2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ECBAA-9439-4400-BDE9-19EF96DE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Morin</dc:creator>
  <cp:lastModifiedBy>Caillot</cp:lastModifiedBy>
  <cp:revision>3</cp:revision>
  <cp:lastPrinted>2016-02-15T10:24:00Z</cp:lastPrinted>
  <dcterms:created xsi:type="dcterms:W3CDTF">2016-02-15T10:24:00Z</dcterms:created>
  <dcterms:modified xsi:type="dcterms:W3CDTF">2016-02-15T10:24:00Z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1522596F</vt:lpwstr>
  </property>
  <property fmtid="{D5CDD505-2E9C-101B-9397-08002B2CF9AE}" pid="3" name="ODSRefJobNo">
    <vt:lpwstr>1528888F</vt:lpwstr>
  </property>
  <property fmtid="{D5CDD505-2E9C-101B-9397-08002B2CF9AE}" pid="4" name="Symbol1">
    <vt:lpwstr>ECE/TRANS/WP.29/2016/3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N.Morin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22 décembre 2015</vt:lpwstr>
  </property>
  <property fmtid="{D5CDD505-2E9C-101B-9397-08002B2CF9AE}" pid="12" name="Original">
    <vt:lpwstr>anglais</vt:lpwstr>
  </property>
  <property fmtid="{D5CDD505-2E9C-101B-9397-08002B2CF9AE}" pid="13" name="Release Date">
    <vt:lpwstr>120216</vt:lpwstr>
  </property>
</Properties>
</file>