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17CB9" w:rsidRPr="00017CB9" w:rsidTr="00E153E3">
        <w:trPr>
          <w:cantSplit/>
          <w:trHeight w:hRule="exact" w:val="851"/>
        </w:trPr>
        <w:tc>
          <w:tcPr>
            <w:tcW w:w="9781" w:type="dxa"/>
            <w:tcBorders>
              <w:bottom w:val="single" w:sz="4" w:space="0" w:color="auto"/>
            </w:tcBorders>
            <w:vAlign w:val="bottom"/>
          </w:tcPr>
          <w:p w:rsidR="00017CB9" w:rsidRPr="00017CB9" w:rsidRDefault="00017CB9" w:rsidP="00017CB9">
            <w:pPr>
              <w:suppressAutoHyphens/>
              <w:spacing w:after="0" w:line="240" w:lineRule="atLeast"/>
              <w:ind w:firstLine="284"/>
              <w:jc w:val="right"/>
              <w:rPr>
                <w:rFonts w:ascii="Times New Roman" w:eastAsia="Times New Roman" w:hAnsi="Times New Roman" w:cs="Times New Roman"/>
                <w:color w:val="000000"/>
                <w:spacing w:val="-3"/>
                <w:sz w:val="20"/>
                <w:szCs w:val="20"/>
              </w:rPr>
            </w:pPr>
            <w:r w:rsidRPr="00017CB9">
              <w:rPr>
                <w:rFonts w:ascii="Times New Roman" w:eastAsia="Times New Roman" w:hAnsi="Times New Roman" w:cs="Times New Roman"/>
                <w:b/>
                <w:color w:val="000000"/>
                <w:spacing w:val="-3"/>
                <w:sz w:val="40"/>
                <w:szCs w:val="40"/>
              </w:rPr>
              <w:t>INF.</w:t>
            </w:r>
            <w:r>
              <w:rPr>
                <w:rFonts w:ascii="Times New Roman" w:eastAsia="Times New Roman" w:hAnsi="Times New Roman" w:cs="Times New Roman"/>
                <w:b/>
                <w:color w:val="000000"/>
                <w:spacing w:val="-3"/>
                <w:sz w:val="40"/>
                <w:szCs w:val="40"/>
              </w:rPr>
              <w:t>5</w:t>
            </w:r>
          </w:p>
        </w:tc>
      </w:tr>
      <w:tr w:rsidR="00017CB9" w:rsidRPr="00017CB9" w:rsidTr="00017CB9">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17CB9" w:rsidRPr="00017CB9" w:rsidTr="00017CB9">
              <w:trPr>
                <w:cantSplit/>
                <w:trHeight w:hRule="exact" w:val="3115"/>
              </w:trPr>
              <w:tc>
                <w:tcPr>
                  <w:tcW w:w="7230" w:type="dxa"/>
                </w:tcPr>
                <w:p w:rsidR="00017CB9" w:rsidRPr="00017CB9" w:rsidRDefault="00017CB9" w:rsidP="00017CB9">
                  <w:pPr>
                    <w:suppressAutoHyphens/>
                    <w:spacing w:before="120" w:after="0" w:line="240" w:lineRule="atLeast"/>
                    <w:rPr>
                      <w:rFonts w:ascii="Times New Roman" w:eastAsia="Times New Roman" w:hAnsi="Times New Roman" w:cs="Times New Roman"/>
                      <w:b/>
                      <w:sz w:val="28"/>
                      <w:szCs w:val="28"/>
                    </w:rPr>
                  </w:pPr>
                  <w:r w:rsidRPr="00017CB9">
                    <w:rPr>
                      <w:rFonts w:ascii="Times New Roman" w:eastAsia="Times New Roman" w:hAnsi="Times New Roman" w:cs="Times New Roman"/>
                      <w:b/>
                      <w:sz w:val="28"/>
                      <w:szCs w:val="28"/>
                    </w:rPr>
                    <w:t>Economic Commission for Europe</w:t>
                  </w:r>
                </w:p>
                <w:p w:rsidR="00017CB9" w:rsidRPr="00017CB9" w:rsidRDefault="00017CB9" w:rsidP="00017CB9">
                  <w:pPr>
                    <w:suppressAutoHyphens/>
                    <w:spacing w:before="120" w:after="0" w:line="240" w:lineRule="atLeast"/>
                    <w:rPr>
                      <w:rFonts w:ascii="Times New Roman" w:eastAsia="Times New Roman" w:hAnsi="Times New Roman" w:cs="Times New Roman"/>
                      <w:sz w:val="28"/>
                      <w:szCs w:val="28"/>
                    </w:rPr>
                  </w:pPr>
                  <w:r w:rsidRPr="00017CB9">
                    <w:rPr>
                      <w:rFonts w:ascii="Times New Roman" w:eastAsia="Times New Roman" w:hAnsi="Times New Roman" w:cs="Times New Roman"/>
                      <w:sz w:val="28"/>
                      <w:szCs w:val="28"/>
                    </w:rPr>
                    <w:t>Inland Transport Committee</w:t>
                  </w:r>
                </w:p>
                <w:p w:rsidR="00017CB9" w:rsidRPr="00017CB9" w:rsidRDefault="00017CB9" w:rsidP="00017CB9">
                  <w:pPr>
                    <w:suppressAutoHyphens/>
                    <w:spacing w:before="120" w:after="0" w:line="240" w:lineRule="atLeast"/>
                    <w:rPr>
                      <w:rFonts w:ascii="Times New Roman" w:eastAsia="Times New Roman" w:hAnsi="Times New Roman" w:cs="Times New Roman"/>
                      <w:b/>
                      <w:sz w:val="24"/>
                      <w:szCs w:val="24"/>
                    </w:rPr>
                  </w:pPr>
                  <w:r w:rsidRPr="00017CB9">
                    <w:rPr>
                      <w:rFonts w:ascii="Times New Roman" w:eastAsia="Times New Roman" w:hAnsi="Times New Roman" w:cs="Times New Roman"/>
                      <w:b/>
                      <w:sz w:val="24"/>
                      <w:szCs w:val="24"/>
                    </w:rPr>
                    <w:t>Working Party on the Transport of Perishable Foodstuffs</w:t>
                  </w:r>
                </w:p>
                <w:p w:rsidR="00017CB9" w:rsidRPr="00017CB9" w:rsidRDefault="00017CB9" w:rsidP="00017CB9">
                  <w:pPr>
                    <w:suppressAutoHyphens/>
                    <w:spacing w:before="120"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bCs/>
                      <w:sz w:val="20"/>
                      <w:szCs w:val="20"/>
                    </w:rPr>
                    <w:t xml:space="preserve">Seventy-second </w:t>
                  </w:r>
                  <w:r w:rsidRPr="00017CB9">
                    <w:rPr>
                      <w:rFonts w:ascii="Times New Roman" w:eastAsia="Times New Roman" w:hAnsi="Times New Roman" w:cs="Times New Roman"/>
                      <w:b/>
                      <w:sz w:val="20"/>
                      <w:szCs w:val="20"/>
                    </w:rPr>
                    <w:t>session</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Geneva, 4-7 October 2016</w:t>
                  </w:r>
                </w:p>
                <w:p w:rsidR="00017CB9" w:rsidRPr="00017CB9" w:rsidRDefault="00017CB9" w:rsidP="00017CB9">
                  <w:pPr>
                    <w:suppressAutoHyphens/>
                    <w:spacing w:after="0" w:line="240" w:lineRule="atLeast"/>
                    <w:rPr>
                      <w:rFonts w:ascii="Times New Roman" w:eastAsia="Times New Roman" w:hAnsi="Times New Roman" w:cs="Times New Roman"/>
                      <w:sz w:val="20"/>
                      <w:szCs w:val="20"/>
                    </w:rPr>
                  </w:pPr>
                  <w:r w:rsidRPr="00017CB9">
                    <w:rPr>
                      <w:rFonts w:ascii="Times New Roman" w:eastAsia="Times New Roman" w:hAnsi="Times New Roman" w:cs="Times New Roman"/>
                      <w:sz w:val="20"/>
                      <w:szCs w:val="20"/>
                    </w:rPr>
                    <w:t xml:space="preserve">Item </w:t>
                  </w:r>
                  <w:r>
                    <w:rPr>
                      <w:rFonts w:ascii="Times New Roman" w:eastAsia="Times New Roman" w:hAnsi="Times New Roman" w:cs="Times New Roman"/>
                      <w:sz w:val="20"/>
                      <w:szCs w:val="20"/>
                    </w:rPr>
                    <w:t>4</w:t>
                  </w:r>
                  <w:r w:rsidRPr="00017CB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w:t>
                  </w:r>
                  <w:r w:rsidRPr="00017CB9">
                    <w:rPr>
                      <w:rFonts w:ascii="Times New Roman" w:eastAsia="Times New Roman" w:hAnsi="Times New Roman" w:cs="Times New Roman"/>
                      <w:sz w:val="20"/>
                      <w:szCs w:val="20"/>
                    </w:rPr>
                    <w:t>) of the provisional agenda</w:t>
                  </w:r>
                </w:p>
                <w:p w:rsidR="00017CB9" w:rsidRDefault="00017CB9" w:rsidP="00017CB9">
                  <w:pPr>
                    <w:suppressAutoHyphens/>
                    <w:spacing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sz w:val="20"/>
                      <w:szCs w:val="20"/>
                    </w:rPr>
                    <w:t xml:space="preserve">Status and implementation of the Agreement on the </w:t>
                  </w:r>
                  <w:r>
                    <w:rPr>
                      <w:rFonts w:ascii="Times New Roman" w:eastAsia="Times New Roman" w:hAnsi="Times New Roman" w:cs="Times New Roman"/>
                      <w:b/>
                      <w:sz w:val="20"/>
                      <w:szCs w:val="20"/>
                    </w:rPr>
                    <w:br/>
                  </w:r>
                  <w:r w:rsidRPr="00017CB9">
                    <w:rPr>
                      <w:rFonts w:ascii="Times New Roman" w:eastAsia="Times New Roman" w:hAnsi="Times New Roman" w:cs="Times New Roman"/>
                      <w:b/>
                      <w:sz w:val="20"/>
                      <w:szCs w:val="20"/>
                    </w:rPr>
                    <w:t xml:space="preserve">International Carriage of Perishable Foodstuffs and </w:t>
                  </w:r>
                  <w:r>
                    <w:rPr>
                      <w:rFonts w:ascii="Times New Roman" w:eastAsia="Times New Roman" w:hAnsi="Times New Roman" w:cs="Times New Roman"/>
                      <w:b/>
                      <w:sz w:val="20"/>
                      <w:szCs w:val="20"/>
                    </w:rPr>
                    <w:br/>
                  </w:r>
                  <w:r w:rsidRPr="00017CB9">
                    <w:rPr>
                      <w:rFonts w:ascii="Times New Roman" w:eastAsia="Times New Roman" w:hAnsi="Times New Roman" w:cs="Times New Roman"/>
                      <w:b/>
                      <w:sz w:val="20"/>
                      <w:szCs w:val="20"/>
                    </w:rPr>
                    <w:t>on the Special Equipment to be Used for such Carriage (ATP)</w:t>
                  </w:r>
                  <w:r>
                    <w:rPr>
                      <w:rFonts w:ascii="Times New Roman" w:eastAsia="Times New Roman" w:hAnsi="Times New Roman" w:cs="Times New Roman"/>
                      <w:b/>
                      <w:sz w:val="20"/>
                      <w:szCs w:val="20"/>
                    </w:rPr>
                    <w:t>:</w:t>
                  </w: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sz w:val="20"/>
                      <w:szCs w:val="20"/>
                    </w:rPr>
                    <w:t>Interpretation of ATP</w:t>
                  </w:r>
                </w:p>
              </w:tc>
              <w:tc>
                <w:tcPr>
                  <w:tcW w:w="2409" w:type="dxa"/>
                </w:tcPr>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p>
                <w:p w:rsidR="00017CB9" w:rsidRPr="00017CB9" w:rsidRDefault="00017CB9" w:rsidP="00017CB9">
                  <w:pPr>
                    <w:suppressAutoHyphens/>
                    <w:spacing w:after="0" w:line="240" w:lineRule="atLeast"/>
                    <w:rPr>
                      <w:rFonts w:ascii="Times New Roman" w:eastAsia="Times New Roman" w:hAnsi="Times New Roman" w:cs="Times New Roman"/>
                      <w:b/>
                      <w:sz w:val="20"/>
                      <w:szCs w:val="20"/>
                    </w:rPr>
                  </w:pPr>
                  <w:r w:rsidRPr="00017CB9">
                    <w:rPr>
                      <w:rFonts w:ascii="Times New Roman" w:eastAsia="Times New Roman" w:hAnsi="Times New Roman" w:cs="Times New Roman"/>
                      <w:b/>
                      <w:sz w:val="20"/>
                      <w:szCs w:val="20"/>
                    </w:rPr>
                    <w:t>30 September 2016</w:t>
                  </w:r>
                </w:p>
              </w:tc>
            </w:tr>
            <w:tr w:rsidR="00017CB9" w:rsidRPr="00017CB9" w:rsidTr="00E153E3">
              <w:trPr>
                <w:cantSplit/>
                <w:trHeight w:hRule="exact" w:val="2974"/>
              </w:trPr>
              <w:tc>
                <w:tcPr>
                  <w:tcW w:w="9639" w:type="dxa"/>
                  <w:gridSpan w:val="2"/>
                </w:tcPr>
                <w:p w:rsidR="00017CB9" w:rsidRPr="00017CB9" w:rsidRDefault="00017CB9" w:rsidP="00017CB9">
                  <w:pPr>
                    <w:suppressAutoHyphens/>
                    <w:spacing w:before="120" w:after="0" w:line="240" w:lineRule="atLeast"/>
                    <w:ind w:firstLine="284"/>
                    <w:rPr>
                      <w:rFonts w:ascii="Times New Roman" w:eastAsia="Times New Roman" w:hAnsi="Times New Roman" w:cs="Times New Roman"/>
                      <w:b/>
                      <w:color w:val="000000"/>
                      <w:spacing w:val="-3"/>
                      <w:sz w:val="28"/>
                      <w:szCs w:val="28"/>
                    </w:rPr>
                  </w:pPr>
                  <w:r w:rsidRPr="00017CB9">
                    <w:rPr>
                      <w:rFonts w:ascii="Times New Roman" w:eastAsia="Times New Roman" w:hAnsi="Times New Roman" w:cs="Times New Roman"/>
                      <w:b/>
                      <w:color w:val="000000"/>
                      <w:spacing w:val="-3"/>
                      <w:sz w:val="28"/>
                      <w:szCs w:val="28"/>
                    </w:rPr>
                    <w:t xml:space="preserve">             </w:t>
                  </w:r>
                </w:p>
              </w:tc>
            </w:tr>
            <w:tr w:rsidR="00017CB9" w:rsidRPr="00017CB9" w:rsidTr="00E153E3">
              <w:trPr>
                <w:cantSplit/>
                <w:trHeight w:hRule="exact" w:val="2974"/>
              </w:trPr>
              <w:tc>
                <w:tcPr>
                  <w:tcW w:w="9639" w:type="dxa"/>
                  <w:gridSpan w:val="2"/>
                </w:tcPr>
                <w:p w:rsidR="00017CB9" w:rsidRPr="00017CB9" w:rsidRDefault="00017CB9" w:rsidP="00017CB9">
                  <w:pPr>
                    <w:suppressAutoHyphens/>
                    <w:spacing w:before="120" w:after="0" w:line="240" w:lineRule="atLeast"/>
                    <w:ind w:firstLine="284"/>
                    <w:rPr>
                      <w:rFonts w:ascii="Times New Roman" w:eastAsia="Times New Roman" w:hAnsi="Times New Roman" w:cs="Times New Roman"/>
                      <w:b/>
                      <w:color w:val="000000"/>
                      <w:spacing w:val="-3"/>
                      <w:sz w:val="28"/>
                      <w:szCs w:val="28"/>
                    </w:rPr>
                  </w:pPr>
                </w:p>
              </w:tc>
            </w:tr>
          </w:tbl>
          <w:p w:rsidR="00017CB9" w:rsidRPr="00017CB9" w:rsidRDefault="00017CB9" w:rsidP="00017CB9">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color w:val="000000"/>
                <w:spacing w:val="-3"/>
                <w:sz w:val="28"/>
                <w:szCs w:val="20"/>
                <w:lang w:val="en-US"/>
              </w:rPr>
            </w:pPr>
          </w:p>
          <w:p w:rsidR="00017CB9" w:rsidRPr="00017CB9" w:rsidRDefault="00017CB9" w:rsidP="00017CB9">
            <w:pPr>
              <w:suppressAutoHyphens/>
              <w:spacing w:before="120" w:after="0" w:line="240" w:lineRule="atLeast"/>
              <w:ind w:right="425" w:firstLine="284"/>
              <w:rPr>
                <w:rFonts w:ascii="Times New Roman" w:eastAsia="Times New Roman" w:hAnsi="Times New Roman" w:cs="Times New Roman"/>
                <w:color w:val="000000"/>
                <w:spacing w:val="-3"/>
                <w:sz w:val="20"/>
                <w:szCs w:val="20"/>
              </w:rPr>
            </w:pPr>
          </w:p>
        </w:tc>
      </w:tr>
    </w:tbl>
    <w:p w:rsidR="00185C3D" w:rsidRPr="00D10CC5" w:rsidRDefault="006A07C0" w:rsidP="00017CB9">
      <w:pPr>
        <w:pStyle w:val="HChGR"/>
      </w:pPr>
      <w:r w:rsidRPr="00AF0AAD">
        <w:rPr>
          <w:lang w:val="en-GB"/>
        </w:rPr>
        <w:tab/>
      </w:r>
      <w:r w:rsidRPr="00AF0AAD">
        <w:rPr>
          <w:lang w:val="en-GB"/>
        </w:rPr>
        <w:tab/>
      </w:r>
      <w:r w:rsidR="00951DB2" w:rsidRPr="00AF0AAD">
        <w:rPr>
          <w:lang w:val="en-GB"/>
        </w:rPr>
        <w:t>The e</w:t>
      </w:r>
      <w:r w:rsidR="00B21958" w:rsidRPr="00AF0AAD">
        <w:rPr>
          <w:lang w:val="en-GB"/>
        </w:rPr>
        <w:t xml:space="preserve">xplanation </w:t>
      </w:r>
      <w:r w:rsidR="00185C3D" w:rsidRPr="00AF0AAD">
        <w:rPr>
          <w:lang w:val="en-GB"/>
        </w:rPr>
        <w:t>o</w:t>
      </w:r>
      <w:r w:rsidR="00185C3D">
        <w:rPr>
          <w:lang w:val="en-US"/>
        </w:rPr>
        <w:t>f</w:t>
      </w:r>
      <w:r w:rsidR="00185C3D" w:rsidRPr="00AF0AAD">
        <w:rPr>
          <w:lang w:val="en-GB"/>
        </w:rPr>
        <w:t xml:space="preserve"> the powers of the ATP </w:t>
      </w:r>
      <w:r w:rsidR="00185C3D" w:rsidRPr="00017CB9">
        <w:t>experts</w:t>
      </w:r>
    </w:p>
    <w:p w:rsidR="006A07C0" w:rsidRPr="00185C3D" w:rsidRDefault="00017CB9" w:rsidP="00017CB9">
      <w:pPr>
        <w:pStyle w:val="H1G"/>
        <w:rPr>
          <w:rFonts w:eastAsia="Calibri"/>
          <w:lang w:val="en-US"/>
        </w:rPr>
      </w:pPr>
      <w:r>
        <w:rPr>
          <w:lang w:val="en-US"/>
        </w:rPr>
        <w:tab/>
      </w:r>
      <w:bookmarkStart w:id="0" w:name="_GoBack"/>
      <w:bookmarkEnd w:id="0"/>
      <w:r w:rsidR="006A07C0" w:rsidRPr="00185C3D">
        <w:rPr>
          <w:lang w:val="en-US"/>
        </w:rPr>
        <w:tab/>
      </w:r>
      <w:r w:rsidR="006A07C0" w:rsidRPr="00185C3D">
        <w:rPr>
          <w:rFonts w:eastAsia="Calibri"/>
          <w:lang w:val="en-US"/>
        </w:rPr>
        <w:t xml:space="preserve">Transmitted by the </w:t>
      </w:r>
      <w:r w:rsidR="00B21958" w:rsidRPr="00185C3D">
        <w:rPr>
          <w:rFonts w:eastAsia="Calibri"/>
          <w:lang w:val="en-US"/>
        </w:rPr>
        <w:t>Russian Federation</w:t>
      </w:r>
    </w:p>
    <w:p w:rsidR="00185C3D" w:rsidRPr="00D91701" w:rsidRDefault="00247059" w:rsidP="00017CB9">
      <w:pPr>
        <w:pStyle w:val="SingleTxtG"/>
      </w:pPr>
      <w:r w:rsidRPr="00247059">
        <w:t>In accordance with sections 5 and 6 of Appendix 2 of Annex 1 to ATP</w:t>
      </w:r>
      <w:r w:rsidRPr="00247059">
        <w:rPr>
          <w:lang w:val="en-US"/>
        </w:rPr>
        <w:t xml:space="preserve"> </w:t>
      </w:r>
      <w:r>
        <w:rPr>
          <w:lang w:val="en-US"/>
        </w:rPr>
        <w:t>f</w:t>
      </w:r>
      <w:r w:rsidR="00185C3D" w:rsidRPr="00D91701">
        <w:t xml:space="preserve">or the purpose of checking the insulating capacity of each piece of equipment in service as prescribed in appendix 1, paragraphs 1 (b) and 1 (c), to this annex, the competent authorities may: Apply the methods described in paragraphs 2.1.1 to 2.3.2 of this appendix; or - 26 - Appoint experts to assess the fitness of the equipment for retention in one or other of the categories of insulated equipment. These experts shall take the following particulars into account and shall base their conclusions on information as well as the provisions specified in section </w:t>
      </w:r>
      <w:r w:rsidR="00FA6E98" w:rsidRPr="00D91701">
        <w:t>5</w:t>
      </w:r>
      <w:r w:rsidR="00185C3D" w:rsidRPr="00D91701">
        <w:t xml:space="preserve"> of Appendix 2 of Annex 1 to ATP</w:t>
      </w:r>
      <w:r w:rsidR="00FA6E98" w:rsidRPr="00D91701">
        <w:t>.</w:t>
      </w:r>
    </w:p>
    <w:p w:rsidR="00185C3D" w:rsidRPr="00D91701" w:rsidRDefault="00185C3D" w:rsidP="00017CB9">
      <w:pPr>
        <w:pStyle w:val="SingleTxtG"/>
      </w:pPr>
      <w:r w:rsidRPr="00D91701">
        <w:t>To verify as prescribed in appendix l, paragraphs l (b) and l (c), to this annex the effectiveness of the thermal appliance of each item of refrigerated, mechanically refrigerated or heated equipment in service, the competent authorities may: Apply the methods described in sections 3.1, 3.2 and 3.3 of this appendix; or Appoint experts to apply the particulars described in sections 5.1 and 5.2 of this appendix when applicable as well as the provisions specified in section 6 of Appendix 2 of Annex 1 to ATP</w:t>
      </w:r>
      <w:r w:rsidR="00FA6E98" w:rsidRPr="00D91701">
        <w:t>.</w:t>
      </w:r>
    </w:p>
    <w:p w:rsidR="00B21958" w:rsidRPr="00395832" w:rsidRDefault="00B21958" w:rsidP="00017CB9">
      <w:pPr>
        <w:pStyle w:val="SingleTxtG"/>
        <w:rPr>
          <w:lang w:val="en-US"/>
        </w:rPr>
      </w:pPr>
      <w:r w:rsidRPr="00D91701">
        <w:t>Please</w:t>
      </w:r>
      <w:r w:rsidRPr="00395832">
        <w:rPr>
          <w:lang w:val="en-US"/>
        </w:rPr>
        <w:t xml:space="preserve"> </w:t>
      </w:r>
      <w:r w:rsidRPr="00D91701">
        <w:t>explain</w:t>
      </w:r>
      <w:r w:rsidRPr="00395832">
        <w:rPr>
          <w:lang w:val="en-US"/>
        </w:rPr>
        <w:t>:</w:t>
      </w:r>
    </w:p>
    <w:p w:rsidR="00D91701" w:rsidRPr="00D91701" w:rsidRDefault="00D91701" w:rsidP="00382356">
      <w:pPr>
        <w:pStyle w:val="SingleTxtG"/>
        <w:tabs>
          <w:tab w:val="left" w:pos="1701"/>
        </w:tabs>
        <w:rPr>
          <w:color w:val="000000"/>
          <w:lang w:val="en-US" w:eastAsia="ru-RU"/>
        </w:rPr>
      </w:pPr>
      <w:r w:rsidRPr="00D91701">
        <w:rPr>
          <w:color w:val="000000"/>
          <w:lang w:val="en-US" w:eastAsia="ru-RU"/>
        </w:rPr>
        <w:t xml:space="preserve">1. </w:t>
      </w:r>
      <w:r w:rsidR="00017CB9">
        <w:rPr>
          <w:color w:val="000000"/>
          <w:lang w:val="en-US" w:eastAsia="ru-RU"/>
        </w:rPr>
        <w:tab/>
      </w:r>
      <w:r w:rsidRPr="00D91701">
        <w:rPr>
          <w:color w:val="000000"/>
          <w:lang w:val="en-US" w:eastAsia="ru-RU"/>
        </w:rPr>
        <w:t xml:space="preserve">Is the competent authority of the one of the Contracting party able to appoint the </w:t>
      </w:r>
      <w:r w:rsidR="00395832" w:rsidRPr="00D91701">
        <w:rPr>
          <w:color w:val="000000"/>
          <w:lang w:val="en-US" w:eastAsia="ru-RU"/>
        </w:rPr>
        <w:t>organization</w:t>
      </w:r>
      <w:r w:rsidRPr="00D91701">
        <w:rPr>
          <w:color w:val="000000"/>
          <w:lang w:val="en-US" w:eastAsia="ru-RU"/>
        </w:rPr>
        <w:t xml:space="preserve"> of the another Contracting party as an expert?</w:t>
      </w:r>
    </w:p>
    <w:p w:rsidR="00D91701" w:rsidRPr="00D91701" w:rsidRDefault="00D91701" w:rsidP="00017CB9">
      <w:pPr>
        <w:pStyle w:val="SingleTxtG"/>
        <w:tabs>
          <w:tab w:val="left" w:pos="1701"/>
        </w:tabs>
        <w:rPr>
          <w:color w:val="000000"/>
          <w:lang w:val="en-US" w:eastAsia="ru-RU"/>
        </w:rPr>
      </w:pPr>
      <w:r w:rsidRPr="00D91701">
        <w:rPr>
          <w:color w:val="000000"/>
          <w:lang w:val="en-US" w:eastAsia="ru-RU"/>
        </w:rPr>
        <w:t xml:space="preserve">2. </w:t>
      </w:r>
      <w:r w:rsidR="00017CB9">
        <w:rPr>
          <w:color w:val="000000"/>
          <w:lang w:val="en-US" w:eastAsia="ru-RU"/>
        </w:rPr>
        <w:tab/>
      </w:r>
      <w:r w:rsidRPr="00D91701">
        <w:rPr>
          <w:color w:val="000000"/>
          <w:lang w:val="en-US" w:eastAsia="ru-RU"/>
        </w:rPr>
        <w:t>Can the expert, who was appointed by authority of the one Contracting party, be an expert on the territory of another Contracting party?</w:t>
      </w:r>
    </w:p>
    <w:p w:rsidR="00B00760" w:rsidRDefault="00D91701" w:rsidP="00017CB9">
      <w:pPr>
        <w:pStyle w:val="SingleTxtG"/>
        <w:rPr>
          <w:color w:val="000000"/>
          <w:lang w:val="en-US" w:eastAsia="ru-RU"/>
        </w:rPr>
      </w:pPr>
      <w:r w:rsidRPr="00D91701">
        <w:rPr>
          <w:color w:val="000000"/>
          <w:lang w:val="en-US" w:eastAsia="ru-RU"/>
        </w:rPr>
        <w:t>For example: Can the expert, who was appointed by authority of the Russian Federation make a business on the territory o</w:t>
      </w:r>
      <w:r>
        <w:rPr>
          <w:color w:val="000000"/>
          <w:lang w:val="en-US" w:eastAsia="ru-RU"/>
        </w:rPr>
        <w:t xml:space="preserve">f the Czech Republic or </w:t>
      </w:r>
      <w:r w:rsidR="00395832">
        <w:rPr>
          <w:color w:val="000000"/>
          <w:lang w:val="en-US" w:eastAsia="ru-RU"/>
        </w:rPr>
        <w:t>Germany</w:t>
      </w:r>
      <w:r w:rsidR="00395832" w:rsidRPr="00247059">
        <w:rPr>
          <w:color w:val="000000"/>
          <w:lang w:val="en-US" w:eastAsia="ru-RU"/>
        </w:rPr>
        <w:t>?</w:t>
      </w:r>
    </w:p>
    <w:p w:rsidR="00017CB9" w:rsidRPr="00017CB9" w:rsidRDefault="00017CB9" w:rsidP="00017CB9">
      <w:pPr>
        <w:pStyle w:val="SingleTxtG"/>
        <w:spacing w:before="240" w:after="0"/>
        <w:jc w:val="center"/>
        <w:rPr>
          <w:color w:val="000000"/>
          <w:u w:val="single"/>
          <w:lang w:val="en-US" w:eastAsia="ru-RU"/>
        </w:rPr>
      </w:pPr>
      <w:r>
        <w:rPr>
          <w:color w:val="000000"/>
          <w:u w:val="single"/>
          <w:lang w:val="en-US" w:eastAsia="ru-RU"/>
        </w:rPr>
        <w:tab/>
      </w:r>
      <w:r>
        <w:rPr>
          <w:color w:val="000000"/>
          <w:u w:val="single"/>
          <w:lang w:val="en-US" w:eastAsia="ru-RU"/>
        </w:rPr>
        <w:tab/>
      </w:r>
      <w:r>
        <w:rPr>
          <w:color w:val="000000"/>
          <w:u w:val="single"/>
          <w:lang w:val="en-US" w:eastAsia="ru-RU"/>
        </w:rPr>
        <w:tab/>
      </w:r>
    </w:p>
    <w:sectPr w:rsidR="00017CB9" w:rsidRPr="00017CB9" w:rsidSect="00D91701">
      <w:headerReference w:type="even" r:id="rId7"/>
      <w:headerReference w:type="default" r:id="rId8"/>
      <w:footerReference w:type="even" r:id="rId9"/>
      <w:footerReference w:type="default" r:id="rId10"/>
      <w:footerReference w:type="first" r:id="rId11"/>
      <w:pgSz w:w="11906" w:h="16838" w:code="9"/>
      <w:pgMar w:top="1701" w:right="1134" w:bottom="993"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60" w:rsidRDefault="00B00760" w:rsidP="00B00760">
      <w:pPr>
        <w:spacing w:after="0" w:line="240" w:lineRule="auto"/>
      </w:pPr>
      <w:r>
        <w:separator/>
      </w:r>
    </w:p>
  </w:endnote>
  <w:endnote w:type="continuationSeparator" w:id="0">
    <w:p w:rsidR="00B00760" w:rsidRDefault="00B00760" w:rsidP="00B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0" w:rsidRPr="00B00760" w:rsidRDefault="00B00760" w:rsidP="00B00760">
    <w:pPr>
      <w:tabs>
        <w:tab w:val="center" w:pos="4513"/>
        <w:tab w:val="right" w:pos="9026"/>
      </w:tabs>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017CB9">
      <w:rPr>
        <w:rFonts w:ascii="Times New Roman" w:eastAsia="SimSun" w:hAnsi="Times New Roman" w:cs="Times New Roman"/>
        <w:b/>
        <w:noProof/>
        <w:sz w:val="18"/>
        <w:lang w:val="nl-NL" w:eastAsia="zh-CN"/>
      </w:rPr>
      <w:t>2</w:t>
    </w:r>
    <w:r w:rsidRPr="009B0642">
      <w:rPr>
        <w:rFonts w:ascii="Times New Roman" w:eastAsia="SimSun" w:hAnsi="Times New Roman" w:cs="Times New Roman"/>
        <w:b/>
        <w:sz w:val="18"/>
        <w:lang w:val="nl-NL"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0" w:rsidRPr="009B0642"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p w:rsidR="00B00760" w:rsidRDefault="00B00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0" w:rsidRPr="00B00760" w:rsidRDefault="00B00760" w:rsidP="00B00760">
    <w:pPr>
      <w:tabs>
        <w:tab w:val="center" w:pos="4513"/>
        <w:tab w:val="right" w:pos="9026"/>
      </w:tabs>
      <w:jc w:val="right"/>
      <w:rPr>
        <w:rFonts w:ascii="Times New Roman" w:eastAsia="SimSun" w:hAnsi="Times New Roman" w:cs="Times New Roman"/>
        <w:lang w:val="nl-NL" w:eastAsia="zh-CN"/>
      </w:rPr>
    </w:pPr>
    <w:r w:rsidRPr="009B0642">
      <w:rPr>
        <w:rFonts w:ascii="Times New Roman" w:eastAsia="SimSun" w:hAnsi="Times New Roman" w:cs="Times New Roman"/>
        <w:b/>
        <w:sz w:val="18"/>
        <w:lang w:val="nl-NL" w:eastAsia="zh-CN"/>
      </w:rPr>
      <w:fldChar w:fldCharType="begin"/>
    </w:r>
    <w:r w:rsidRPr="009B0642">
      <w:rPr>
        <w:rFonts w:ascii="Times New Roman" w:eastAsia="SimSun" w:hAnsi="Times New Roman" w:cs="Times New Roman"/>
        <w:b/>
        <w:sz w:val="18"/>
        <w:lang w:val="nl-NL" w:eastAsia="zh-CN"/>
      </w:rPr>
      <w:instrText xml:space="preserve"> PAGE  \* MERGEFORMAT </w:instrText>
    </w:r>
    <w:r w:rsidRPr="009B0642">
      <w:rPr>
        <w:rFonts w:ascii="Times New Roman" w:eastAsia="SimSun" w:hAnsi="Times New Roman" w:cs="Times New Roman"/>
        <w:b/>
        <w:sz w:val="18"/>
        <w:lang w:val="nl-NL" w:eastAsia="zh-CN"/>
      </w:rPr>
      <w:fldChar w:fldCharType="separate"/>
    </w:r>
    <w:r w:rsidR="00382356">
      <w:rPr>
        <w:rFonts w:ascii="Times New Roman" w:eastAsia="SimSun" w:hAnsi="Times New Roman" w:cs="Times New Roman"/>
        <w:b/>
        <w:noProof/>
        <w:sz w:val="18"/>
        <w:lang w:val="nl-NL" w:eastAsia="zh-CN"/>
      </w:rPr>
      <w:t>1</w:t>
    </w:r>
    <w:r w:rsidRPr="009B0642">
      <w:rPr>
        <w:rFonts w:ascii="Times New Roman" w:eastAsia="SimSun" w:hAnsi="Times New Roman" w:cs="Times New Roman"/>
        <w:b/>
        <w:sz w:val="18"/>
        <w:lang w:val="nl-NL"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60" w:rsidRDefault="00B00760" w:rsidP="00B00760">
      <w:pPr>
        <w:spacing w:after="0" w:line="240" w:lineRule="auto"/>
      </w:pPr>
      <w:r>
        <w:separator/>
      </w:r>
    </w:p>
  </w:footnote>
  <w:footnote w:type="continuationSeparator" w:id="0">
    <w:p w:rsidR="00B00760" w:rsidRDefault="00B00760" w:rsidP="00B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60" w:rsidRPr="00B00760" w:rsidRDefault="00B00760" w:rsidP="00B00760">
    <w:pPr>
      <w:pStyle w:val="Header"/>
      <w:pBdr>
        <w:bottom w:val="single" w:sz="4" w:space="1" w:color="auto"/>
      </w:pBdr>
      <w:rPr>
        <w:rFonts w:ascii="Times New Roman" w:hAnsi="Times New Roman"/>
        <w:b/>
        <w:sz w:val="18"/>
        <w:szCs w:val="18"/>
        <w:lang w:val="fr-CH"/>
      </w:rPr>
    </w:pPr>
    <w:r>
      <w:rPr>
        <w:rFonts w:ascii="Times New Roman" w:hAnsi="Times New Roman"/>
        <w:b/>
        <w:sz w:val="18"/>
        <w:szCs w:val="18"/>
        <w:lang w:val="fr-CH"/>
      </w:rPr>
      <w:t>INF.16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19F1"/>
    <w:multiLevelType w:val="hybridMultilevel"/>
    <w:tmpl w:val="4A2024D2"/>
    <w:lvl w:ilvl="0" w:tplc="7686935A">
      <w:start w:val="1"/>
      <w:numFmt w:val="lowerRoman"/>
      <w:lvlText w:val="(%1)"/>
      <w:lvlJc w:val="left"/>
      <w:pPr>
        <w:ind w:left="1987" w:hanging="72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84"/>
    <w:rsid w:val="00017CB9"/>
    <w:rsid w:val="00056536"/>
    <w:rsid w:val="00092292"/>
    <w:rsid w:val="000C26D8"/>
    <w:rsid w:val="00136941"/>
    <w:rsid w:val="00185C3D"/>
    <w:rsid w:val="00247059"/>
    <w:rsid w:val="003372CA"/>
    <w:rsid w:val="00382356"/>
    <w:rsid w:val="00395832"/>
    <w:rsid w:val="00490B84"/>
    <w:rsid w:val="00572B6C"/>
    <w:rsid w:val="005D25C5"/>
    <w:rsid w:val="006A07C0"/>
    <w:rsid w:val="00736B63"/>
    <w:rsid w:val="00753B4B"/>
    <w:rsid w:val="00951DB2"/>
    <w:rsid w:val="00954FBD"/>
    <w:rsid w:val="0096146A"/>
    <w:rsid w:val="009A3926"/>
    <w:rsid w:val="00AA1084"/>
    <w:rsid w:val="00AF0AAD"/>
    <w:rsid w:val="00AF7558"/>
    <w:rsid w:val="00B00760"/>
    <w:rsid w:val="00B21958"/>
    <w:rsid w:val="00C41360"/>
    <w:rsid w:val="00D10CC5"/>
    <w:rsid w:val="00D91701"/>
    <w:rsid w:val="00FA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0306BF"/>
  <w15:docId w15:val="{C360FA6B-66C0-407A-8BB7-8A0E81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C4136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paragraph" w:customStyle="1" w:styleId="Bullet1">
    <w:name w:val="Bullet 1"/>
    <w:basedOn w:val="Normal"/>
    <w:qFormat/>
    <w:rsid w:val="00C41360"/>
    <w:pPr>
      <w:numPr>
        <w:numId w:val="1"/>
      </w:numPr>
      <w:tabs>
        <w:tab w:val="left" w:pos="2217"/>
      </w:tabs>
      <w:suppressAutoHyphens/>
      <w:spacing w:after="120" w:line="240" w:lineRule="atLeast"/>
      <w:ind w:left="1743" w:right="1267" w:hanging="130"/>
      <w:jc w:val="both"/>
    </w:pPr>
    <w:rPr>
      <w:rFonts w:ascii="Times New Roman" w:eastAsiaTheme="minorEastAsia" w:hAnsi="Times New Roman" w:cs="Times New Roman"/>
      <w:spacing w:val="4"/>
      <w:w w:val="103"/>
      <w:kern w:val="14"/>
      <w:sz w:val="20"/>
      <w:szCs w:val="20"/>
      <w:lang w:eastAsia="zh-CN"/>
    </w:rPr>
  </w:style>
  <w:style w:type="paragraph" w:customStyle="1" w:styleId="Default">
    <w:name w:val="Default"/>
    <w:rsid w:val="006A0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R">
    <w:name w:val="_ H _Ch_GR"/>
    <w:basedOn w:val="Normal"/>
    <w:next w:val="Normal"/>
    <w:rsid w:val="006A07C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val="ru-RU" w:eastAsia="ru-RU"/>
    </w:rPr>
  </w:style>
  <w:style w:type="paragraph" w:customStyle="1" w:styleId="H1G">
    <w:name w:val="_ H_1_G"/>
    <w:basedOn w:val="Normal"/>
    <w:next w:val="Normal"/>
    <w:rsid w:val="006A07C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SingleTxtG">
    <w:name w:val="_ Single Txt_G"/>
    <w:basedOn w:val="Normal"/>
    <w:link w:val="SingleTxtGChar"/>
    <w:rsid w:val="006A07C0"/>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6A07C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0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760"/>
  </w:style>
  <w:style w:type="paragraph" w:styleId="Footer">
    <w:name w:val="footer"/>
    <w:basedOn w:val="Normal"/>
    <w:link w:val="FooterChar"/>
    <w:uiPriority w:val="99"/>
    <w:unhideWhenUsed/>
    <w:rsid w:val="00B0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760"/>
  </w:style>
  <w:style w:type="paragraph" w:styleId="BalloonText">
    <w:name w:val="Balloon Text"/>
    <w:basedOn w:val="Normal"/>
    <w:link w:val="BalloonTextChar"/>
    <w:uiPriority w:val="99"/>
    <w:semiHidden/>
    <w:unhideWhenUsed/>
    <w:rsid w:val="00B2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947">
      <w:bodyDiv w:val="1"/>
      <w:marLeft w:val="0"/>
      <w:marRight w:val="0"/>
      <w:marTop w:val="0"/>
      <w:marBottom w:val="0"/>
      <w:divBdr>
        <w:top w:val="none" w:sz="0" w:space="0" w:color="auto"/>
        <w:left w:val="none" w:sz="0" w:space="0" w:color="auto"/>
        <w:bottom w:val="none" w:sz="0" w:space="0" w:color="auto"/>
        <w:right w:val="none" w:sz="0" w:space="0" w:color="auto"/>
      </w:divBdr>
      <w:divsChild>
        <w:div w:id="1093941117">
          <w:marLeft w:val="0"/>
          <w:marRight w:val="0"/>
          <w:marTop w:val="0"/>
          <w:marBottom w:val="0"/>
          <w:divBdr>
            <w:top w:val="none" w:sz="0" w:space="0" w:color="auto"/>
            <w:left w:val="none" w:sz="0" w:space="0" w:color="auto"/>
            <w:bottom w:val="none" w:sz="0" w:space="0" w:color="auto"/>
            <w:right w:val="none" w:sz="0" w:space="0" w:color="auto"/>
          </w:divBdr>
        </w:div>
        <w:div w:id="1049761081">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 w:id="8153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1842</Characters>
  <Application>Microsoft Office Word</Application>
  <DocSecurity>0</DocSecurity>
  <Lines>15</Lines>
  <Paragraphs>4</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deputter</dc:creator>
  <cp:lastModifiedBy>Lucille Caillot</cp:lastModifiedBy>
  <cp:revision>5</cp:revision>
  <cp:lastPrinted>2016-09-29T13:18:00Z</cp:lastPrinted>
  <dcterms:created xsi:type="dcterms:W3CDTF">2016-09-30T12:19:00Z</dcterms:created>
  <dcterms:modified xsi:type="dcterms:W3CDTF">2016-09-30T12:49:00Z</dcterms:modified>
</cp:coreProperties>
</file>