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AA74AB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A74AB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AA74AB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AA74AB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fldSimple w:instr=" FILLIN  &quot;Введите символ после ЕCE/&quot;  \* MERGEFORMAT ">
              <w:r w:rsidR="00C2256C">
                <w:t>TRANS/254/Add.1</w:t>
              </w:r>
            </w:fldSimple>
            <w:r w:rsidRPr="00245892">
              <w:t xml:space="preserve">                  </w:t>
            </w:r>
          </w:p>
        </w:tc>
      </w:tr>
      <w:tr w:rsidR="00A658DB" w:rsidRPr="00245892" w:rsidTr="00AA74AB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A74AB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AA74AB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AA74AB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66840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AA74AB">
            <w:fldSimple w:instr=" FILLIN  &quot;Введите дату документа&quot; \* MERGEFORMAT ">
              <w:r w:rsidR="00C2256C">
                <w:t>20 May 2016</w:t>
              </w:r>
            </w:fldSimple>
          </w:p>
          <w:p w:rsidR="00A658DB" w:rsidRPr="00245892" w:rsidRDefault="00A658DB" w:rsidP="00AA74AB">
            <w:r w:rsidRPr="00245892">
              <w:t>Russian</w:t>
            </w:r>
          </w:p>
          <w:p w:rsidR="00A658DB" w:rsidRPr="00245892" w:rsidRDefault="00A658DB" w:rsidP="00AA74AB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66840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AA74AB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AA74AB" w:rsidRPr="00AA74AB" w:rsidRDefault="00AA74AB" w:rsidP="00AA74AB">
      <w:pPr>
        <w:pStyle w:val="SingleTxtGR"/>
        <w:spacing w:before="120"/>
        <w:ind w:left="0"/>
        <w:jc w:val="left"/>
        <w:rPr>
          <w:sz w:val="28"/>
          <w:szCs w:val="28"/>
        </w:rPr>
      </w:pPr>
      <w:r w:rsidRPr="00AA74AB">
        <w:rPr>
          <w:sz w:val="28"/>
          <w:szCs w:val="28"/>
        </w:rPr>
        <w:t>Комитет по внутреннему транспорту</w:t>
      </w:r>
    </w:p>
    <w:p w:rsidR="00AA74AB" w:rsidRPr="00AA74AB" w:rsidRDefault="00AA74AB" w:rsidP="00AA74AB">
      <w:pPr>
        <w:pStyle w:val="SingleTxtGR"/>
        <w:ind w:left="0"/>
        <w:jc w:val="left"/>
        <w:rPr>
          <w:b/>
          <w:bCs/>
        </w:rPr>
      </w:pPr>
      <w:r w:rsidRPr="00AA74AB">
        <w:rPr>
          <w:b/>
          <w:bCs/>
        </w:rPr>
        <w:t>Семьдесят восьмая сессия</w:t>
      </w:r>
      <w:r w:rsidRPr="00AA74AB">
        <w:rPr>
          <w:b/>
          <w:bCs/>
        </w:rPr>
        <w:br/>
      </w:r>
      <w:r w:rsidRPr="00AA74AB">
        <w:t>Женева, 23</w:t>
      </w:r>
      <w:r w:rsidR="000B648F">
        <w:t>–</w:t>
      </w:r>
      <w:r w:rsidRPr="00AA74AB">
        <w:t>26 февраля 2016 года</w:t>
      </w:r>
    </w:p>
    <w:p w:rsidR="00AA74AB" w:rsidRPr="00AA74AB" w:rsidRDefault="00AA74AB" w:rsidP="00AA74AB">
      <w:pPr>
        <w:pStyle w:val="HChGR"/>
      </w:pPr>
      <w:r w:rsidRPr="00AA74AB">
        <w:tab/>
      </w:r>
      <w:r w:rsidRPr="00AA74AB">
        <w:tab/>
        <w:t xml:space="preserve">Доклад Комитета по внутреннему транспорту </w:t>
      </w:r>
      <w:r w:rsidRPr="00AA74AB">
        <w:br/>
        <w:t>о работе его семьдесят восьмой сессии</w:t>
      </w:r>
    </w:p>
    <w:p w:rsidR="00AA74AB" w:rsidRPr="00AA74AB" w:rsidRDefault="00AA74AB" w:rsidP="00AA74AB">
      <w:pPr>
        <w:pStyle w:val="H1GR"/>
      </w:pPr>
      <w:r w:rsidRPr="00AA74AB">
        <w:tab/>
      </w:r>
      <w:r w:rsidRPr="00AA74AB">
        <w:tab/>
        <w:t xml:space="preserve">Добавление </w:t>
      </w:r>
    </w:p>
    <w:p w:rsidR="00AA74AB" w:rsidRDefault="00AA74AB" w:rsidP="00AA74AB">
      <w:pPr>
        <w:pStyle w:val="SingleTxtGR"/>
        <w:suppressAutoHyphens/>
        <w:ind w:left="0" w:right="0"/>
        <w:jc w:val="left"/>
        <w:rPr>
          <w:sz w:val="28"/>
        </w:rPr>
      </w:pPr>
      <w:r>
        <w:rPr>
          <w:sz w:val="28"/>
        </w:rPr>
        <w:t>Содержание</w:t>
      </w:r>
    </w:p>
    <w:p w:rsidR="00AA74AB" w:rsidRDefault="00AA74AB" w:rsidP="00AA74A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AA74AB" w:rsidRPr="00AA74AB" w:rsidRDefault="00AA74AB" w:rsidP="00AA74A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AA74AB">
        <w:tab/>
        <w:t>Приложения</w:t>
      </w:r>
    </w:p>
    <w:p w:rsidR="00AA74AB" w:rsidRPr="00AA74AB" w:rsidRDefault="00AA74AB" w:rsidP="00AA74A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AA74AB">
        <w:tab/>
        <w:t>I.</w:t>
      </w:r>
      <w:r w:rsidRPr="00AA74AB">
        <w:tab/>
        <w:t>Сегме</w:t>
      </w:r>
      <w:r w:rsidR="00333189">
        <w:t>нт по вопросам политики на тему</w:t>
      </w:r>
      <w:r w:rsidRPr="00AA74AB">
        <w:t xml:space="preserve"> </w:t>
      </w:r>
      <w:r>
        <w:t>«</w:t>
      </w:r>
      <w:r w:rsidRPr="00AA74AB">
        <w:t xml:space="preserve">Инновации для устойчивого </w:t>
      </w:r>
      <w:r w:rsidRPr="00AA74AB">
        <w:br/>
      </w:r>
      <w:r w:rsidRPr="00AA74AB">
        <w:tab/>
      </w:r>
      <w:r w:rsidRPr="00AA74AB">
        <w:tab/>
        <w:t>внутреннего транспорта с уделением особого внимания информационно-</w:t>
      </w:r>
      <w:r w:rsidRPr="00AA74AB">
        <w:br/>
      </w:r>
      <w:r w:rsidRPr="00AA74AB">
        <w:tab/>
      </w:r>
      <w:r w:rsidRPr="00AA74AB">
        <w:tab/>
        <w:t>коммуникационны</w:t>
      </w:r>
      <w:r w:rsidR="00C95751">
        <w:t>м</w:t>
      </w:r>
      <w:r w:rsidRPr="00AA74AB">
        <w:t xml:space="preserve"> технологиям</w:t>
      </w:r>
      <w:r>
        <w:t>»</w:t>
      </w:r>
      <w:r w:rsidRPr="00AA74AB">
        <w:t xml:space="preserve"> (23 февраля 2016 года)</w:t>
      </w:r>
      <w:r w:rsidRPr="00AA74AB">
        <w:tab/>
      </w:r>
      <w:r w:rsidRPr="00AA74AB">
        <w:tab/>
      </w:r>
      <w:r w:rsidR="00AC4946">
        <w:t>2</w:t>
      </w:r>
    </w:p>
    <w:p w:rsidR="00AA74AB" w:rsidRPr="00AA74AB" w:rsidRDefault="00AA74AB" w:rsidP="00AA74AB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 w:rsidRPr="00AA74AB">
        <w:tab/>
        <w:t>II.</w:t>
      </w:r>
      <w:r w:rsidRPr="00AA74AB">
        <w:tab/>
        <w:t xml:space="preserve">Доклад о работе шестого совещания председателей вспомогательных органов </w:t>
      </w:r>
      <w:r w:rsidRPr="00AA74AB">
        <w:br/>
      </w:r>
      <w:r w:rsidRPr="00AA74AB">
        <w:tab/>
      </w:r>
      <w:r w:rsidRPr="00AA74AB">
        <w:tab/>
        <w:t>Комитета и административных комитетов правовых документов Организации</w:t>
      </w:r>
      <w:r w:rsidRPr="00AA74AB">
        <w:br/>
      </w:r>
      <w:r w:rsidRPr="00AA74AB">
        <w:tab/>
      </w:r>
      <w:r w:rsidRPr="00AA74AB">
        <w:tab/>
        <w:t xml:space="preserve">Объединенных Наций </w:t>
      </w:r>
      <w:r w:rsidR="00C95751">
        <w:t>по</w:t>
      </w:r>
      <w:r w:rsidRPr="00AA74AB">
        <w:t xml:space="preserve"> транспорт</w:t>
      </w:r>
      <w:r w:rsidR="00C95751">
        <w:t>у</w:t>
      </w:r>
      <w:r w:rsidRPr="00AA74AB">
        <w:t xml:space="preserve">, обслуживаемых ЕЭК ООН (совещание </w:t>
      </w:r>
      <w:r w:rsidR="00333189">
        <w:br/>
      </w:r>
      <w:r w:rsidR="00333189">
        <w:tab/>
      </w:r>
      <w:r w:rsidR="00333189">
        <w:tab/>
      </w:r>
      <w:r w:rsidR="00C95751">
        <w:t xml:space="preserve">с ограниченным участием – </w:t>
      </w:r>
      <w:r w:rsidRPr="00AA74AB">
        <w:t xml:space="preserve">только для </w:t>
      </w:r>
      <w:r w:rsidR="00C95751">
        <w:t xml:space="preserve">делегатов от </w:t>
      </w:r>
      <w:r w:rsidRPr="00AA74AB">
        <w:t>правительств)</w:t>
      </w:r>
      <w:r w:rsidRPr="00AA74AB">
        <w:tab/>
      </w:r>
      <w:r w:rsidRPr="00AA74AB">
        <w:tab/>
      </w:r>
      <w:r w:rsidR="00AC4946">
        <w:t>9</w:t>
      </w:r>
    </w:p>
    <w:p w:rsidR="00AA74AB" w:rsidRPr="00AA74AB" w:rsidRDefault="00AA74AB" w:rsidP="00AA74AB">
      <w:pPr>
        <w:pStyle w:val="SingleTxtGR"/>
      </w:pPr>
      <w:r w:rsidRPr="00AA74AB">
        <w:br w:type="page"/>
      </w:r>
    </w:p>
    <w:p w:rsidR="00AA74AB" w:rsidRPr="00AA74AB" w:rsidRDefault="00AA74AB" w:rsidP="00AA74AB">
      <w:pPr>
        <w:pStyle w:val="HChGR"/>
      </w:pPr>
      <w:r w:rsidRPr="00AA74AB">
        <w:lastRenderedPageBreak/>
        <w:t>Приложение I</w:t>
      </w:r>
    </w:p>
    <w:p w:rsidR="00AA74AB" w:rsidRPr="00AA74AB" w:rsidRDefault="00AA74AB" w:rsidP="00AA74AB">
      <w:pPr>
        <w:pStyle w:val="HChGR"/>
      </w:pPr>
      <w:r w:rsidRPr="00AA74AB">
        <w:tab/>
      </w:r>
      <w:r w:rsidRPr="00FE1FEC">
        <w:tab/>
      </w:r>
      <w:r w:rsidRPr="00AA74AB">
        <w:t xml:space="preserve">Сегмент по вопросам политики на тему </w:t>
      </w:r>
      <w:r w:rsidR="000B648F">
        <w:br/>
      </w:r>
      <w:r>
        <w:t>«</w:t>
      </w:r>
      <w:r w:rsidRPr="00AA74AB">
        <w:t xml:space="preserve">Инновации для устойчивого внутреннего </w:t>
      </w:r>
      <w:r w:rsidR="00C95751">
        <w:br/>
      </w:r>
      <w:r w:rsidRPr="00AA74AB">
        <w:t>транспорта с уделением особого внимания информационно-коммуникационным технологиям</w:t>
      </w:r>
      <w:r>
        <w:t>»</w:t>
      </w:r>
      <w:r w:rsidRPr="00AA74AB">
        <w:t xml:space="preserve"> </w:t>
      </w:r>
      <w:r>
        <w:br/>
      </w:r>
      <w:r w:rsidRPr="00AA74AB">
        <w:t>(23 февраля 2016 года)</w:t>
      </w:r>
    </w:p>
    <w:p w:rsidR="00AA74AB" w:rsidRPr="00AA74AB" w:rsidRDefault="00AA74AB" w:rsidP="00AA74AB">
      <w:pPr>
        <w:pStyle w:val="H1GR"/>
      </w:pPr>
      <w:r w:rsidRPr="00AA74AB">
        <w:tab/>
      </w:r>
      <w:r w:rsidRPr="00AA74AB">
        <w:tab/>
        <w:t>Выводы координатора обсуждения</w:t>
      </w:r>
    </w:p>
    <w:p w:rsidR="00AA74AB" w:rsidRPr="00AA74AB" w:rsidRDefault="00AA74AB" w:rsidP="00AA74AB">
      <w:pPr>
        <w:pStyle w:val="HChGR"/>
      </w:pPr>
      <w:r w:rsidRPr="00AA74AB">
        <w:tab/>
        <w:t>I.</w:t>
      </w:r>
      <w:r w:rsidRPr="00AA74AB">
        <w:tab/>
        <w:t>Введение</w:t>
      </w:r>
    </w:p>
    <w:p w:rsidR="00AA74AB" w:rsidRPr="00AA74AB" w:rsidRDefault="00AA74AB" w:rsidP="00AA74AB">
      <w:pPr>
        <w:pStyle w:val="SingleTxtGR"/>
      </w:pPr>
      <w:r w:rsidRPr="00AA74AB">
        <w:t>1.</w:t>
      </w:r>
      <w:r w:rsidRPr="00AA74AB">
        <w:tab/>
        <w:t>Сегмент высокого уровня по вопросам политики открыл г-н Христиан Фриис Бах, Исполнительный секретарь ЕЭК ООН. После вступительных зая</w:t>
      </w:r>
      <w:r w:rsidRPr="00AA74AB">
        <w:t>в</w:t>
      </w:r>
      <w:r w:rsidRPr="00AA74AB">
        <w:t xml:space="preserve">лений глобальное исследование </w:t>
      </w:r>
      <w:r>
        <w:t>«</w:t>
      </w:r>
      <w:r w:rsidRPr="00AA74AB">
        <w:t>Транспорт в интересах устойчивого развития: внутренний транспорт</w:t>
      </w:r>
      <w:r>
        <w:t>»</w:t>
      </w:r>
      <w:r w:rsidRPr="00AA74AB">
        <w:t xml:space="preserve"> представили руководители трех из его основных учас</w:t>
      </w:r>
      <w:r w:rsidRPr="00AA74AB">
        <w:t>т</w:t>
      </w:r>
      <w:r w:rsidRPr="00AA74AB">
        <w:t>ников: г-жа Эва Мольнар, директор Отдела устойчивого транспорта ЕЭК ООН, г-н Умберто де Претто, Генеральный секретарь Международного союза автом</w:t>
      </w:r>
      <w:r w:rsidRPr="00AA74AB">
        <w:t>о</w:t>
      </w:r>
      <w:r w:rsidRPr="00AA74AB">
        <w:t xml:space="preserve">бильного транспорта (МСАТ) и г-н Жан-Пьер Лубину, Генеральный директор Международного союза железных дорог (МСЖД). Это исследование является результатом сотрудничества пяти региональных комиссий Организации </w:t>
      </w:r>
      <w:r w:rsidR="00F619BD">
        <w:br/>
      </w:r>
      <w:r w:rsidRPr="00AA74AB">
        <w:t>Объединенных Наций и ключевых глобальных партнеров, в частности МСАТ и МСЖД, и проводилось под руководством ЕЭК ООН. Исследование посвящено обзору проблем, состояния дел и трудностей в международных усилиях по обеспечению перехода к устойчивой внутренней мобильности людей и грузов и является первым исследованием такого рода, которое носит глобальный хара</w:t>
      </w:r>
      <w:r w:rsidRPr="00AA74AB">
        <w:t>к</w:t>
      </w:r>
      <w:r w:rsidRPr="00AA74AB">
        <w:t>тер и содержит анализ передовой практики и вызовов, существующих в самых разных частях земного шара. В исследовании выделены пять определяющих аспектов устойчивого развития транспорта: доступность, разумная цена, бе</w:t>
      </w:r>
      <w:r w:rsidRPr="00AA74AB">
        <w:t>з</w:t>
      </w:r>
      <w:r w:rsidRPr="00AA74AB">
        <w:t>опасность, физическая безопасность и экологическая эффективность.</w:t>
      </w:r>
    </w:p>
    <w:p w:rsidR="00AA74AB" w:rsidRPr="00AA74AB" w:rsidRDefault="00AA74AB" w:rsidP="00AA74AB">
      <w:pPr>
        <w:pStyle w:val="SingleTxtGR"/>
      </w:pPr>
      <w:r w:rsidRPr="00AA74AB">
        <w:t>2.</w:t>
      </w:r>
      <w:r w:rsidRPr="00AA74AB">
        <w:tab/>
        <w:t>Координатором обсуждения в сегменте по вопросам политики, состоя</w:t>
      </w:r>
      <w:r w:rsidRPr="00AA74AB">
        <w:t>в</w:t>
      </w:r>
      <w:r w:rsidRPr="00AA74AB">
        <w:t xml:space="preserve">шем из трех заседаний, выступил г-н Рассел Шилдз, Председатель правления компании </w:t>
      </w:r>
      <w:r>
        <w:t>«</w:t>
      </w:r>
      <w:r w:rsidRPr="00AA74AB">
        <w:t>Игоми</w:t>
      </w:r>
      <w:r>
        <w:t>»</w:t>
      </w:r>
      <w:r w:rsidRPr="00AA74AB">
        <w:t>, член Совета директоров Всемирного конгресса по ИТС, с</w:t>
      </w:r>
      <w:r w:rsidRPr="00AA74AB">
        <w:t>о</w:t>
      </w:r>
      <w:r w:rsidRPr="00AA74AB">
        <w:t xml:space="preserve">основатель и член правления </w:t>
      </w:r>
      <w:r>
        <w:t>«</w:t>
      </w:r>
      <w:r w:rsidRPr="00AA74AB">
        <w:t>ИТС − Америка</w:t>
      </w:r>
      <w:r>
        <w:t>»</w:t>
      </w:r>
      <w:r w:rsidRPr="00AA74AB">
        <w:t>.</w:t>
      </w:r>
    </w:p>
    <w:p w:rsidR="00AA74AB" w:rsidRPr="00AA74AB" w:rsidRDefault="00AA74AB" w:rsidP="00AA74AB">
      <w:pPr>
        <w:pStyle w:val="SingleTxtGR"/>
      </w:pPr>
      <w:r w:rsidRPr="00AA74AB">
        <w:t>3.</w:t>
      </w:r>
      <w:r w:rsidRPr="00AA74AB">
        <w:tab/>
        <w:t xml:space="preserve">C основным докладом на открытии первого заседания </w:t>
      </w:r>
      <w:r>
        <w:t>«</w:t>
      </w:r>
      <w:r w:rsidRPr="00AA74AB">
        <w:t>Всеобщий д</w:t>
      </w:r>
      <w:r w:rsidRPr="00AA74AB">
        <w:t>о</w:t>
      </w:r>
      <w:r w:rsidRPr="00AA74AB">
        <w:t>ступ: роль правительств в деле всестороннего использования потенциала транспортных инноваций</w:t>
      </w:r>
      <w:r>
        <w:t>»</w:t>
      </w:r>
      <w:r w:rsidRPr="00AA74AB">
        <w:t xml:space="preserve"> выступил г-н Барт ван Больюс, директор по межд</w:t>
      </w:r>
      <w:r w:rsidRPr="00AA74AB">
        <w:t>у</w:t>
      </w:r>
      <w:r w:rsidRPr="00AA74AB">
        <w:t>народным делам в Министерстве инфраструктуры и окружающей среды Ниде</w:t>
      </w:r>
      <w:r w:rsidRPr="00AA74AB">
        <w:t>р</w:t>
      </w:r>
      <w:r w:rsidRPr="00AA74AB">
        <w:t>ландов, который рассказал о приоритетах председательства Нидерландов в ЕС. После его выступления с сообщением выступил профессор Эльмар Фюрст, И</w:t>
      </w:r>
      <w:r w:rsidRPr="00AA74AB">
        <w:t>н</w:t>
      </w:r>
      <w:r w:rsidRPr="00AA74AB">
        <w:t xml:space="preserve">ститут управления на транспорте и в сфере логистики, Венский университет экономики и бизнеса. Второе заседание </w:t>
      </w:r>
      <w:r>
        <w:t>«</w:t>
      </w:r>
      <w:r w:rsidRPr="00AA74AB">
        <w:t>Точка за точкой: взаимодействие и д</w:t>
      </w:r>
      <w:r w:rsidRPr="00AA74AB">
        <w:t>о</w:t>
      </w:r>
      <w:r w:rsidRPr="00AA74AB">
        <w:t>ступ для расширения мобильности пассажиров в будущем</w:t>
      </w:r>
      <w:r>
        <w:t>»</w:t>
      </w:r>
      <w:r w:rsidRPr="00AA74AB">
        <w:t xml:space="preserve"> открыл г-н Ален Флауш, Генеральный секретарь, МСОТ, после чего выступили г-н Леон Ридзи, </w:t>
      </w:r>
      <w:r>
        <w:t>«</w:t>
      </w:r>
      <w:r w:rsidRPr="00AA74AB">
        <w:t>ВП сейлз ЕМЕА, ИНРИКС</w:t>
      </w:r>
      <w:r>
        <w:t>»</w:t>
      </w:r>
      <w:r w:rsidRPr="00AA74AB">
        <w:t xml:space="preserve">, и г-н Эрве Ришард, директор отдела перевозок </w:t>
      </w:r>
      <w:r>
        <w:t>«</w:t>
      </w:r>
      <w:r w:rsidRPr="00AA74AB">
        <w:t>от двери до двери</w:t>
      </w:r>
      <w:r>
        <w:t>»</w:t>
      </w:r>
      <w:r w:rsidRPr="00AA74AB">
        <w:t xml:space="preserve"> НОЖДФ. Третье заседание </w:t>
      </w:r>
      <w:r>
        <w:t>«</w:t>
      </w:r>
      <w:r w:rsidRPr="00AA74AB">
        <w:t>Точка за точкой: взаимоде</w:t>
      </w:r>
      <w:r w:rsidRPr="00AA74AB">
        <w:t>й</w:t>
      </w:r>
      <w:r w:rsidRPr="00AA74AB">
        <w:t>ствие и доступ – аспект логистики</w:t>
      </w:r>
      <w:r>
        <w:t>»</w:t>
      </w:r>
      <w:r w:rsidRPr="00AA74AB">
        <w:t xml:space="preserve"> открыл г-н Петер Фюглишталер, директор Федерального управления транспорта Швейцарии, а затем выступили г-н Клод Пфовадел, руководитель Отдела перевозок опасных грузов, MEДДE, и Предс</w:t>
      </w:r>
      <w:r w:rsidRPr="00AA74AB">
        <w:t>е</w:t>
      </w:r>
      <w:r w:rsidRPr="00AA74AB">
        <w:lastRenderedPageBreak/>
        <w:t>датель WP.15/AC.1, и г-н Вим Ван Геффен, руководитель международного отд</w:t>
      </w:r>
      <w:r w:rsidRPr="00AA74AB">
        <w:t>е</w:t>
      </w:r>
      <w:r w:rsidRPr="00AA74AB">
        <w:t xml:space="preserve">ла товародвижения компании </w:t>
      </w:r>
      <w:r>
        <w:t>«</w:t>
      </w:r>
      <w:r w:rsidRPr="00AA74AB">
        <w:t>Нестле</w:t>
      </w:r>
      <w:r>
        <w:t>»</w:t>
      </w:r>
      <w:r w:rsidRPr="00AA74AB">
        <w:t>.</w:t>
      </w:r>
    </w:p>
    <w:p w:rsidR="00AA74AB" w:rsidRPr="00AA74AB" w:rsidRDefault="00AA74AB" w:rsidP="00AA74AB">
      <w:pPr>
        <w:pStyle w:val="SingleTxtGR"/>
      </w:pPr>
      <w:r w:rsidRPr="00AA74AB">
        <w:t>4.</w:t>
      </w:r>
      <w:r w:rsidRPr="00AA74AB">
        <w:tab/>
        <w:t>После основных докладов с запланированными сообщениями выступили следующие делегаты:</w:t>
      </w:r>
    </w:p>
    <w:p w:rsidR="00AA74AB" w:rsidRPr="00AA74AB" w:rsidRDefault="00AA74AB" w:rsidP="00AA74AB">
      <w:pPr>
        <w:pStyle w:val="SingleTxtGR"/>
      </w:pPr>
      <w:r>
        <w:tab/>
      </w:r>
      <w:r w:rsidRPr="00AA74AB">
        <w:t>а)</w:t>
      </w:r>
      <w:r w:rsidRPr="00AA74AB">
        <w:tab/>
        <w:t xml:space="preserve">Заседание I: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 xml:space="preserve">-н Йон-Орель Станчу, государственный секретарь, Министерство транспорта, Румыния;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 xml:space="preserve">-жа Минна Кивимаки, Генеральный директор, Министерство транспорта и коммуникаций, департамент услуг, Финляндия;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-жа Мария Сеги Гомес, Генеральный директор по вопросам тран</w:t>
      </w:r>
      <w:r w:rsidR="00AA74AB" w:rsidRPr="00AA74AB">
        <w:t>с</w:t>
      </w:r>
      <w:r w:rsidR="00AA74AB" w:rsidRPr="00AA74AB">
        <w:t xml:space="preserve">порта, Министерство внутренних дел, Испания;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-жа Теописти Перка, Генеральный секретарь, Министерство и</w:t>
      </w:r>
      <w:r w:rsidR="00AA74AB" w:rsidRPr="00AA74AB">
        <w:t>н</w:t>
      </w:r>
      <w:r w:rsidR="00AA74AB" w:rsidRPr="00AA74AB">
        <w:t xml:space="preserve">фраструктуры, транспорта и сетей сообщения, Греция;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-жа Клэр Депре, руководитель Отдела ИТС, ГД по мобильности и транспорту; и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-жа Эрмелинда Мекси, заместитель координатора/руководителя, Отдел экономической деятельности, ОБСЕ.</w:t>
      </w:r>
    </w:p>
    <w:p w:rsidR="00AA74AB" w:rsidRPr="00AA74AB" w:rsidRDefault="00AA74AB" w:rsidP="00AA74AB">
      <w:pPr>
        <w:pStyle w:val="SingleTxtGR"/>
      </w:pPr>
      <w:r>
        <w:tab/>
      </w:r>
      <w:r w:rsidRPr="00AA74AB">
        <w:t>b)</w:t>
      </w:r>
      <w:r w:rsidRPr="00AA74AB">
        <w:tab/>
        <w:t xml:space="preserve">Заседание II: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 xml:space="preserve">-н Эндрю Маккелла, Генеральный секретарь ФИА по вопросам мобильности;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 xml:space="preserve">-жа Карен Ванклюзен, Генеральный секретарь, </w:t>
      </w:r>
      <w:r w:rsidR="00AA74AB">
        <w:t>«</w:t>
      </w:r>
      <w:r w:rsidR="00AA74AB" w:rsidRPr="00AA74AB">
        <w:t>Полис</w:t>
      </w:r>
      <w:r w:rsidR="00AA74AB">
        <w:t>»</w:t>
      </w:r>
      <w:r w:rsidR="00AA74AB" w:rsidRPr="00AA74AB">
        <w:t xml:space="preserve">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-н Эдуард Фернандес, Исполнительный директор, Междунаро</w:t>
      </w:r>
      <w:r w:rsidR="00AA74AB" w:rsidRPr="00AA74AB">
        <w:t>д</w:t>
      </w:r>
      <w:r w:rsidR="00AA74AB" w:rsidRPr="00AA74AB">
        <w:t>ный комитет по техническому осмотру механических транспор</w:t>
      </w:r>
      <w:r w:rsidR="00AA74AB" w:rsidRPr="00AA74AB">
        <w:t>т</w:t>
      </w:r>
      <w:r w:rsidR="00AA74AB" w:rsidRPr="00AA74AB">
        <w:t xml:space="preserve">ных средств (МКТОТ); и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-н Герт ван Вэг, президент, Международная федерация пешеходов (письменное обращение)</w:t>
      </w:r>
      <w:r w:rsidR="00D42D0B">
        <w:t>.</w:t>
      </w:r>
      <w:r w:rsidR="00AA74AB" w:rsidRPr="00AA74AB">
        <w:t xml:space="preserve"> </w:t>
      </w:r>
    </w:p>
    <w:p w:rsidR="00AA74AB" w:rsidRPr="00AA74AB" w:rsidRDefault="00AA74AB" w:rsidP="00AA74AB">
      <w:pPr>
        <w:pStyle w:val="SingleTxtGR"/>
      </w:pPr>
      <w:r>
        <w:tab/>
      </w:r>
      <w:r w:rsidRPr="00AA74AB">
        <w:t>c)</w:t>
      </w:r>
      <w:r w:rsidRPr="00AA74AB">
        <w:tab/>
        <w:t xml:space="preserve">Заседание III: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-н Сергей Аристов, статс-секретарь, заместитель министра, Мин</w:t>
      </w:r>
      <w:r w:rsidR="00AA74AB" w:rsidRPr="00AA74AB">
        <w:t>и</w:t>
      </w:r>
      <w:r w:rsidR="00AA74AB" w:rsidRPr="00AA74AB">
        <w:t xml:space="preserve">стерство транспорта Российской Федерации;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-н Тадеуш Шозда, Председатель, Комитет Организации сотрудн</w:t>
      </w:r>
      <w:r w:rsidR="00AA74AB" w:rsidRPr="00AA74AB">
        <w:t>и</w:t>
      </w:r>
      <w:r w:rsidR="00AA74AB" w:rsidRPr="00AA74AB">
        <w:t xml:space="preserve">чества железных дорог (ОСЖД);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-жа Регина Асариотис, начальник Секции политики и законод</w:t>
      </w:r>
      <w:r w:rsidR="00AA74AB" w:rsidRPr="00AA74AB">
        <w:t>а</w:t>
      </w:r>
      <w:r w:rsidR="00AA74AB" w:rsidRPr="00AA74AB">
        <w:t xml:space="preserve">тельства, ЮНКТАД;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 xml:space="preserve">-н Мирча Чопрага, Генеральный секретарь, ТРАСЕКА; и </w:t>
      </w:r>
    </w:p>
    <w:p w:rsidR="00AA74AB" w:rsidRPr="00AA74AB" w:rsidRDefault="00C95751" w:rsidP="00AA74AB">
      <w:pPr>
        <w:pStyle w:val="Bullet2GR"/>
      </w:pPr>
      <w:r w:rsidRPr="00AA74AB">
        <w:t>г</w:t>
      </w:r>
      <w:r w:rsidR="00AA74AB" w:rsidRPr="00AA74AB">
        <w:t>-н Марко Сорджетти, Генеральный директор, ФИАТА.</w:t>
      </w:r>
    </w:p>
    <w:p w:rsidR="00AA74AB" w:rsidRPr="00AA74AB" w:rsidRDefault="00AA74AB" w:rsidP="00AA74AB">
      <w:pPr>
        <w:pStyle w:val="SingleTxtGR"/>
      </w:pPr>
      <w:r w:rsidRPr="00AA74AB">
        <w:t>5.</w:t>
      </w:r>
      <w:r w:rsidRPr="00AA74AB">
        <w:tab/>
        <w:t>В этом мероприятии приняли участие более 200 участников из 51 страны, включая 23 страны за пределами региона ЕЭК, пять департаментов и специал</w:t>
      </w:r>
      <w:r w:rsidRPr="00AA74AB">
        <w:t>и</w:t>
      </w:r>
      <w:r w:rsidRPr="00AA74AB">
        <w:t>зированных учреждений Организации Объединенных Наций, Европейскую к</w:t>
      </w:r>
      <w:r w:rsidRPr="00AA74AB">
        <w:t>о</w:t>
      </w:r>
      <w:r w:rsidRPr="00AA74AB">
        <w:t>миссию и приблизительно 40 международных и неправительственных орган</w:t>
      </w:r>
      <w:r w:rsidRPr="00AA74AB">
        <w:t>и</w:t>
      </w:r>
      <w:r w:rsidRPr="00AA74AB">
        <w:t>заций.</w:t>
      </w:r>
    </w:p>
    <w:p w:rsidR="00AA74AB" w:rsidRPr="00AA74AB" w:rsidRDefault="00AA74AB" w:rsidP="00AA74AB">
      <w:pPr>
        <w:pStyle w:val="SingleTxtGR"/>
      </w:pPr>
      <w:r w:rsidRPr="00AA74AB">
        <w:t>6.</w:t>
      </w:r>
      <w:r w:rsidRPr="00AA74AB">
        <w:tab/>
        <w:t>Устойчивый транспорт и устойчивая мобильность лежат в основе работы Комитета по внутреннему транспорту (КВТ), который является уникальным межправительственным органом в области внутреннего транспорта (автом</w:t>
      </w:r>
      <w:r w:rsidRPr="00AA74AB">
        <w:t>о</w:t>
      </w:r>
      <w:r w:rsidRPr="00AA74AB">
        <w:lastRenderedPageBreak/>
        <w:t>бильного, железнодорожного, внутреннего водного и интермодального тран</w:t>
      </w:r>
      <w:r w:rsidRPr="00AA74AB">
        <w:t>с</w:t>
      </w:r>
      <w:r w:rsidRPr="00AA74AB">
        <w:t>порта, перевозок опасных грузов, правил в области транспортных средств, бе</w:t>
      </w:r>
      <w:r w:rsidRPr="00AA74AB">
        <w:t>з</w:t>
      </w:r>
      <w:r w:rsidRPr="00AA74AB">
        <w:t>опасности дорожного движения и упрощения процедур пересечения границ). Неся ответственность за 58 правовых документов, он играет также ключевую роль в деятельности Организации Объединенных Наций, связанной с конвенц</w:t>
      </w:r>
      <w:r w:rsidRPr="00AA74AB">
        <w:t>и</w:t>
      </w:r>
      <w:r w:rsidRPr="00AA74AB">
        <w:t>ями и соглашениями по вопросам транспорта.</w:t>
      </w:r>
    </w:p>
    <w:p w:rsidR="00AA74AB" w:rsidRPr="00AA74AB" w:rsidRDefault="00AA74AB" w:rsidP="00AA74AB">
      <w:pPr>
        <w:pStyle w:val="HChGR"/>
      </w:pPr>
      <w:r w:rsidRPr="00AA74AB">
        <w:tab/>
        <w:t>II.</w:t>
      </w:r>
      <w:r w:rsidRPr="00AA74AB">
        <w:tab/>
        <w:t>Основные выводы</w:t>
      </w:r>
    </w:p>
    <w:p w:rsidR="00AA74AB" w:rsidRPr="00AA74AB" w:rsidRDefault="00AA74AB" w:rsidP="00AA74AB">
      <w:pPr>
        <w:pStyle w:val="H1GR"/>
      </w:pPr>
      <w:r w:rsidRPr="00AA74AB">
        <w:tab/>
        <w:t>А.</w:t>
      </w:r>
      <w:r w:rsidRPr="00AA74AB">
        <w:tab/>
        <w:t>Заседание I</w:t>
      </w:r>
      <w:r w:rsidR="00D42D0B">
        <w:t>:</w:t>
      </w:r>
      <w:r w:rsidRPr="00AA74AB">
        <w:t xml:space="preserve"> Всеобщий доступ: роль правительств в деле всестороннего использования потенциала транспортных инноваций</w:t>
      </w:r>
    </w:p>
    <w:p w:rsidR="00AA74AB" w:rsidRPr="00AA74AB" w:rsidRDefault="00AA74AB" w:rsidP="00AA74AB">
      <w:pPr>
        <w:pStyle w:val="SingleTxtGR"/>
      </w:pPr>
      <w:r w:rsidRPr="00AA74AB">
        <w:t>7.</w:t>
      </w:r>
      <w:r w:rsidRPr="00AA74AB">
        <w:tab/>
        <w:t>Участники первого заседания сегмента по вопросам политики соглас</w:t>
      </w:r>
      <w:r w:rsidRPr="00AA74AB">
        <w:t>и</w:t>
      </w:r>
      <w:r w:rsidRPr="00AA74AB">
        <w:t>лись с тем, что мы, по всей видимости, находимся на пороге новой эры разв</w:t>
      </w:r>
      <w:r w:rsidRPr="00AA74AB">
        <w:t>и</w:t>
      </w:r>
      <w:r w:rsidRPr="00AA74AB">
        <w:t>тия международных и внутренних перевозок и мобильности. С одной стороны, в 2016 году началось осуществление Повестки дня в области устойчивого ра</w:t>
      </w:r>
      <w:r w:rsidRPr="00AA74AB">
        <w:t>з</w:t>
      </w:r>
      <w:r w:rsidRPr="00AA74AB">
        <w:t>вития на период до 2030 года, в которой транспорт и мобильность признаются в качестве неотъемлемой части Целей устойчивого ра</w:t>
      </w:r>
      <w:r w:rsidR="000B648F">
        <w:t>звития (ЦУР), принятых 27 </w:t>
      </w:r>
      <w:r w:rsidRPr="00AA74AB">
        <w:t>сентября 2015 года. Включение прямых ссылок на вопросы транспорта в различные ЦУР отражает тот факт, что актуальность транспорта для устойчив</w:t>
      </w:r>
      <w:r w:rsidRPr="00AA74AB">
        <w:t>о</w:t>
      </w:r>
      <w:r w:rsidRPr="00AA74AB">
        <w:t>го развития не вызывает сомнений. Инновации в информационно-коммуни</w:t>
      </w:r>
      <w:r w:rsidR="00D42D0B">
        <w:t>-</w:t>
      </w:r>
      <w:r w:rsidRPr="00AA74AB">
        <w:t>кационных технологиях (ИКТ) будут коренным образом определять значение этого сектора для устойчивого развития. С другой стороны, участники соглас</w:t>
      </w:r>
      <w:r w:rsidRPr="00AA74AB">
        <w:t>и</w:t>
      </w:r>
      <w:r w:rsidRPr="00AA74AB">
        <w:t>лись также с тем, что, несмотря на взрывной рост темпов инновационной де</w:t>
      </w:r>
      <w:r w:rsidRPr="00AA74AB">
        <w:t>я</w:t>
      </w:r>
      <w:r w:rsidRPr="00AA74AB">
        <w:t>тельности в области транспорта и коммуникационных технологий, результаты достигнутого прогресса распределяются неравномерно. Можно с уверенностью сделать вывод о том, что существует множество препятствий для доступа, кот</w:t>
      </w:r>
      <w:r w:rsidRPr="00AA74AB">
        <w:t>о</w:t>
      </w:r>
      <w:r w:rsidRPr="00AA74AB">
        <w:t>рые подрывают усилия мирового сообщества по реализации чаяний, отраже</w:t>
      </w:r>
      <w:r w:rsidRPr="00AA74AB">
        <w:t>н</w:t>
      </w:r>
      <w:r w:rsidRPr="00AA74AB">
        <w:t>ных в ЦУР. Наиболее остро эти проблемы дают о себе знать в странах, не им</w:t>
      </w:r>
      <w:r w:rsidRPr="00AA74AB">
        <w:t>е</w:t>
      </w:r>
      <w:r w:rsidRPr="00AA74AB">
        <w:t>ющих выхода к морю (на международном уровне), в сельской местности, уч</w:t>
      </w:r>
      <w:r w:rsidRPr="00AA74AB">
        <w:t>и</w:t>
      </w:r>
      <w:r w:rsidRPr="00AA74AB">
        <w:t>тывая разрыв между городом и деревней (на уровне общин), а также ощущаю</w:t>
      </w:r>
      <w:r w:rsidRPr="00AA74AB">
        <w:t>т</w:t>
      </w:r>
      <w:r w:rsidRPr="00AA74AB">
        <w:t>ся людьми с особыми потребностями (повседневная мобильность) .</w:t>
      </w:r>
    </w:p>
    <w:p w:rsidR="00AA74AB" w:rsidRPr="00AA74AB" w:rsidRDefault="00AA74AB" w:rsidP="00AA74AB">
      <w:pPr>
        <w:pStyle w:val="SingleTxtGR"/>
      </w:pPr>
      <w:r w:rsidRPr="00AA74AB">
        <w:t>8.</w:t>
      </w:r>
      <w:r w:rsidRPr="00AA74AB">
        <w:tab/>
        <w:t>Как отметил г-н Барт ван Больюс, рассказывая о приоритетах председ</w:t>
      </w:r>
      <w:r w:rsidRPr="00AA74AB">
        <w:t>а</w:t>
      </w:r>
      <w:r w:rsidRPr="00AA74AB">
        <w:t>тельства Нидерландов в ЕС, необходимо более тесно сотрудничать в общеевр</w:t>
      </w:r>
      <w:r w:rsidRPr="00AA74AB">
        <w:t>о</w:t>
      </w:r>
      <w:r w:rsidRPr="00AA74AB">
        <w:t>пейском регионе и ключом к решению этих проблем является активное взаим</w:t>
      </w:r>
      <w:r w:rsidRPr="00AA74AB">
        <w:t>о</w:t>
      </w:r>
      <w:r w:rsidRPr="00AA74AB">
        <w:t>действие с ЕЭК ООН и Комитетом по внутреннему транспорту во время пре</w:t>
      </w:r>
      <w:r w:rsidRPr="00AA74AB">
        <w:t>д</w:t>
      </w:r>
      <w:r w:rsidRPr="00AA74AB">
        <w:t>седательства Нидерландов в ЕС. Мы стоим на пороге новой промышленной эры, и инновации создадут новые возможности для повышения конкурентосп</w:t>
      </w:r>
      <w:r w:rsidRPr="00AA74AB">
        <w:t>о</w:t>
      </w:r>
      <w:r w:rsidRPr="00AA74AB">
        <w:t>собности. Так, например, инновации в системы автоматизированного вождения и подключенные автомобили окажут огромное влияние на те вызовы, с котор</w:t>
      </w:r>
      <w:r w:rsidRPr="00AA74AB">
        <w:t>ы</w:t>
      </w:r>
      <w:r w:rsidRPr="00AA74AB">
        <w:t>ми мы сталкиваемся сегодня. В сфере транспорта и логистики в последующие двадцать лет произойдет больше изменений, чем в течение всего прошлого в</w:t>
      </w:r>
      <w:r w:rsidRPr="00AA74AB">
        <w:t>е</w:t>
      </w:r>
      <w:r w:rsidRPr="00AA74AB">
        <w:t>ка. Для того чтобы сохранить – или укрепить – общественную поддержку, мы должны объединиться и начать действовать: совместно разрабатывать инте</w:t>
      </w:r>
      <w:r w:rsidRPr="00AA74AB">
        <w:t>л</w:t>
      </w:r>
      <w:r w:rsidRPr="00AA74AB">
        <w:t>лектуальные правила, надлежащим образом их осуществлять и укреплять ко</w:t>
      </w:r>
      <w:r w:rsidRPr="00AA74AB">
        <w:t>н</w:t>
      </w:r>
      <w:r w:rsidRPr="00AA74AB">
        <w:t>курентоспособность. Необходим общий целостный подход. Для достижения этой цели нам потребуется ответить на многие вопросы, включая: совмест</w:t>
      </w:r>
      <w:r w:rsidRPr="00AA74AB">
        <w:t>и</w:t>
      </w:r>
      <w:r w:rsidRPr="00AA74AB">
        <w:t>мость систем; согласование правил; ответственность и конфиденциальность данных; широкомасштабное трансграничное тестирование; и координация и</w:t>
      </w:r>
      <w:r w:rsidRPr="00AA74AB">
        <w:t>н</w:t>
      </w:r>
      <w:r w:rsidRPr="00AA74AB">
        <w:t>вестиций.</w:t>
      </w:r>
    </w:p>
    <w:p w:rsidR="00AA74AB" w:rsidRPr="00AA74AB" w:rsidRDefault="00AA74AB" w:rsidP="00AA74AB">
      <w:pPr>
        <w:pStyle w:val="SingleTxtGR"/>
      </w:pPr>
      <w:r w:rsidRPr="00AA74AB">
        <w:lastRenderedPageBreak/>
        <w:t>9.</w:t>
      </w:r>
      <w:r w:rsidRPr="00AA74AB">
        <w:tab/>
        <w:t>По мнению профессора Эльмара Фюрста, доступность в смысле униве</w:t>
      </w:r>
      <w:r w:rsidRPr="00AA74AB">
        <w:t>р</w:t>
      </w:r>
      <w:r w:rsidRPr="00AA74AB">
        <w:t>сальной применимости и функциональности безусловно будет выгодна всем, а не только для лиц с ограниченной мобильностью. Таким образом, понятие д</w:t>
      </w:r>
      <w:r w:rsidRPr="00AA74AB">
        <w:t>о</w:t>
      </w:r>
      <w:r w:rsidRPr="00AA74AB">
        <w:t>ступности больше не следует применять только по отношению к довольно н</w:t>
      </w:r>
      <w:r w:rsidRPr="00AA74AB">
        <w:t>е</w:t>
      </w:r>
      <w:r w:rsidRPr="00AA74AB">
        <w:t>большой целевой группе, а скорее следует рассматривать как возможность для повышения удобства пользования и функциональности в целом. В стареющем обществе, где мобильность во все большей степени становится основополаг</w:t>
      </w:r>
      <w:r w:rsidRPr="00AA74AB">
        <w:t>а</w:t>
      </w:r>
      <w:r w:rsidRPr="00AA74AB">
        <w:t>ющим фактором качества жизни и одним из гражданских прав, учитывая техн</w:t>
      </w:r>
      <w:r w:rsidRPr="00AA74AB">
        <w:t>о</w:t>
      </w:r>
      <w:r w:rsidRPr="00AA74AB">
        <w:t xml:space="preserve">логические и социальные достижения, очевидно, что необходимость заботы о нуждах и потребностях </w:t>
      </w:r>
      <w:r>
        <w:t>«</w:t>
      </w:r>
      <w:r w:rsidRPr="00AA74AB">
        <w:t>лиц с ограниченной мобильностью</w:t>
      </w:r>
      <w:r>
        <w:t>»</w:t>
      </w:r>
      <w:r w:rsidRPr="00AA74AB">
        <w:t xml:space="preserve"> в широком смы</w:t>
      </w:r>
      <w:r w:rsidRPr="00AA74AB">
        <w:t>с</w:t>
      </w:r>
      <w:r w:rsidRPr="00AA74AB">
        <w:t>ле имеет крайне важное значение. Поскольку этот процесс еще продолжается, многие законы, стандарты и руководящие принципы следует более четко сор</w:t>
      </w:r>
      <w:r w:rsidRPr="00AA74AB">
        <w:t>и</w:t>
      </w:r>
      <w:r w:rsidRPr="00AA74AB">
        <w:t>ентировать на цели универсальной функциональности.</w:t>
      </w:r>
    </w:p>
    <w:p w:rsidR="00AA74AB" w:rsidRPr="00AA74AB" w:rsidRDefault="00AA74AB" w:rsidP="000B648F">
      <w:pPr>
        <w:pStyle w:val="H1GR"/>
      </w:pPr>
      <w:r w:rsidRPr="00AA74AB">
        <w:tab/>
        <w:t>B.</w:t>
      </w:r>
      <w:r w:rsidRPr="00AA74AB">
        <w:tab/>
        <w:t xml:space="preserve">Заседание II: Точка за точкой: взаимодействие и доступ </w:t>
      </w:r>
      <w:r w:rsidR="000B648F">
        <w:br/>
      </w:r>
      <w:r w:rsidRPr="00AA74AB">
        <w:t>для расширения мобильности пассажиров в будущем</w:t>
      </w:r>
    </w:p>
    <w:p w:rsidR="00AA74AB" w:rsidRPr="00AA74AB" w:rsidRDefault="00AA74AB" w:rsidP="00AA74AB">
      <w:pPr>
        <w:pStyle w:val="SingleTxtGR"/>
      </w:pPr>
      <w:r w:rsidRPr="00AA74AB">
        <w:t>10.</w:t>
      </w:r>
      <w:r w:rsidRPr="00AA74AB">
        <w:tab/>
        <w:t>Участники высказали общее мнение о том, в крупных городах мира те</w:t>
      </w:r>
      <w:r w:rsidRPr="00AA74AB">
        <w:t>х</w:t>
      </w:r>
      <w:r w:rsidRPr="00AA74AB">
        <w:t>нологии ИТС обладают потенциалом для того, чтобы революционизировать м</w:t>
      </w:r>
      <w:r w:rsidRPr="00AA74AB">
        <w:t>о</w:t>
      </w:r>
      <w:r w:rsidRPr="00AA74AB">
        <w:t>бильность и трансформировать все ее аспекты – от способов передвижения и связи, которыми пользуются люди, до подходов к разработке транспортного з</w:t>
      </w:r>
      <w:r w:rsidRPr="00AA74AB">
        <w:t>а</w:t>
      </w:r>
      <w:r w:rsidRPr="00AA74AB">
        <w:t>конодательства и регламентированию транспортных средств. По всей видим</w:t>
      </w:r>
      <w:r w:rsidRPr="00AA74AB">
        <w:t>о</w:t>
      </w:r>
      <w:r w:rsidRPr="00AA74AB">
        <w:t>сти, это касается как развитых, так и развивающихся стран. Мобильность па</w:t>
      </w:r>
      <w:r w:rsidRPr="00AA74AB">
        <w:t>с</w:t>
      </w:r>
      <w:r w:rsidRPr="00AA74AB">
        <w:t>сажиров в будущем будет ориентирована на обмен информацией, призванный содействовать развитию альтернативных способов перемещения людей и тов</w:t>
      </w:r>
      <w:r w:rsidRPr="00AA74AB">
        <w:t>а</w:t>
      </w:r>
      <w:r w:rsidRPr="00AA74AB">
        <w:t>ров в городских условиях. Происходят изменения, например в сфере обмена транспортными средствами − автомобилями, скутерами и велосипедами − или совместного использования автомобилей, и привлекательность такой практики быстро растет благодаря новым технологиям, которые, по мнению некоторых, разрушают сложившийся порядок, а с точки зрения других − дополняют сущ</w:t>
      </w:r>
      <w:r w:rsidRPr="00AA74AB">
        <w:t>е</w:t>
      </w:r>
      <w:r w:rsidRPr="00AA74AB">
        <w:t>ствующие решения. Вместе с тем проблемы, ограничения и вероятность об</w:t>
      </w:r>
      <w:r w:rsidRPr="00AA74AB">
        <w:t>е</w:t>
      </w:r>
      <w:r w:rsidRPr="00AA74AB">
        <w:t>щанных преимуществ еще во многом не изучены, как и их воздействие на ра</w:t>
      </w:r>
      <w:r w:rsidRPr="00AA74AB">
        <w:t>с</w:t>
      </w:r>
      <w:r w:rsidRPr="00AA74AB">
        <w:t>пределение перевозок по видам транспорта, поведенческие аспекты, режимы регулирования и инвестиционные приоритеты стран и городов.</w:t>
      </w:r>
    </w:p>
    <w:p w:rsidR="00AA74AB" w:rsidRPr="00AA74AB" w:rsidRDefault="00AA74AB" w:rsidP="00AA74AB">
      <w:pPr>
        <w:pStyle w:val="SingleTxtGR"/>
      </w:pPr>
      <w:r w:rsidRPr="00AA74AB">
        <w:t>11.</w:t>
      </w:r>
      <w:r w:rsidRPr="00AA74AB">
        <w:tab/>
        <w:t>Г-н Ален Флауш подчеркнул, что городская мобильность представляет собой динамичный рынок, а инновации создают возможности для новых услуг, новых игроков и новых бизнес-моделей, которые могут оказать позитивное влияние на городскую мобильность с точки зрения: лучшего соответствия ме</w:t>
      </w:r>
      <w:r w:rsidRPr="00AA74AB">
        <w:t>ж</w:t>
      </w:r>
      <w:r w:rsidRPr="00AA74AB">
        <w:t>ду предложением и спросом на мобильность; более эффективного использов</w:t>
      </w:r>
      <w:r w:rsidRPr="00AA74AB">
        <w:t>а</w:t>
      </w:r>
      <w:r w:rsidRPr="00AA74AB">
        <w:t>ния парка транспортных средств; содействия сокращению личного автотран</w:t>
      </w:r>
      <w:r w:rsidRPr="00AA74AB">
        <w:t>с</w:t>
      </w:r>
      <w:r w:rsidRPr="00AA74AB">
        <w:t>порта; поиска решения для первой и последней мили и поощрения более рац</w:t>
      </w:r>
      <w:r w:rsidRPr="00AA74AB">
        <w:t>и</w:t>
      </w:r>
      <w:r w:rsidRPr="00AA74AB">
        <w:t>онального комбинированного использования различных видов транспорта. А</w:t>
      </w:r>
      <w:r w:rsidRPr="00AA74AB">
        <w:t>в</w:t>
      </w:r>
      <w:r w:rsidRPr="00AA74AB">
        <w:t>тономные транспортные средства принесут выгоды для городской мобильности, если они будут использоваться совместно. Однако одной из ключевых проблем в городах по-прежнему остается отсутствие пространства. Для районов и кор</w:t>
      </w:r>
      <w:r w:rsidRPr="00AA74AB">
        <w:t>и</w:t>
      </w:r>
      <w:r w:rsidRPr="00AA74AB">
        <w:t>доров с высоким спросом на мобильность единственным жизнеспособным р</w:t>
      </w:r>
      <w:r w:rsidRPr="00AA74AB">
        <w:t>е</w:t>
      </w:r>
      <w:r w:rsidRPr="00AA74AB">
        <w:t>шением и сегодня, и в будущем является общественный транспорт с высокой пропускной способностью (обеспечиваемой, например, городским железнод</w:t>
      </w:r>
      <w:r w:rsidRPr="00AA74AB">
        <w:t>о</w:t>
      </w:r>
      <w:r w:rsidRPr="00AA74AB">
        <w:t>рожным транспортом и автобусами большой вместимости). Инвестирование и реинвестирование в создание маршрутов общественного транспорта с высокой пропускной способностью/их модернизацию следует поддерживать и даже во</w:t>
      </w:r>
      <w:r w:rsidRPr="00AA74AB">
        <w:t>з</w:t>
      </w:r>
      <w:r w:rsidRPr="00AA74AB">
        <w:t>вести в приоритет. Меры политики не должны ограничиваться сферой предл</w:t>
      </w:r>
      <w:r w:rsidRPr="00AA74AB">
        <w:t>о</w:t>
      </w:r>
      <w:r w:rsidRPr="00AA74AB">
        <w:lastRenderedPageBreak/>
        <w:t>жения, пристальное внимание следует уделять и стратегиям в области горо</w:t>
      </w:r>
      <w:r w:rsidRPr="00AA74AB">
        <w:t>д</w:t>
      </w:r>
      <w:r w:rsidRPr="00AA74AB">
        <w:t>ского развития. Крайне важно также принимать меры по регулированию тран</w:t>
      </w:r>
      <w:r w:rsidRPr="00AA74AB">
        <w:t>с</w:t>
      </w:r>
      <w:r w:rsidRPr="00AA74AB">
        <w:t>портного спроса. Большое значение для успешного использования комплексных программных приложений и систем обслуживания по запросу имеет информ</w:t>
      </w:r>
      <w:r w:rsidRPr="00AA74AB">
        <w:t>а</w:t>
      </w:r>
      <w:r w:rsidRPr="00AA74AB">
        <w:t>ционная доступность, и властям следует обеспечить нейтральные платформы, укреплять доверие, а также поощрять и облегчать взаимный обмен данными.</w:t>
      </w:r>
    </w:p>
    <w:p w:rsidR="00AA74AB" w:rsidRPr="00AA74AB" w:rsidRDefault="00AA74AB" w:rsidP="00AA74AB">
      <w:pPr>
        <w:pStyle w:val="SingleTxtGR"/>
      </w:pPr>
      <w:r w:rsidRPr="00AA74AB">
        <w:t>12.</w:t>
      </w:r>
      <w:r w:rsidRPr="00AA74AB">
        <w:tab/>
        <w:t>Г-н Леон Ридзи отметил, что благодаря прорывам в технологии, демогр</w:t>
      </w:r>
      <w:r w:rsidRPr="00AA74AB">
        <w:t>а</w:t>
      </w:r>
      <w:r w:rsidRPr="00AA74AB">
        <w:t>фическим исследованиям и использованию больших массивов данных мы нах</w:t>
      </w:r>
      <w:r w:rsidRPr="00AA74AB">
        <w:t>о</w:t>
      </w:r>
      <w:r w:rsidRPr="00AA74AB">
        <w:t>димся на пороге преобразования городской мобильности, а это позволит сокр</w:t>
      </w:r>
      <w:r w:rsidRPr="00AA74AB">
        <w:t>а</w:t>
      </w:r>
      <w:r w:rsidRPr="00AA74AB">
        <w:t>тить потребление энергии, снизить загрязнение и экономические издержки п</w:t>
      </w:r>
      <w:r w:rsidRPr="00AA74AB">
        <w:t>е</w:t>
      </w:r>
      <w:r w:rsidRPr="00AA74AB">
        <w:t>регруженности транспортных систем в целом. Используя беспрецедентный объем данных от подключенных автомобилей, парков транспортных средств и смартфонов, специалисты в области транспорта способны весьма детально проанализировать ситуацию на каждой дороге в режиме реального времени, что позволяет понять, как люди и товары перемещаются по транспортным сетям во всем мире, и повысить эффективность функционирования автодорожных сетей.</w:t>
      </w:r>
    </w:p>
    <w:p w:rsidR="00AA74AB" w:rsidRPr="00AA74AB" w:rsidRDefault="00AA74AB" w:rsidP="00AA74AB">
      <w:pPr>
        <w:pStyle w:val="SingleTxtGR"/>
      </w:pPr>
      <w:r w:rsidRPr="00AA74AB">
        <w:t>13.</w:t>
      </w:r>
      <w:r w:rsidRPr="00AA74AB">
        <w:tab/>
        <w:t>Г-н Эрве Ришард продемонстрировал преимущества транспортных инт</w:t>
      </w:r>
      <w:r w:rsidRPr="00AA74AB">
        <w:t>е</w:t>
      </w:r>
      <w:r w:rsidRPr="00AA74AB">
        <w:t>граторов в деле развития и расширения рынка совместной мобильности в целях повышения доли совместной мобильности от общего объема перевозок до 30% к 2030 году.</w:t>
      </w:r>
    </w:p>
    <w:p w:rsidR="00AA74AB" w:rsidRPr="00AA74AB" w:rsidRDefault="00AA74AB" w:rsidP="000B648F">
      <w:pPr>
        <w:pStyle w:val="H1GR"/>
      </w:pPr>
      <w:r w:rsidRPr="00AA74AB">
        <w:tab/>
        <w:t>C.</w:t>
      </w:r>
      <w:r w:rsidRPr="00AA74AB">
        <w:tab/>
        <w:t>Заседание III: Точка за точкой: взаимодействие и доступ – аспект логистики</w:t>
      </w:r>
    </w:p>
    <w:p w:rsidR="00AA74AB" w:rsidRPr="00AA74AB" w:rsidRDefault="00AA74AB" w:rsidP="00AA74AB">
      <w:pPr>
        <w:pStyle w:val="SingleTxtGR"/>
      </w:pPr>
      <w:r w:rsidRPr="00AA74AB">
        <w:t>14.</w:t>
      </w:r>
      <w:r w:rsidRPr="00AA74AB">
        <w:tab/>
        <w:t>Среди участников третьего заседания было достигнуто общее согласие относительно того, что новые технологии и инвестиции в логистический сектор могут повысить конкурентоспособность различных видов транспорта либо ч</w:t>
      </w:r>
      <w:r w:rsidRPr="00AA74AB">
        <w:t>е</w:t>
      </w:r>
      <w:r w:rsidRPr="00AA74AB">
        <w:t>рез инфраструктуру, либо через автомобильные инновации. Инновации в сфере ИКТ могут повысить эффективность грузовых перевозок повсеместно. На ме</w:t>
      </w:r>
      <w:r w:rsidRPr="00AA74AB">
        <w:t>ж</w:t>
      </w:r>
      <w:r w:rsidRPr="00AA74AB">
        <w:t>дународном уровне они могут способствовать снижению затрат на ведение трансграничного бизнеса за счет повышения эффективности международных грузовых перевозок. Что касается логистики, то, согласно некоторым исслед</w:t>
      </w:r>
      <w:r w:rsidRPr="00AA74AB">
        <w:t>о</w:t>
      </w:r>
      <w:r w:rsidRPr="00AA74AB">
        <w:t>ваниям, электронная торговля является наиболее быстро растущим сегментом рынка розничной торговли в Европе и Соединенных Штатах Америки. Эти и</w:t>
      </w:r>
      <w:r w:rsidRPr="00AA74AB">
        <w:t>з</w:t>
      </w:r>
      <w:r w:rsidRPr="00AA74AB">
        <w:t>менения обусловливают увеличение объемов доставки товаров на дом либо д</w:t>
      </w:r>
      <w:r w:rsidRPr="00AA74AB">
        <w:t>о</w:t>
      </w:r>
      <w:r w:rsidRPr="00AA74AB">
        <w:t>ставки в новые сети центров выдачи товаров, что кардинальным образом мен</w:t>
      </w:r>
      <w:r w:rsidRPr="00AA74AB">
        <w:t>я</w:t>
      </w:r>
      <w:r w:rsidRPr="00AA74AB">
        <w:t>ет схемы дистрибуции в ходе экономической деятельности и создает новые, еще не до конца изученные проблемы логистики в городской среде.</w:t>
      </w:r>
    </w:p>
    <w:p w:rsidR="00AA74AB" w:rsidRPr="00AA74AB" w:rsidRDefault="00AA74AB" w:rsidP="00AA74AB">
      <w:pPr>
        <w:pStyle w:val="SingleTxtGR"/>
      </w:pPr>
      <w:r w:rsidRPr="00AA74AB">
        <w:t>15.</w:t>
      </w:r>
      <w:r w:rsidRPr="00AA74AB">
        <w:tab/>
        <w:t>Г-н Петер Фюглишталер продемонстрировал вклад новых железнодоро</w:t>
      </w:r>
      <w:r w:rsidRPr="00AA74AB">
        <w:t>ж</w:t>
      </w:r>
      <w:r w:rsidRPr="00AA74AB">
        <w:t>ных базисных туннелей в Лёчберге (35 км), Готарде (57 км – самый длинный железнодорожный туннель в мире) и Ченери (15 км) в трансформацию евр</w:t>
      </w:r>
      <w:r w:rsidRPr="00AA74AB">
        <w:t>о</w:t>
      </w:r>
      <w:r w:rsidRPr="00AA74AB">
        <w:t>пейской логистической карты за счет улучшения логистических потоков в Е</w:t>
      </w:r>
      <w:r w:rsidRPr="00AA74AB">
        <w:t>в</w:t>
      </w:r>
      <w:r w:rsidRPr="00AA74AB">
        <w:t xml:space="preserve">ропе и их преимуществ для укрепления железнодорожных операций и развития комбинированных перевозок. Новые туннели, как ожидается, позволят удвоить пропускную способность железных дорог через Альпы с 30 </w:t>
      </w:r>
      <w:r w:rsidR="00D42D0B">
        <w:t>миллионов</w:t>
      </w:r>
      <w:r w:rsidR="000B648F">
        <w:t xml:space="preserve"> т</w:t>
      </w:r>
      <w:r w:rsidR="00D42D0B">
        <w:t>онн</w:t>
      </w:r>
      <w:r w:rsidR="000B648F">
        <w:t xml:space="preserve"> </w:t>
      </w:r>
      <w:r w:rsidRPr="00AA74AB">
        <w:t>в год до примерно 60 м</w:t>
      </w:r>
      <w:r w:rsidR="00D42D0B">
        <w:t>иллионов тонн</w:t>
      </w:r>
      <w:r w:rsidRPr="00AA74AB">
        <w:t xml:space="preserve"> и сделать это путем соблюдения новых жестких требований безопасности и экологичным образом. Например, развитие торговли с использованием трансальпийских коридоров исторически ассоци</w:t>
      </w:r>
      <w:r w:rsidRPr="00AA74AB">
        <w:t>и</w:t>
      </w:r>
      <w:r w:rsidRPr="00AA74AB">
        <w:t>ровалось с относительно высоким уровнем воздействия на жизнь людей и окружающую среду вдоль транспортных коридоров. До появления новых ту</w:t>
      </w:r>
      <w:r w:rsidRPr="00AA74AB">
        <w:t>н</w:t>
      </w:r>
      <w:r w:rsidRPr="00AA74AB">
        <w:t>нелей требовались дополнительные железнодорожные локомотивы из-за кр</w:t>
      </w:r>
      <w:r w:rsidRPr="00AA74AB">
        <w:t>у</w:t>
      </w:r>
      <w:r w:rsidRPr="00AA74AB">
        <w:lastRenderedPageBreak/>
        <w:t>тых склонов в имевшейся инфраструктуре. После создания новой горизонтал</w:t>
      </w:r>
      <w:r w:rsidRPr="00AA74AB">
        <w:t>ь</w:t>
      </w:r>
      <w:r w:rsidRPr="00AA74AB">
        <w:t>ной туннельной инфраструктуры достаточно будет одного</w:t>
      </w:r>
      <w:r w:rsidR="000B648F">
        <w:t>–</w:t>
      </w:r>
      <w:r w:rsidRPr="00AA74AB">
        <w:t>двух локомотивов, что тем самым уменьшит продолжительность перевозок, существенным обр</w:t>
      </w:r>
      <w:r w:rsidRPr="00AA74AB">
        <w:t>а</w:t>
      </w:r>
      <w:r w:rsidRPr="00AA74AB">
        <w:t>зом снизит экологическое и иное воздействие и сократит транспортные расх</w:t>
      </w:r>
      <w:r w:rsidRPr="00AA74AB">
        <w:t>о</w:t>
      </w:r>
      <w:r w:rsidRPr="00AA74AB">
        <w:t>ды. Это согласуется с экологически благоприятной транспортной политикой Швейцарии, направленной на перераспределение перевозок с автомобильного транспорта на железнодорожный и сокращение количества грузовых автомоб</w:t>
      </w:r>
      <w:r w:rsidRPr="00AA74AB">
        <w:t>и</w:t>
      </w:r>
      <w:r w:rsidRPr="00AA74AB">
        <w:t>лей, пересекающих Альпы.</w:t>
      </w:r>
    </w:p>
    <w:p w:rsidR="00AA74AB" w:rsidRPr="00AA74AB" w:rsidRDefault="00AA74AB" w:rsidP="00AA74AB">
      <w:pPr>
        <w:pStyle w:val="SingleTxtGR"/>
      </w:pPr>
      <w:r w:rsidRPr="00AA74AB">
        <w:t>16.</w:t>
      </w:r>
      <w:r w:rsidRPr="00AA74AB">
        <w:tab/>
        <w:t>Г-н Клод Пфовадел особо отметил роль, которую может играть телемат</w:t>
      </w:r>
      <w:r w:rsidRPr="00AA74AB">
        <w:t>и</w:t>
      </w:r>
      <w:r w:rsidRPr="00AA74AB">
        <w:t>ка в таком очень важном и актуальном секторе логистики, как перевозка опа</w:t>
      </w:r>
      <w:r w:rsidRPr="00AA74AB">
        <w:t>с</w:t>
      </w:r>
      <w:r w:rsidRPr="00AA74AB">
        <w:t>ных грузов, подчеркнув, что, хотя все технические элементы на сегодняшний день уже существуют, общее использование ИТС пока не представляется во</w:t>
      </w:r>
      <w:r w:rsidRPr="00AA74AB">
        <w:t>з</w:t>
      </w:r>
      <w:r w:rsidRPr="00AA74AB">
        <w:t>можным, учитывая контекст правил перевозки опасных грузов (ПОГ), особенно для поддержания связи между частными компаниями и государственными субъектами. Такая возможность появится, если будет разработана даже мин</w:t>
      </w:r>
      <w:r w:rsidRPr="00AA74AB">
        <w:t>и</w:t>
      </w:r>
      <w:r w:rsidRPr="00AA74AB">
        <w:t>мальная архитектура интерфейса. Это будет выгодно, как ожидается, и для го</w:t>
      </w:r>
      <w:r w:rsidRPr="00AA74AB">
        <w:t>с</w:t>
      </w:r>
      <w:r w:rsidRPr="00AA74AB">
        <w:t>ударственного, и для частного секторов. ЕЭК ООН может сыграть определе</w:t>
      </w:r>
      <w:r w:rsidRPr="00AA74AB">
        <w:t>н</w:t>
      </w:r>
      <w:r w:rsidRPr="00AA74AB">
        <w:t>ную роль в развертывании и эксплуатации части этих интерфейсов, которые только выиграют от такой централизации.</w:t>
      </w:r>
    </w:p>
    <w:p w:rsidR="00AA74AB" w:rsidRPr="00AA74AB" w:rsidRDefault="00AA74AB" w:rsidP="00AA74AB">
      <w:pPr>
        <w:pStyle w:val="SingleTxtGR"/>
      </w:pPr>
      <w:r w:rsidRPr="00AA74AB">
        <w:t>17.</w:t>
      </w:r>
      <w:r w:rsidRPr="00AA74AB">
        <w:tab/>
        <w:t xml:space="preserve">Г-н Вим Ван Геффен на конкретных примерах продемонстрировал, каким образом использование ИКТ (в случае </w:t>
      </w:r>
      <w:r>
        <w:t>«</w:t>
      </w:r>
      <w:r w:rsidRPr="00AA74AB">
        <w:t>Нестле</w:t>
      </w:r>
      <w:r>
        <w:t>»</w:t>
      </w:r>
      <w:r w:rsidRPr="00AA74AB">
        <w:t xml:space="preserve"> благодаря контрольно-диспетчерским пунктам управления перевозками) может способствовать улу</w:t>
      </w:r>
      <w:r w:rsidRPr="00AA74AB">
        <w:t>ч</w:t>
      </w:r>
      <w:r w:rsidRPr="00AA74AB">
        <w:t>шению экологических характеристик крупных логистических компаний при п</w:t>
      </w:r>
      <w:r w:rsidRPr="00AA74AB">
        <w:t>е</w:t>
      </w:r>
      <w:r w:rsidRPr="00AA74AB">
        <w:t>ревозке особых грузов, в том числе скоропортящихся пищевых продуктов, наряду с расширением использования транспортных средств, сокращения п</w:t>
      </w:r>
      <w:r w:rsidRPr="00AA74AB">
        <w:t>о</w:t>
      </w:r>
      <w:r w:rsidRPr="00AA74AB">
        <w:t>рожних пробегов, укрепления мультимодальных перевозок, применения инн</w:t>
      </w:r>
      <w:r w:rsidRPr="00AA74AB">
        <w:t>о</w:t>
      </w:r>
      <w:r w:rsidRPr="00AA74AB">
        <w:t>ваций в грузовом автотранспорте и использования альтернативных видов то</w:t>
      </w:r>
      <w:r w:rsidRPr="00AA74AB">
        <w:t>п</w:t>
      </w:r>
      <w:r w:rsidRPr="00AA74AB">
        <w:t>лива.</w:t>
      </w:r>
    </w:p>
    <w:p w:rsidR="00AA74AB" w:rsidRPr="00AA74AB" w:rsidRDefault="00AA74AB" w:rsidP="000B648F">
      <w:pPr>
        <w:pStyle w:val="HChGR"/>
      </w:pPr>
      <w:r w:rsidRPr="00AA74AB">
        <w:tab/>
        <w:t>III.</w:t>
      </w:r>
      <w:r w:rsidRPr="00AA74AB">
        <w:tab/>
        <w:t>Выводы и роль ЕЭК ООН и Комитета по внутреннему транспорту в деле поощрения инновационных решений ИКТ в транспортном секторе</w:t>
      </w:r>
    </w:p>
    <w:p w:rsidR="00AA74AB" w:rsidRPr="00AA74AB" w:rsidRDefault="00AA74AB" w:rsidP="00AA74AB">
      <w:pPr>
        <w:pStyle w:val="SingleTxtGR"/>
      </w:pPr>
      <w:r w:rsidRPr="00AA74AB">
        <w:t>18.</w:t>
      </w:r>
      <w:r w:rsidRPr="00AA74AB">
        <w:tab/>
        <w:t>В заключение участники сегмента по вопросам политики выделили сл</w:t>
      </w:r>
      <w:r w:rsidRPr="00AA74AB">
        <w:t>е</w:t>
      </w:r>
      <w:r w:rsidRPr="00AA74AB">
        <w:t xml:space="preserve">дующие задачи: </w:t>
      </w:r>
    </w:p>
    <w:p w:rsidR="00AA74AB" w:rsidRPr="00AA74AB" w:rsidRDefault="000B648F" w:rsidP="000B648F">
      <w:pPr>
        <w:pStyle w:val="Bullet1GR"/>
      </w:pPr>
      <w:r w:rsidRPr="00AA74AB">
        <w:t>и</w:t>
      </w:r>
      <w:r w:rsidR="00AA74AB" w:rsidRPr="00AA74AB">
        <w:t>нновации в технологии ИТК станут ключевым фактором, определя</w:t>
      </w:r>
      <w:r w:rsidR="00AA74AB" w:rsidRPr="00AA74AB">
        <w:t>ю</w:t>
      </w:r>
      <w:r w:rsidR="00AA74AB" w:rsidRPr="00AA74AB">
        <w:t>щим значимость сектора для устойчивого развития, и при этом изменят нашу повседневную жизнь, но выгоды от этих достижений распредел</w:t>
      </w:r>
      <w:r w:rsidR="00AA74AB" w:rsidRPr="00AA74AB">
        <w:t>я</w:t>
      </w:r>
      <w:r w:rsidR="00AA74AB" w:rsidRPr="00AA74AB">
        <w:t xml:space="preserve">ются еще неравномерно; </w:t>
      </w:r>
    </w:p>
    <w:p w:rsidR="00AA74AB" w:rsidRPr="00AA74AB" w:rsidRDefault="00AA74AB" w:rsidP="000B648F">
      <w:pPr>
        <w:pStyle w:val="Bullet1GR"/>
      </w:pPr>
      <w:r w:rsidRPr="00AA74AB">
        <w:t>необходим общий, а не фрагментарный подход: требуется совместно ра</w:t>
      </w:r>
      <w:r w:rsidRPr="00AA74AB">
        <w:t>з</w:t>
      </w:r>
      <w:r w:rsidRPr="00AA74AB">
        <w:t>рабатывать интеллектуальные правила, надлежащим образом их ос</w:t>
      </w:r>
      <w:r w:rsidRPr="00AA74AB">
        <w:t>у</w:t>
      </w:r>
      <w:r w:rsidRPr="00AA74AB">
        <w:t>ществлять и укреплять конкурентоспособность;</w:t>
      </w:r>
    </w:p>
    <w:p w:rsidR="00AA74AB" w:rsidRPr="00AA74AB" w:rsidRDefault="00AA74AB" w:rsidP="000B648F">
      <w:pPr>
        <w:pStyle w:val="Bullet1GR"/>
      </w:pPr>
      <w:r w:rsidRPr="00AA74AB">
        <w:t>всеобщая доступность в смысле универсальной применимости и функц</w:t>
      </w:r>
      <w:r w:rsidRPr="00AA74AB">
        <w:t>и</w:t>
      </w:r>
      <w:r w:rsidRPr="00AA74AB">
        <w:t>ональности безусловно будет выгодна всем, а не только для лиц с огран</w:t>
      </w:r>
      <w:r w:rsidRPr="00AA74AB">
        <w:t>и</w:t>
      </w:r>
      <w:r w:rsidRPr="00AA74AB">
        <w:t>ченной мобильностью;</w:t>
      </w:r>
    </w:p>
    <w:p w:rsidR="00AA74AB" w:rsidRPr="00AA74AB" w:rsidRDefault="00AA74AB" w:rsidP="000B648F">
      <w:pPr>
        <w:pStyle w:val="Bullet1GR"/>
      </w:pPr>
      <w:r w:rsidRPr="00AA74AB">
        <w:t>мобильность пассажиров в будущем будет ориентирована на обмен и</w:t>
      </w:r>
      <w:r w:rsidRPr="00AA74AB">
        <w:t>н</w:t>
      </w:r>
      <w:r w:rsidRPr="00AA74AB">
        <w:t>формацией, призванный содействовать развитию альтернативных спос</w:t>
      </w:r>
      <w:r w:rsidRPr="00AA74AB">
        <w:t>о</w:t>
      </w:r>
      <w:r w:rsidRPr="00AA74AB">
        <w:t>бов перемещения людей и товаров в городских у</w:t>
      </w:r>
      <w:r w:rsidR="00D42D0B">
        <w:t>словиях;</w:t>
      </w:r>
    </w:p>
    <w:p w:rsidR="00AA74AB" w:rsidRPr="00AA74AB" w:rsidRDefault="00AA74AB" w:rsidP="000B648F">
      <w:pPr>
        <w:pStyle w:val="Bullet1GR"/>
      </w:pPr>
      <w:r w:rsidRPr="00AA74AB">
        <w:lastRenderedPageBreak/>
        <w:t>общественный транспорт по-прежнему играет первостепенную роль в деле перехода к устойчивому развитию транспорта и поэтому требует внимания как с точки зрения транспортного обеспечения, так и измен</w:t>
      </w:r>
      <w:r w:rsidRPr="00AA74AB">
        <w:t>е</w:t>
      </w:r>
      <w:r w:rsidRPr="00AA74AB">
        <w:t>ния представлений и поведения пассажиров;</w:t>
      </w:r>
    </w:p>
    <w:p w:rsidR="00AA74AB" w:rsidRPr="00AA74AB" w:rsidRDefault="00AA74AB" w:rsidP="000B648F">
      <w:pPr>
        <w:pStyle w:val="Bullet1GR"/>
      </w:pPr>
      <w:r w:rsidRPr="00AA74AB">
        <w:t>мир меняется благодаря новым технологиям, которые, по мнению некот</w:t>
      </w:r>
      <w:r w:rsidRPr="00AA74AB">
        <w:t>о</w:t>
      </w:r>
      <w:r w:rsidRPr="00AA74AB">
        <w:t>рых, разрушают сложившийся порядок, а с точки зрения других − допо</w:t>
      </w:r>
      <w:r w:rsidRPr="00AA74AB">
        <w:t>л</w:t>
      </w:r>
      <w:r w:rsidRPr="00AA74AB">
        <w:t>няют существующие решения;</w:t>
      </w:r>
    </w:p>
    <w:p w:rsidR="00AA74AB" w:rsidRPr="00AA74AB" w:rsidRDefault="00AA74AB" w:rsidP="000B648F">
      <w:pPr>
        <w:pStyle w:val="Bullet1GR"/>
      </w:pPr>
      <w:r w:rsidRPr="00AA74AB">
        <w:t>чрезвычайно важное значение для успешного использования комплек</w:t>
      </w:r>
      <w:r w:rsidRPr="00AA74AB">
        <w:t>с</w:t>
      </w:r>
      <w:r w:rsidRPr="00AA74AB">
        <w:t>ных программных приложений и систем транспортного обслуживания по запросу имеет информационная доступность;</w:t>
      </w:r>
    </w:p>
    <w:p w:rsidR="00AA74AB" w:rsidRPr="00AA74AB" w:rsidRDefault="00AA74AB" w:rsidP="000B648F">
      <w:pPr>
        <w:pStyle w:val="Bullet1GR"/>
      </w:pPr>
      <w:r w:rsidRPr="00AA74AB">
        <w:t>новые технологии сопряжены с проблемами, но при этом они создают и уникальные возможности.</w:t>
      </w:r>
    </w:p>
    <w:p w:rsidR="00AA74AB" w:rsidRPr="00AA74AB" w:rsidRDefault="00AA74AB" w:rsidP="00AA74AB">
      <w:pPr>
        <w:pStyle w:val="SingleTxtGR"/>
      </w:pPr>
      <w:r w:rsidRPr="00AA74AB">
        <w:t>19.</w:t>
      </w:r>
      <w:r w:rsidRPr="00AA74AB">
        <w:tab/>
        <w:t>Для успешной трансформации транспортных систем в целях решения з</w:t>
      </w:r>
      <w:r w:rsidRPr="00AA74AB">
        <w:t>а</w:t>
      </w:r>
      <w:r w:rsidRPr="00AA74AB">
        <w:t>дач эффективного перемещения людей и товаров в будущем нужно использ</w:t>
      </w:r>
      <w:r w:rsidRPr="00AA74AB">
        <w:t>о</w:t>
      </w:r>
      <w:r w:rsidRPr="00AA74AB">
        <w:t>вать уже накопленный опыт и адаптировать полученные знания к конкретным местным условиям. Для этого необходимо обмениваться передовой практикой и распространять ее.</w:t>
      </w:r>
    </w:p>
    <w:p w:rsidR="00AA74AB" w:rsidRPr="00AA74AB" w:rsidRDefault="00AA74AB" w:rsidP="00AA74AB">
      <w:pPr>
        <w:pStyle w:val="SingleTxtGR"/>
      </w:pPr>
      <w:r w:rsidRPr="00AA74AB">
        <w:t>20.</w:t>
      </w:r>
      <w:r w:rsidRPr="00AA74AB">
        <w:tab/>
        <w:t>Участники сегмента по вопросам политики четко обозначили роль, кот</w:t>
      </w:r>
      <w:r w:rsidRPr="00AA74AB">
        <w:t>о</w:t>
      </w:r>
      <w:r w:rsidRPr="00AA74AB">
        <w:t>рую может играть КВТ в качестве международной платформы для предоставл</w:t>
      </w:r>
      <w:r w:rsidRPr="00AA74AB">
        <w:t>е</w:t>
      </w:r>
      <w:r w:rsidRPr="00AA74AB">
        <w:t>ния помощи директивным органам, распространения передовой практики, с</w:t>
      </w:r>
      <w:r w:rsidRPr="00AA74AB">
        <w:t>о</w:t>
      </w:r>
      <w:r w:rsidRPr="00AA74AB">
        <w:t>здания потенциала и проведения аналитических исследований. Исходя из этого, КВТ подчеркнул необходимость регулярного диалога по вопросам политики в отношении преобразования транспортного сектора на основе более широкого использования технологий ИКТ.</w:t>
      </w:r>
    </w:p>
    <w:p w:rsidR="00AA74AB" w:rsidRPr="00AA74AB" w:rsidRDefault="00AA74AB" w:rsidP="00AA74AB">
      <w:pPr>
        <w:pStyle w:val="SingleTxtGR"/>
      </w:pPr>
      <w:r w:rsidRPr="00AA74AB">
        <w:t>21.</w:t>
      </w:r>
      <w:r w:rsidRPr="00AA74AB">
        <w:tab/>
        <w:t>По существу, КВТ играет первостепенную роль в поддержке и поощр</w:t>
      </w:r>
      <w:r w:rsidRPr="00AA74AB">
        <w:t>е</w:t>
      </w:r>
      <w:r w:rsidRPr="00AA74AB">
        <w:t>нии взаимодействия между государствами-членами, а также на глобальном уровне, что обусловлено теми многочисленными направлениями деятельности в области внутреннего транспорта, которыми он занимается, широким кругом принимаемых им рекомендаций и стандартов по упрощению процедур торговли и электронным деловым операциям и проводимыми им информационно-пропагандистскими программами. КВТ способствует сокращению расходов на трансграничные деловые операции за счет повышения эффективности межд</w:t>
      </w:r>
      <w:r w:rsidRPr="00AA74AB">
        <w:t>у</w:t>
      </w:r>
      <w:r w:rsidRPr="00AA74AB">
        <w:t>народных грузовых перевозок благодаря осуществлению Международной ко</w:t>
      </w:r>
      <w:r w:rsidRPr="00AA74AB">
        <w:t>н</w:t>
      </w:r>
      <w:r w:rsidRPr="00AA74AB">
        <w:t>венции о согласовании условий проведения контроля грузов на границах и Т</w:t>
      </w:r>
      <w:r w:rsidRPr="00AA74AB">
        <w:t>а</w:t>
      </w:r>
      <w:r w:rsidRPr="00AA74AB">
        <w:t>моженной конвенции о международной перевозке грузов с применением кни</w:t>
      </w:r>
      <w:r w:rsidRPr="00AA74AB">
        <w:t>ж</w:t>
      </w:r>
      <w:r w:rsidRPr="00AA74AB">
        <w:t>ки МДП (Конвенция МДП).</w:t>
      </w:r>
    </w:p>
    <w:p w:rsidR="00AA74AB" w:rsidRPr="00AA74AB" w:rsidRDefault="00AA74AB" w:rsidP="00AA74AB">
      <w:pPr>
        <w:pStyle w:val="SingleTxtGR"/>
      </w:pPr>
      <w:r w:rsidRPr="00AA74AB">
        <w:t>22.</w:t>
      </w:r>
      <w:r w:rsidRPr="00AA74AB">
        <w:tab/>
        <w:t>КВТ поощряет также и активизирует деятельность в области инновац</w:t>
      </w:r>
      <w:r w:rsidRPr="00AA74AB">
        <w:t>и</w:t>
      </w:r>
      <w:r w:rsidRPr="00AA74AB">
        <w:t>онных транспортных систем путем ведения стратегического диалога, связанн</w:t>
      </w:r>
      <w:r w:rsidRPr="00AA74AB">
        <w:t>о</w:t>
      </w:r>
      <w:r w:rsidRPr="00AA74AB">
        <w:t xml:space="preserve">го с его нормативно-аналитической деятельностью. КВТ задает направление дискуссиям по вопросам внедрения ИТС; например, в 2012 году была издана его публикация </w:t>
      </w:r>
      <w:r>
        <w:t>«</w:t>
      </w:r>
      <w:r w:rsidRPr="00AA74AB">
        <w:t>Интеллектуальные транспортные системы для устойчивой м</w:t>
      </w:r>
      <w:r w:rsidRPr="00AA74AB">
        <w:t>о</w:t>
      </w:r>
      <w:r w:rsidRPr="00AA74AB">
        <w:t>бильности</w:t>
      </w:r>
      <w:r>
        <w:t>»</w:t>
      </w:r>
      <w:r w:rsidRPr="00AA74AB">
        <w:t>. Основным органом КВТ, в рамках которого правительства обесп</w:t>
      </w:r>
      <w:r w:rsidRPr="00AA74AB">
        <w:t>е</w:t>
      </w:r>
      <w:r w:rsidRPr="00AA74AB">
        <w:t>чивают согласованное внедрение новых технологий, предназначенных для п</w:t>
      </w:r>
      <w:r w:rsidRPr="00AA74AB">
        <w:t>о</w:t>
      </w:r>
      <w:r w:rsidRPr="00AA74AB">
        <w:t>вышения безопасности и экологичности транспортных средств, что способств</w:t>
      </w:r>
      <w:r w:rsidRPr="00AA74AB">
        <w:t>у</w:t>
      </w:r>
      <w:r w:rsidRPr="00AA74AB">
        <w:t>ет упрощению процедур международной торговли транспортными средствами, является Всемирный форум для согласования правил в области транспортных средств. Например, в 2013 году были приняты Глобальные технические прав</w:t>
      </w:r>
      <w:r w:rsidRPr="00AA74AB">
        <w:t>и</w:t>
      </w:r>
      <w:r w:rsidRPr="00AA74AB">
        <w:t>ла, касающиеся транспортных средств, работающих на водороде и топливных элементах, а в настоящее время ведется подготовка глобальных технических правил, касающихся безопасности электромобилей.</w:t>
      </w:r>
      <w:r w:rsidRPr="00AA74AB">
        <w:br w:type="page"/>
      </w:r>
    </w:p>
    <w:p w:rsidR="00AA74AB" w:rsidRPr="00AA74AB" w:rsidRDefault="00AA74AB" w:rsidP="000B648F">
      <w:pPr>
        <w:pStyle w:val="HChGR"/>
      </w:pPr>
      <w:r w:rsidRPr="00AA74AB">
        <w:lastRenderedPageBreak/>
        <w:t>Приложение II</w:t>
      </w:r>
    </w:p>
    <w:p w:rsidR="00AA74AB" w:rsidRPr="00AA74AB" w:rsidRDefault="00AA74AB" w:rsidP="000B648F">
      <w:pPr>
        <w:pStyle w:val="HChGR"/>
      </w:pPr>
      <w:r w:rsidRPr="00AA74AB">
        <w:tab/>
      </w:r>
      <w:r w:rsidRPr="00AA74AB">
        <w:tab/>
        <w:t xml:space="preserve">Доклад о работе шестого совещания председателей вспомогательных органов Комитета </w:t>
      </w:r>
      <w:r w:rsidR="00E12C7C">
        <w:br/>
      </w:r>
      <w:r w:rsidRPr="00AA74AB">
        <w:t xml:space="preserve">и административных комитетов правовых документов </w:t>
      </w:r>
      <w:r w:rsidR="00D42D0B">
        <w:t>Организации Объединенных Наций</w:t>
      </w:r>
      <w:r w:rsidRPr="00AA74AB">
        <w:t xml:space="preserve"> по транспорту, обс</w:t>
      </w:r>
      <w:r w:rsidR="00E12C7C">
        <w:t>луживаемых ЕЭК ООН (совещание с </w:t>
      </w:r>
      <w:r w:rsidRPr="00AA74AB">
        <w:t xml:space="preserve">ограниченным участием − только для делегатов </w:t>
      </w:r>
      <w:r w:rsidR="00E12C7C">
        <w:br/>
      </w:r>
      <w:r w:rsidRPr="00AA74AB">
        <w:t>от правительств)</w:t>
      </w:r>
    </w:p>
    <w:p w:rsidR="00AA74AB" w:rsidRPr="00AA74AB" w:rsidRDefault="00AA74AB" w:rsidP="000B648F">
      <w:pPr>
        <w:pStyle w:val="H1GR"/>
      </w:pPr>
      <w:r w:rsidRPr="00AA74AB">
        <w:tab/>
      </w:r>
      <w:r w:rsidRPr="00AA74AB">
        <w:tab/>
        <w:t>Представлено Председателем Комитета по внутреннему транспорту</w:t>
      </w:r>
    </w:p>
    <w:p w:rsidR="00AA74AB" w:rsidRPr="00AA74AB" w:rsidRDefault="00AA74AB" w:rsidP="000B648F">
      <w:pPr>
        <w:pStyle w:val="HChGR"/>
      </w:pPr>
      <w:r w:rsidRPr="00AA74AB">
        <w:tab/>
        <w:t>I.</w:t>
      </w:r>
      <w:r w:rsidRPr="00AA74AB">
        <w:tab/>
        <w:t>Введение</w:t>
      </w:r>
    </w:p>
    <w:p w:rsidR="00AA74AB" w:rsidRPr="00AA74AB" w:rsidRDefault="00AA74AB" w:rsidP="00AA74AB">
      <w:pPr>
        <w:pStyle w:val="SingleTxtGR"/>
      </w:pPr>
      <w:r w:rsidRPr="00AA74AB">
        <w:t>1.</w:t>
      </w:r>
      <w:r w:rsidRPr="00AA74AB">
        <w:tab/>
        <w:t xml:space="preserve">Шестое совещание председателей вспомогательных органов Комитета и административных комитетов правовых документов </w:t>
      </w:r>
      <w:r w:rsidR="00E12C7C">
        <w:t>Организации Объедине</w:t>
      </w:r>
      <w:r w:rsidR="00E12C7C">
        <w:t>н</w:t>
      </w:r>
      <w:r w:rsidR="00E12C7C">
        <w:t>ных Наций</w:t>
      </w:r>
      <w:r w:rsidRPr="00AA74AB">
        <w:t>, обслуживаемых ЕЭК ООН (с участием только делегатов от прав</w:t>
      </w:r>
      <w:r w:rsidRPr="00AA74AB">
        <w:t>и</w:t>
      </w:r>
      <w:r w:rsidRPr="00AA74AB">
        <w:t>тельств), состоялось 24 февраля 2016 года в рамках семьдесят восьмой сессии Комитета.</w:t>
      </w:r>
    </w:p>
    <w:p w:rsidR="00AA74AB" w:rsidRPr="00AA74AB" w:rsidRDefault="00AA74AB" w:rsidP="00AA74AB">
      <w:pPr>
        <w:pStyle w:val="SingleTxtGR"/>
      </w:pPr>
      <w:r w:rsidRPr="00AA74AB">
        <w:t>2.</w:t>
      </w:r>
      <w:r w:rsidRPr="00AA74AB">
        <w:tab/>
        <w:t>На совещании присутствовали председатели вспомогательных органов Комитета и административных комитетов правовых документов, обслужива</w:t>
      </w:r>
      <w:r w:rsidRPr="00AA74AB">
        <w:t>е</w:t>
      </w:r>
      <w:r w:rsidRPr="00AA74AB">
        <w:t>мых ЕЭК ООН, члены Бюро и делегаты от правительств Договаривающихся сторон, участвовавших в работе семьдесят восьмой сессии Комитета. В целом в нем приняли участие 70 представителей из 35 стран, в том числе от 11 гос</w:t>
      </w:r>
      <w:r w:rsidRPr="00AA74AB">
        <w:t>у</w:t>
      </w:r>
      <w:r w:rsidRPr="00AA74AB">
        <w:t>дарств, не являющихся членами ЕЭК ООН, Европейской комиссии и 12 предс</w:t>
      </w:r>
      <w:r w:rsidRPr="00AA74AB">
        <w:t>е</w:t>
      </w:r>
      <w:r w:rsidRPr="00AA74AB">
        <w:t xml:space="preserve">дателей. </w:t>
      </w:r>
    </w:p>
    <w:p w:rsidR="00AA74AB" w:rsidRPr="00AA74AB" w:rsidRDefault="00AA74AB" w:rsidP="00AA74AB">
      <w:pPr>
        <w:pStyle w:val="SingleTxtGR"/>
      </w:pPr>
      <w:r w:rsidRPr="00AA74AB">
        <w:t>3.</w:t>
      </w:r>
      <w:r w:rsidRPr="00AA74AB">
        <w:tab/>
        <w:t>В этом году совещание с ограниченным участием было сосредоточено на вопросах улучшения осведомленности о Комитете и его коммуникационной стратегии. В свете необходимости более четкого позиционирования и бренди</w:t>
      </w:r>
      <w:r w:rsidRPr="00AA74AB">
        <w:t>н</w:t>
      </w:r>
      <w:r w:rsidRPr="00AA74AB">
        <w:t>га Комитета были также проведены консультации по подготовке к церемонии его семидесятой годовщины, которая состоится в 2017 году.</w:t>
      </w:r>
    </w:p>
    <w:p w:rsidR="00AA74AB" w:rsidRPr="00AA74AB" w:rsidRDefault="00AA74AB" w:rsidP="00AA74AB">
      <w:pPr>
        <w:pStyle w:val="SingleTxtGR"/>
      </w:pPr>
      <w:r w:rsidRPr="00AA74AB">
        <w:t>4.</w:t>
      </w:r>
      <w:r w:rsidRPr="00AA74AB">
        <w:tab/>
        <w:t>В настоящем приложении приведены резюме и выводы совещания, сфо</w:t>
      </w:r>
      <w:r w:rsidRPr="00AA74AB">
        <w:t>р</w:t>
      </w:r>
      <w:r w:rsidRPr="00AA74AB">
        <w:t xml:space="preserve">мулированные на основе состоявшегося обмена мнениями. </w:t>
      </w:r>
    </w:p>
    <w:p w:rsidR="00AA74AB" w:rsidRPr="00AA74AB" w:rsidRDefault="00AA74AB" w:rsidP="00AA74AB">
      <w:pPr>
        <w:pStyle w:val="SingleTxtGR"/>
      </w:pPr>
      <w:r w:rsidRPr="00AA74AB">
        <w:t>5.</w:t>
      </w:r>
      <w:r w:rsidRPr="00AA74AB">
        <w:tab/>
        <w:t>Участники совещания согласились с тем, что после одобрения делегат</w:t>
      </w:r>
      <w:r w:rsidRPr="00AA74AB">
        <w:t>а</w:t>
      </w:r>
      <w:r w:rsidRPr="00AA74AB">
        <w:t>ми, присутствовавшими на этом заседании с ограниченным участием, резюме обсуждения будет изложено в виде записки Председателя, которая будет прил</w:t>
      </w:r>
      <w:r w:rsidRPr="00AA74AB">
        <w:t>а</w:t>
      </w:r>
      <w:r w:rsidRPr="00AA74AB">
        <w:t>гаться к докладу КВТ.</w:t>
      </w:r>
    </w:p>
    <w:p w:rsidR="00AA74AB" w:rsidRPr="00AA74AB" w:rsidRDefault="00AA74AB" w:rsidP="000B648F">
      <w:pPr>
        <w:pStyle w:val="HChGR"/>
      </w:pPr>
      <w:r w:rsidRPr="00AA74AB">
        <w:tab/>
        <w:t>II.</w:t>
      </w:r>
      <w:r w:rsidRPr="00AA74AB">
        <w:tab/>
        <w:t xml:space="preserve">Информированность о деятельности Комитета </w:t>
      </w:r>
      <w:r w:rsidR="000B648F">
        <w:br/>
      </w:r>
      <w:r w:rsidRPr="00AA74AB">
        <w:t xml:space="preserve">по внутреннему транспорту </w:t>
      </w:r>
    </w:p>
    <w:p w:rsidR="00AA74AB" w:rsidRPr="00AA74AB" w:rsidRDefault="00AA74AB" w:rsidP="00AA74AB">
      <w:pPr>
        <w:pStyle w:val="SingleTxtGR"/>
      </w:pPr>
      <w:r w:rsidRPr="00AA74AB">
        <w:t>6.</w:t>
      </w:r>
      <w:r w:rsidRPr="00AA74AB">
        <w:tab/>
        <w:t>Участники ознакомились с деятельностью Комитета по продвижению своего бренда и его коммуникационными мероприятиями (см. неофициальный документ КВТ № 1.Add.1 (2016 год) (для ог</w:t>
      </w:r>
      <w:r w:rsidR="000B648F">
        <w:t>раниченного распространения). В </w:t>
      </w:r>
      <w:r w:rsidRPr="00AA74AB">
        <w:t>связи с брендингом было отмечено, что в последние несколько лет для пр</w:t>
      </w:r>
      <w:r w:rsidRPr="00AA74AB">
        <w:t>о</w:t>
      </w:r>
      <w:r w:rsidRPr="00AA74AB">
        <w:lastRenderedPageBreak/>
        <w:t>движения бренда КВТ и его вспомогательных органов были предприняты зн</w:t>
      </w:r>
      <w:r w:rsidRPr="00AA74AB">
        <w:t>а</w:t>
      </w:r>
      <w:r w:rsidRPr="00AA74AB">
        <w:t>чительные усилия по различным каналам и по самым разным направлениям, например, была изменена форма представления информации и стали обращать внимание не только на результаты, но и на степень их воздействия. Кроме того, в буклете КВТ (зеленом) Комитет по внутреннему транспорту и Отдел впервые позиционируются в качестве центральных структур, занимающихся конвенци</w:t>
      </w:r>
      <w:r w:rsidRPr="00AA74AB">
        <w:t>я</w:t>
      </w:r>
      <w:r w:rsidRPr="00AA74AB">
        <w:t xml:space="preserve">ми Организации Объединенных Наций и вопросами внутреннего транспорта в целом. </w:t>
      </w:r>
    </w:p>
    <w:p w:rsidR="00AA74AB" w:rsidRPr="00AA74AB" w:rsidRDefault="00AA74AB" w:rsidP="00AA74AB">
      <w:pPr>
        <w:pStyle w:val="SingleTxtGR"/>
      </w:pPr>
      <w:r w:rsidRPr="00AA74AB">
        <w:t>7.</w:t>
      </w:r>
      <w:r w:rsidRPr="00AA74AB">
        <w:tab/>
        <w:t>Участники были проинформированы о пассивной и активной коммуник</w:t>
      </w:r>
      <w:r w:rsidRPr="00AA74AB">
        <w:t>а</w:t>
      </w:r>
      <w:r w:rsidRPr="00AA74AB">
        <w:t>ционной продукции подпрограммы по транспорту. К первой категории относя</w:t>
      </w:r>
      <w:r w:rsidRPr="00AA74AB">
        <w:t>т</w:t>
      </w:r>
      <w:r w:rsidRPr="00AA74AB">
        <w:t xml:space="preserve">ся самые разные аналитические документы с новыми и сводными материалами для специалистов или информационные инструменты по передовой практике и другим вопросам. Активные коммуникационные продукты включают пресс-релизы, статьи в еженедельном информационном бюллетене ЕЭК ООН </w:t>
      </w:r>
      <w:r>
        <w:t>«</w:t>
      </w:r>
      <w:r w:rsidRPr="00AA74AB">
        <w:t>UNECE Weekly</w:t>
      </w:r>
      <w:r>
        <w:t>»</w:t>
      </w:r>
      <w:r w:rsidRPr="00AA74AB">
        <w:t>, кампании в средствах массовой информации, видеоматери</w:t>
      </w:r>
      <w:r w:rsidRPr="00AA74AB">
        <w:t>а</w:t>
      </w:r>
      <w:r w:rsidRPr="00AA74AB">
        <w:t xml:space="preserve">лы и участие в социальных сетях. </w:t>
      </w:r>
    </w:p>
    <w:p w:rsidR="00AA74AB" w:rsidRPr="00AA74AB" w:rsidRDefault="00AA74AB" w:rsidP="00AA74AB">
      <w:pPr>
        <w:pStyle w:val="SingleTxtGR"/>
      </w:pPr>
      <w:r w:rsidRPr="00AA74AB">
        <w:t>8.</w:t>
      </w:r>
      <w:r w:rsidRPr="00AA74AB">
        <w:tab/>
        <w:t>Эта успешная деятельность в сфере продвижения бренда и коммуникаций была затем рассмотрена участниками с учетом более широкого контекста, в к</w:t>
      </w:r>
      <w:r w:rsidRPr="00AA74AB">
        <w:t>о</w:t>
      </w:r>
      <w:r w:rsidRPr="00AA74AB">
        <w:t>тором такие материалы производятся и распространяются. Этот более широкий контекст определяется глобальными процессами исторических масштабов, к</w:t>
      </w:r>
      <w:r w:rsidRPr="00AA74AB">
        <w:t>о</w:t>
      </w:r>
      <w:r w:rsidRPr="00AA74AB">
        <w:t>торые варьируются от принятия целей в области устойчивого развития до н</w:t>
      </w:r>
      <w:r w:rsidRPr="00AA74AB">
        <w:t>е</w:t>
      </w:r>
      <w:r w:rsidRPr="00AA74AB">
        <w:t>давнего соглашения, принятого на саммите по климату в Париже (КС-21), и происходят на фоне тектонических сдвигов на уровне технологий, которые вкладывают новый смысл в саму суть транспортного сектора и выводят на п</w:t>
      </w:r>
      <w:r w:rsidRPr="00AA74AB">
        <w:t>е</w:t>
      </w:r>
      <w:r w:rsidRPr="00AA74AB">
        <w:t xml:space="preserve">редний план значимость выбора способа мобильности на устойчивой основе. </w:t>
      </w:r>
    </w:p>
    <w:p w:rsidR="00AA74AB" w:rsidRPr="00AA74AB" w:rsidRDefault="00AA74AB" w:rsidP="00AA74AB">
      <w:pPr>
        <w:pStyle w:val="SingleTxtGR"/>
      </w:pPr>
      <w:r w:rsidRPr="00AA74AB">
        <w:t>9.</w:t>
      </w:r>
      <w:r w:rsidRPr="00AA74AB">
        <w:tab/>
        <w:t>Участники единодушно согласились с тем, что выделенные глобальные тенденции и процессы региональной интеграции в последние десятилетия ка</w:t>
      </w:r>
      <w:r w:rsidRPr="00AA74AB">
        <w:t>р</w:t>
      </w:r>
      <w:r w:rsidRPr="00AA74AB">
        <w:t>динально изменили стратегическую обстановку, в которой Комитет действует сегодня. Эти изменения в конечном счете отразятся на работе Комитета, и п</w:t>
      </w:r>
      <w:r w:rsidRPr="00AA74AB">
        <w:t>о</w:t>
      </w:r>
      <w:r w:rsidRPr="00AA74AB">
        <w:t>этому Комитету необходимо будет адаптироваться к новым условиям. Кроме т</w:t>
      </w:r>
      <w:r w:rsidRPr="00AA74AB">
        <w:t>о</w:t>
      </w:r>
      <w:r w:rsidRPr="00AA74AB">
        <w:t>го, участники отметили, что в силу двойственности функций Комитета (реги</w:t>
      </w:r>
      <w:r w:rsidRPr="00AA74AB">
        <w:t>о</w:t>
      </w:r>
      <w:r w:rsidRPr="00AA74AB">
        <w:t>нальный и глобальный уровни) и быстро меняющейся обстановки Комитету было трудно позиционировать себя в прошлом по отношению к внешним и</w:t>
      </w:r>
      <w:r w:rsidRPr="00AA74AB">
        <w:t>н</w:t>
      </w:r>
      <w:r w:rsidRPr="00AA74AB">
        <w:t>ституциональным игрокам и неспециализированной аудитории и активно с</w:t>
      </w:r>
      <w:r w:rsidRPr="00AA74AB">
        <w:t>о</w:t>
      </w:r>
      <w:r w:rsidRPr="00AA74AB">
        <w:t>трудничать в областях, которые имеют непосредственное отношение к его р</w:t>
      </w:r>
      <w:r w:rsidRPr="00AA74AB">
        <w:t>а</w:t>
      </w:r>
      <w:r w:rsidRPr="00AA74AB">
        <w:t>боте, особенно в тех случаях, когда уже существовали многочисленные инст</w:t>
      </w:r>
      <w:r w:rsidRPr="00AA74AB">
        <w:t>и</w:t>
      </w:r>
      <w:r w:rsidRPr="00AA74AB">
        <w:t xml:space="preserve">туциональные субъекты и плотные институциональные сети. </w:t>
      </w:r>
    </w:p>
    <w:p w:rsidR="00AA74AB" w:rsidRPr="00AA74AB" w:rsidRDefault="00AA74AB" w:rsidP="00AA74AB">
      <w:pPr>
        <w:pStyle w:val="SingleTxtGR"/>
      </w:pPr>
      <w:r w:rsidRPr="00AA74AB">
        <w:t>10.</w:t>
      </w:r>
      <w:r w:rsidRPr="00AA74AB">
        <w:tab/>
        <w:t>Затем обсуждение сосредоточилось на поиске возможных ответов на в</w:t>
      </w:r>
      <w:r w:rsidRPr="00AA74AB">
        <w:t>ы</w:t>
      </w:r>
      <w:r w:rsidRPr="00AA74AB">
        <w:t>шеупомянутые проблемы.</w:t>
      </w:r>
    </w:p>
    <w:p w:rsidR="00AA74AB" w:rsidRPr="00AA74AB" w:rsidRDefault="00AA74AB" w:rsidP="00AA74AB">
      <w:pPr>
        <w:pStyle w:val="SingleTxtGR"/>
      </w:pPr>
      <w:r w:rsidRPr="00AA74AB">
        <w:t>11.</w:t>
      </w:r>
      <w:r w:rsidRPr="00AA74AB">
        <w:tab/>
        <w:t>Один из возможных ответов, который обсуждался среди участников, з</w:t>
      </w:r>
      <w:r w:rsidRPr="00AA74AB">
        <w:t>а</w:t>
      </w:r>
      <w:r w:rsidRPr="00AA74AB">
        <w:t>ключался в том, чтобы повысить информированность о Комитете и его рабочих группах, которая, по общему мнению, уже находится на довольно высоком уровне, если говорить о специализированных профессиональных клиентах. Напротив, Комитет не получил признания и известности в менее специализир</w:t>
      </w:r>
      <w:r w:rsidRPr="00AA74AB">
        <w:t>о</w:t>
      </w:r>
      <w:r w:rsidRPr="00AA74AB">
        <w:t>ванных кругах, где о нем порой вообще не слышали, причем, хотя и в меньшей степени, даже в транспортном сообществе и среди учреждений, занимающихся вопросами транспорта.</w:t>
      </w:r>
    </w:p>
    <w:p w:rsidR="00AA74AB" w:rsidRPr="00AA74AB" w:rsidRDefault="00AA74AB" w:rsidP="00AA74AB">
      <w:pPr>
        <w:pStyle w:val="SingleTxtGR"/>
      </w:pPr>
      <w:r w:rsidRPr="00AA74AB">
        <w:t>12.</w:t>
      </w:r>
      <w:r w:rsidRPr="00AA74AB">
        <w:tab/>
        <w:t>Были определены следующие основные шаги, которые могут улучшить репутацию Комитета и повысить информированность о нем:</w:t>
      </w:r>
    </w:p>
    <w:p w:rsidR="00AA74AB" w:rsidRPr="00AA74AB" w:rsidRDefault="000B648F" w:rsidP="00AA74AB">
      <w:pPr>
        <w:pStyle w:val="SingleTxtGR"/>
      </w:pPr>
      <w:r>
        <w:tab/>
      </w:r>
      <w:r w:rsidR="00AA74AB" w:rsidRPr="00AA74AB">
        <w:t>а)</w:t>
      </w:r>
      <w:r w:rsidR="00AA74AB" w:rsidRPr="00AA74AB">
        <w:tab/>
        <w:t xml:space="preserve">изменение коммуникационной практики; </w:t>
      </w:r>
    </w:p>
    <w:p w:rsidR="00AA74AB" w:rsidRPr="00AA74AB" w:rsidRDefault="000B648F" w:rsidP="00AA74AB">
      <w:pPr>
        <w:pStyle w:val="SingleTxtGR"/>
      </w:pPr>
      <w:r>
        <w:lastRenderedPageBreak/>
        <w:tab/>
      </w:r>
      <w:r w:rsidR="00AA74AB" w:rsidRPr="00AA74AB">
        <w:t>b)</w:t>
      </w:r>
      <w:r w:rsidR="00AA74AB" w:rsidRPr="00AA74AB">
        <w:tab/>
        <w:t xml:space="preserve">более широкое освещение в авторитетных изданиях; </w:t>
      </w:r>
    </w:p>
    <w:p w:rsidR="00AA74AB" w:rsidRPr="00AA74AB" w:rsidRDefault="000B648F" w:rsidP="00AA74AB">
      <w:pPr>
        <w:pStyle w:val="SingleTxtGR"/>
      </w:pPr>
      <w:r>
        <w:tab/>
      </w:r>
      <w:r w:rsidR="00AA74AB" w:rsidRPr="00AA74AB">
        <w:t>c)</w:t>
      </w:r>
      <w:r w:rsidR="00AA74AB" w:rsidRPr="00AA74AB">
        <w:tab/>
        <w:t xml:space="preserve">повышение информированности о </w:t>
      </w:r>
      <w:r w:rsidR="00AA74AB">
        <w:t>«</w:t>
      </w:r>
      <w:r w:rsidR="00AA74AB" w:rsidRPr="00AA74AB">
        <w:t>продукции</w:t>
      </w:r>
      <w:r w:rsidR="00AA74AB">
        <w:t>»</w:t>
      </w:r>
      <w:r w:rsidR="00AA74AB" w:rsidRPr="00AA74AB">
        <w:t xml:space="preserve"> Комитета; </w:t>
      </w:r>
    </w:p>
    <w:p w:rsidR="00AA74AB" w:rsidRPr="00AA74AB" w:rsidRDefault="000B648F" w:rsidP="00AA74AB">
      <w:pPr>
        <w:pStyle w:val="SingleTxtGR"/>
      </w:pPr>
      <w:r>
        <w:tab/>
      </w:r>
      <w:r w:rsidR="00AA74AB" w:rsidRPr="00AA74AB">
        <w:t>d)</w:t>
      </w:r>
      <w:r w:rsidR="00AA74AB" w:rsidRPr="00AA74AB">
        <w:tab/>
        <w:t>использование возможностей в связи с празднованием семидесятой годовщины; и наконец, но не в последнюю очередь</w:t>
      </w:r>
    </w:p>
    <w:p w:rsidR="00AA74AB" w:rsidRPr="00AA74AB" w:rsidRDefault="000B648F" w:rsidP="00AA74AB">
      <w:pPr>
        <w:pStyle w:val="SingleTxtGR"/>
      </w:pPr>
      <w:r>
        <w:tab/>
      </w:r>
      <w:r w:rsidR="00AA74AB" w:rsidRPr="00AA74AB">
        <w:t>e)</w:t>
      </w:r>
      <w:r w:rsidR="00AA74AB" w:rsidRPr="00AA74AB">
        <w:tab/>
        <w:t>проведение стратегического обзора деятельности Комитета, в том числе планов коммуникационной и информационно-пропагандистской деятел</w:t>
      </w:r>
      <w:r w:rsidR="00AA74AB" w:rsidRPr="00AA74AB">
        <w:t>ь</w:t>
      </w:r>
      <w:r w:rsidR="00AA74AB" w:rsidRPr="00AA74AB">
        <w:t xml:space="preserve">ности. </w:t>
      </w:r>
    </w:p>
    <w:p w:rsidR="00AA74AB" w:rsidRPr="00AA74AB" w:rsidRDefault="00AA74AB" w:rsidP="00AA74AB">
      <w:pPr>
        <w:pStyle w:val="SingleTxtGR"/>
      </w:pPr>
      <w:r w:rsidRPr="00AA74AB">
        <w:t>13.</w:t>
      </w:r>
      <w:r w:rsidRPr="00AA74AB">
        <w:tab/>
        <w:t>Изменение коммуникационной практики рассматривалось через призму различных способов представления результатов работы Комитета в средствах массовой информации. Пресс-релизы, которые готовятся секретариатом и и</w:t>
      </w:r>
      <w:r w:rsidRPr="00AA74AB">
        <w:t>з</w:t>
      </w:r>
      <w:r w:rsidRPr="00AA74AB">
        <w:t>даются в системе Организации Объединенных Наций, не всегда получают ож</w:t>
      </w:r>
      <w:r w:rsidRPr="00AA74AB">
        <w:t>и</w:t>
      </w:r>
      <w:r w:rsidRPr="00AA74AB">
        <w:t>даемого внимания в силу их неполитического характера. Вместе с тем участн</w:t>
      </w:r>
      <w:r w:rsidRPr="00AA74AB">
        <w:t>и</w:t>
      </w:r>
      <w:r w:rsidRPr="00AA74AB">
        <w:t>ки рабочих групп, возможно, хотели бы использовать эти пресс-релизы по св</w:t>
      </w:r>
      <w:r w:rsidRPr="00AA74AB">
        <w:t>о</w:t>
      </w:r>
      <w:r w:rsidRPr="00AA74AB">
        <w:t>им каналам. Обсуждался также вопрос о том, насколько эффективной окажется практика выбора из числа участников рабочих групп представителя для инфо</w:t>
      </w:r>
      <w:r w:rsidRPr="00AA74AB">
        <w:t>р</w:t>
      </w:r>
      <w:r w:rsidRPr="00AA74AB">
        <w:t>мирования о той или иной поправке к конвенции, для того чтобы привлечь вн</w:t>
      </w:r>
      <w:r w:rsidRPr="00AA74AB">
        <w:t>и</w:t>
      </w:r>
      <w:r w:rsidRPr="00AA74AB">
        <w:t>мание к знаковым результатам работы Комитета и благодаря этому к его де</w:t>
      </w:r>
      <w:r w:rsidRPr="00AA74AB">
        <w:t>я</w:t>
      </w:r>
      <w:r w:rsidRPr="00AA74AB">
        <w:t>тельности в целом. В то же время участники подчеркнули, что работа по акт</w:t>
      </w:r>
      <w:r w:rsidRPr="00AA74AB">
        <w:t>и</w:t>
      </w:r>
      <w:r w:rsidRPr="00AA74AB">
        <w:t xml:space="preserve">визации коммуникационной и информационно-просветительской деятельности Комитета должна проводиться с использованием существующих бюджетных ресурсов. </w:t>
      </w:r>
    </w:p>
    <w:p w:rsidR="00AA74AB" w:rsidRPr="00AA74AB" w:rsidRDefault="00AA74AB" w:rsidP="00AA74AB">
      <w:pPr>
        <w:pStyle w:val="SingleTxtGR"/>
      </w:pPr>
      <w:r w:rsidRPr="00AA74AB">
        <w:t>14.</w:t>
      </w:r>
      <w:r w:rsidRPr="00AA74AB">
        <w:tab/>
        <w:t>Было сочтено, что задействование популярных печатных изданий являе</w:t>
      </w:r>
      <w:r w:rsidRPr="00AA74AB">
        <w:t>т</w:t>
      </w:r>
      <w:r w:rsidRPr="00AA74AB">
        <w:t>ся хорошей возможностью для охвата как можно более широкой аудитории. Б</w:t>
      </w:r>
      <w:r w:rsidRPr="00AA74AB">
        <w:t>ы</w:t>
      </w:r>
      <w:r w:rsidRPr="00AA74AB">
        <w:t xml:space="preserve">ло отмечено, что </w:t>
      </w:r>
      <w:r>
        <w:t>«</w:t>
      </w:r>
      <w:r w:rsidRPr="00AA74AB">
        <w:t>Оранжевая книга</w:t>
      </w:r>
      <w:r>
        <w:t>»</w:t>
      </w:r>
      <w:r w:rsidRPr="00AA74AB">
        <w:t xml:space="preserve"> (публикации по перевозке опасных грузов) пользуется наибольшим спросом среди изданий Организации Объединенных Наций. Было выражено общее согласие с тем, что публикации ЕЭК ООН по транспорту полезны и уже хорошо известны в специализированных кругах. Б</w:t>
      </w:r>
      <w:r w:rsidRPr="00AA74AB">
        <w:t>ы</w:t>
      </w:r>
      <w:r w:rsidRPr="00AA74AB">
        <w:t>ло также отмечено, что аналитическая деятельность секретариата призвана главным образом оказать поддержку в работе Комитета и его вспомогательных органов и поэтому вполне понятно, что она носит весьма специфический х</w:t>
      </w:r>
      <w:r w:rsidRPr="00AA74AB">
        <w:t>а</w:t>
      </w:r>
      <w:r w:rsidRPr="00AA74AB">
        <w:t xml:space="preserve">рактер. Тем не менее она может иметь отношение и к более широкой аудитории. Участники совещания сочли, что публикация </w:t>
      </w:r>
      <w:r>
        <w:t>«</w:t>
      </w:r>
      <w:r w:rsidRPr="00AA74AB">
        <w:t>Транспорт в интересах устойч</w:t>
      </w:r>
      <w:r w:rsidRPr="00AA74AB">
        <w:t>и</w:t>
      </w:r>
      <w:r w:rsidRPr="00AA74AB">
        <w:t>вого развития: внутренний водный транспорт</w:t>
      </w:r>
      <w:r>
        <w:t>»</w:t>
      </w:r>
      <w:r w:rsidRPr="00AA74AB">
        <w:t>, подготовленная совместно с другими региональными комиссиями, МСЖД и МСАТ, является хорошим пр</w:t>
      </w:r>
      <w:r w:rsidRPr="00AA74AB">
        <w:t>и</w:t>
      </w:r>
      <w:r w:rsidRPr="00AA74AB">
        <w:t>мером, поскольку она продемонстрировала сотрудничество с другими департ</w:t>
      </w:r>
      <w:r w:rsidRPr="00AA74AB">
        <w:t>а</w:t>
      </w:r>
      <w:r w:rsidRPr="00AA74AB">
        <w:t>ментами Организации Объединенных Наций и свидетельствует об актуальности этой темы (см. пункт 22 настоящего доклада). Кроме того, участники подчер</w:t>
      </w:r>
      <w:r w:rsidRPr="00AA74AB">
        <w:t>к</w:t>
      </w:r>
      <w:r w:rsidRPr="00AA74AB">
        <w:t xml:space="preserve">нули, что повышение информированности о Комитете и его рабочих группах на глобальном уровне имеет важное значение для облегчения присоединения к международным транспортным конвенциям Организации Объединенных Наций, относящимся к ведению Комитета. </w:t>
      </w:r>
    </w:p>
    <w:p w:rsidR="00AA74AB" w:rsidRPr="00AA74AB" w:rsidRDefault="00AA74AB" w:rsidP="00AA74AB">
      <w:pPr>
        <w:pStyle w:val="SingleTxtGR"/>
      </w:pPr>
      <w:r w:rsidRPr="00AA74AB">
        <w:t>15.</w:t>
      </w:r>
      <w:r w:rsidRPr="00AA74AB">
        <w:tab/>
        <w:t xml:space="preserve">В процессе обзора реформы ЕЭК уже начали уделять более пристальное внимание </w:t>
      </w:r>
      <w:r>
        <w:t>«</w:t>
      </w:r>
      <w:r w:rsidRPr="00AA74AB">
        <w:t>продуктам</w:t>
      </w:r>
      <w:r>
        <w:t>»</w:t>
      </w:r>
      <w:r w:rsidRPr="00AA74AB">
        <w:t xml:space="preserve"> Комитета и говорить об их воздействии и выгодах, и участники приветствовали серию публикаций (</w:t>
      </w:r>
      <w:r>
        <w:t>«</w:t>
      </w:r>
      <w:r w:rsidRPr="00AA74AB">
        <w:t>дорожные карты</w:t>
      </w:r>
      <w:r>
        <w:t>»</w:t>
      </w:r>
      <w:r w:rsidRPr="00AA74AB">
        <w:t xml:space="preserve">, </w:t>
      </w:r>
      <w:r>
        <w:t>«</w:t>
      </w:r>
      <w:r w:rsidRPr="00AA74AB">
        <w:t>спектр де</w:t>
      </w:r>
      <w:r w:rsidRPr="00AA74AB">
        <w:t>я</w:t>
      </w:r>
      <w:r w:rsidRPr="00AA74AB">
        <w:t>тельности</w:t>
      </w:r>
      <w:r>
        <w:t>»</w:t>
      </w:r>
      <w:r w:rsidRPr="00AA74AB">
        <w:t xml:space="preserve"> и т.д.) и видеоматериалов (правовые документы по безопасности дорожного движения, железнодорожные переезды), которые были подготовл</w:t>
      </w:r>
      <w:r w:rsidRPr="00AA74AB">
        <w:t>е</w:t>
      </w:r>
      <w:r w:rsidRPr="00AA74AB">
        <w:t>ны по ее итогам. В то же время подчеркивалось, что нужно еще убедительнее демонстрировать преимущества различных конвенций. Кроме того, было рек</w:t>
      </w:r>
      <w:r w:rsidRPr="00AA74AB">
        <w:t>о</w:t>
      </w:r>
      <w:r w:rsidRPr="00AA74AB">
        <w:t>мендовано изучить возможности для предоставления новых услуг. В этой связи упоминалась база данных МДП как пример надлежащей практики оказания д</w:t>
      </w:r>
      <w:r w:rsidRPr="00AA74AB">
        <w:t>о</w:t>
      </w:r>
      <w:r w:rsidRPr="00AA74AB">
        <w:lastRenderedPageBreak/>
        <w:t>полнительных услуг Договаривающимся сторонам и их предприятиям в ходе осуществления Конвенции МДП. Аналогичным образом в секретариате ЕЭК ООН может быть создана база данных, касающихся телематики перевозки опасных грузов. В такой базе данных будут регистрироваться ДТП, связанные с опасными грузами. Информация в этой базе данных может быть доступна та</w:t>
      </w:r>
      <w:r w:rsidRPr="00AA74AB">
        <w:t>к</w:t>
      </w:r>
      <w:r w:rsidRPr="00AA74AB">
        <w:t>же для исследователей, что тем самым повысит привлекательность веб-сайтов Комитета и для специализированных клиентов, и для более широких професс</w:t>
      </w:r>
      <w:r w:rsidRPr="00AA74AB">
        <w:t>и</w:t>
      </w:r>
      <w:r w:rsidRPr="00AA74AB">
        <w:t>ональных кругов как источника высококачественных данных и сведений. Кроме того, создание платформы для информирования о перевозках опасных грузов по автомобильным дорогам позволит национальным органам в режиме реального времени получать информацию в случае аварии, содействуя укреплению их п</w:t>
      </w:r>
      <w:r w:rsidRPr="00AA74AB">
        <w:t>о</w:t>
      </w:r>
      <w:r w:rsidRPr="00AA74AB">
        <w:t xml:space="preserve">тенциала реагирования и смягчению негативных последствий таких ДТП. Более того, такой проект будет способствовать ускоренному переходу транспортных ведомств на цифровые технологии. </w:t>
      </w:r>
    </w:p>
    <w:p w:rsidR="00AA74AB" w:rsidRPr="00AA74AB" w:rsidRDefault="00AA74AB" w:rsidP="00AA74AB">
      <w:pPr>
        <w:pStyle w:val="SingleTxtGR"/>
      </w:pPr>
      <w:r w:rsidRPr="00AA74AB">
        <w:t>16.</w:t>
      </w:r>
      <w:r w:rsidRPr="00AA74AB">
        <w:tab/>
        <w:t>Семидесятая годовщина Комитета может стать великолепной возможн</w:t>
      </w:r>
      <w:r w:rsidRPr="00AA74AB">
        <w:t>о</w:t>
      </w:r>
      <w:r w:rsidRPr="00AA74AB">
        <w:t xml:space="preserve">стью для повышения осведомленности о его деятельности. </w:t>
      </w:r>
    </w:p>
    <w:p w:rsidR="00AA74AB" w:rsidRPr="00AA74AB" w:rsidRDefault="00AA74AB" w:rsidP="00AA74AB">
      <w:pPr>
        <w:pStyle w:val="SingleTxtGR"/>
      </w:pPr>
      <w:r w:rsidRPr="00AA74AB">
        <w:t>17.</w:t>
      </w:r>
      <w:r w:rsidRPr="00AA74AB">
        <w:tab/>
        <w:t>По мнению участников, в процессе празднования семидесятилетия сл</w:t>
      </w:r>
      <w:r w:rsidRPr="00AA74AB">
        <w:t>е</w:t>
      </w:r>
      <w:r w:rsidRPr="00AA74AB">
        <w:t>дует также обсудить вопрос о будущем Комитета. Этот вопрос рассматривался не только в целях изучения путей повышения информированности, но также в связи с недавними сокращениями должностей в Отделе устойчивого транспо</w:t>
      </w:r>
      <w:r w:rsidRPr="00AA74AB">
        <w:t>р</w:t>
      </w:r>
      <w:r w:rsidRPr="00AA74AB">
        <w:t>та. По предложению Швейцарии участники обсудили необходимость стратег</w:t>
      </w:r>
      <w:r w:rsidRPr="00AA74AB">
        <w:t>и</w:t>
      </w:r>
      <w:r w:rsidRPr="00AA74AB">
        <w:t>ческого обзора деятельности Комитета и его приоритетов и согласились с этим. Изменения внешних условий функционирования Комитета за последние 70 лет, недавно принятая Повестка дня в области устойчивого развития до 2030 года, повышенное внимание к проблемам смягчения изменения климата и адаптации к нему, вопросам безопасности дорожного движения и внутреннего транспорта, а также, что ещ</w:t>
      </w:r>
      <w:r w:rsidR="00E12C7C">
        <w:t>е</w:t>
      </w:r>
      <w:r w:rsidRPr="00AA74AB">
        <w:t xml:space="preserve"> более важно, переход сектора на цифровую обработку данных и всевозрастающее значение интеллектуальных транспортных систем (ИТС) – вс</w:t>
      </w:r>
      <w:r w:rsidR="00E12C7C">
        <w:t>е</w:t>
      </w:r>
      <w:r w:rsidRPr="00AA74AB">
        <w:t xml:space="preserve"> это говорит о необходимости оценки или переоценки ключевых направл</w:t>
      </w:r>
      <w:r w:rsidRPr="00AA74AB">
        <w:t>е</w:t>
      </w:r>
      <w:r w:rsidRPr="00AA74AB">
        <w:t>ний деятельности Комитета. Делегаты согласились с тем, что в качестве основы следует использовать документ Комитета об обзоре 2004 года. Однако его не следует ограничивать деятельностью только Комитета, в обзоре целесообразно проанализировать всю деятельность Отдела устойчивого транспорта, а также наличие регулярного бюджета и способность мобилизовать и использовать вн</w:t>
      </w:r>
      <w:r w:rsidRPr="00AA74AB">
        <w:t>е</w:t>
      </w:r>
      <w:r w:rsidRPr="00AA74AB">
        <w:t>бюджетные ресурсы.</w:t>
      </w:r>
    </w:p>
    <w:p w:rsidR="00AA74AB" w:rsidRPr="00AA74AB" w:rsidRDefault="00AA74AB" w:rsidP="00AA74AB">
      <w:pPr>
        <w:pStyle w:val="SingleTxtGR"/>
      </w:pPr>
      <w:r w:rsidRPr="00AA74AB">
        <w:t>18.</w:t>
      </w:r>
      <w:r w:rsidRPr="00AA74AB">
        <w:tab/>
        <w:t>Комитет просил секретариат разработать такую стратегию в тесном с</w:t>
      </w:r>
      <w:r w:rsidRPr="00AA74AB">
        <w:t>о</w:t>
      </w:r>
      <w:r w:rsidRPr="00AA74AB">
        <w:t>трудничестве с правительствами, председателями рабочих групп и администр</w:t>
      </w:r>
      <w:r w:rsidRPr="00AA74AB">
        <w:t>а</w:t>
      </w:r>
      <w:r w:rsidRPr="00AA74AB">
        <w:t>тивных комитетов и, конечно, членами Бюро Комитета. Этот стратегический документ, возможно, является одним из наиболее важных документов на юб</w:t>
      </w:r>
      <w:r w:rsidRPr="00AA74AB">
        <w:t>и</w:t>
      </w:r>
      <w:r w:rsidRPr="00AA74AB">
        <w:t xml:space="preserve">лейной сессии Комитета в 2017 году и мог бы стать основой для резолюции по случаю семидесятой годовщины Комитета и разработки </w:t>
      </w:r>
      <w:r>
        <w:t>«</w:t>
      </w:r>
      <w:r w:rsidRPr="00AA74AB">
        <w:t>дорожной карты</w:t>
      </w:r>
      <w:r>
        <w:t>»</w:t>
      </w:r>
      <w:r w:rsidRPr="00AA74AB">
        <w:t xml:space="preserve"> для него на будущее. </w:t>
      </w:r>
    </w:p>
    <w:p w:rsidR="00AA74AB" w:rsidRPr="00AA74AB" w:rsidRDefault="00AA74AB" w:rsidP="00AA74AB">
      <w:pPr>
        <w:pStyle w:val="SingleTxtGR"/>
      </w:pPr>
      <w:r w:rsidRPr="00AA74AB">
        <w:t>19.</w:t>
      </w:r>
      <w:r w:rsidRPr="00AA74AB">
        <w:tab/>
        <w:t>В ходе обмена идеями относительно будущей стратегии Комитета и в б</w:t>
      </w:r>
      <w:r w:rsidRPr="00AA74AB">
        <w:t>о</w:t>
      </w:r>
      <w:r w:rsidRPr="00AA74AB">
        <w:t>лее широком плане при обсуждении вопроса об осведомленности о деятельн</w:t>
      </w:r>
      <w:r w:rsidRPr="00AA74AB">
        <w:t>о</w:t>
      </w:r>
      <w:r w:rsidRPr="00AA74AB">
        <w:t>сти Комитета и его коммуникационной стратегии делегации высказали, среди прочего, следующие предложения:</w:t>
      </w:r>
    </w:p>
    <w:p w:rsidR="00AA74AB" w:rsidRPr="00AA74AB" w:rsidRDefault="00AA74AB" w:rsidP="000B648F">
      <w:pPr>
        <w:pStyle w:val="Bullet1GR"/>
      </w:pPr>
      <w:r w:rsidRPr="00AA74AB">
        <w:t xml:space="preserve">Было указано, что на сегодняшний день Комитет обладает значительными </w:t>
      </w:r>
      <w:r>
        <w:t>«</w:t>
      </w:r>
      <w:r w:rsidRPr="00AA74AB">
        <w:t>активами</w:t>
      </w:r>
      <w:r>
        <w:t>»</w:t>
      </w:r>
      <w:r w:rsidRPr="00AA74AB">
        <w:t xml:space="preserve"> и имеет здоровую основу, на которой можно строить работу. Он располагает также политическими и институциональными механи</w:t>
      </w:r>
      <w:r w:rsidRPr="00AA74AB">
        <w:t>з</w:t>
      </w:r>
      <w:r w:rsidRPr="00AA74AB">
        <w:t>мами и возможностями для выполнения текущих и новых задач в буд</w:t>
      </w:r>
      <w:r w:rsidRPr="00AA74AB">
        <w:t>у</w:t>
      </w:r>
      <w:r w:rsidRPr="00AA74AB">
        <w:t>щем и тем самым может способствовать развитию устойчивых тран</w:t>
      </w:r>
      <w:r w:rsidRPr="00AA74AB">
        <w:t>с</w:t>
      </w:r>
      <w:r w:rsidRPr="00AA74AB">
        <w:lastRenderedPageBreak/>
        <w:t>портных систем. Было сочтено важным, чтобы в этом стратегическом д</w:t>
      </w:r>
      <w:r w:rsidRPr="00AA74AB">
        <w:t>о</w:t>
      </w:r>
      <w:r w:rsidRPr="00AA74AB">
        <w:t>кументе была рассмотрена связь между глобальным – региональным уровнем, значимость которой возросла в силу того, что в ведении Ком</w:t>
      </w:r>
      <w:r w:rsidRPr="00AA74AB">
        <w:t>и</w:t>
      </w:r>
      <w:r w:rsidRPr="00AA74AB">
        <w:t>тета находятся как глобальные по своему охвату, так региональные ко</w:t>
      </w:r>
      <w:r w:rsidRPr="00AA74AB">
        <w:t>н</w:t>
      </w:r>
      <w:r w:rsidRPr="00AA74AB">
        <w:t>венции, многие из которых приобретают все более глобальный характер. В то же время крайне важно применять не только восходящий, но и ни</w:t>
      </w:r>
      <w:r w:rsidRPr="00AA74AB">
        <w:t>с</w:t>
      </w:r>
      <w:r w:rsidRPr="00AA74AB">
        <w:t>ходящий подход, анализируя общую картину: какова будущая концепция мобильности и транспорта?; каковы перспективы для Комитета? Такой ретроспективный анализ можно было бы начать с определения желател</w:t>
      </w:r>
      <w:r w:rsidRPr="00AA74AB">
        <w:t>ь</w:t>
      </w:r>
      <w:r w:rsidRPr="00AA74AB">
        <w:t>ных будущих тенденций, а затем, изучив сложившуюся ситуацию, сфо</w:t>
      </w:r>
      <w:r w:rsidRPr="00AA74AB">
        <w:t>р</w:t>
      </w:r>
      <w:r w:rsidRPr="00AA74AB">
        <w:t>мулировать стратегии и программы, которые увяжут будущее с насто</w:t>
      </w:r>
      <w:r w:rsidRPr="00AA74AB">
        <w:t>я</w:t>
      </w:r>
      <w:r w:rsidRPr="00AA74AB">
        <w:t>щим. Это может помочь лучше понять основные факторы, которые будут определять будущие приоритеты Комитета.</w:t>
      </w:r>
    </w:p>
    <w:p w:rsidR="00AA74AB" w:rsidRPr="00AA74AB" w:rsidRDefault="00AA74AB" w:rsidP="000B648F">
      <w:pPr>
        <w:pStyle w:val="Bullet1GR"/>
      </w:pPr>
      <w:r w:rsidRPr="00AA74AB">
        <w:t xml:space="preserve">Ряд делегатов указали, что административное сопровождение конвенций и техническая работа по </w:t>
      </w:r>
      <w:r>
        <w:t>«</w:t>
      </w:r>
      <w:r w:rsidRPr="00AA74AB">
        <w:t>установлению стандартов</w:t>
      </w:r>
      <w:r>
        <w:t>»</w:t>
      </w:r>
      <w:r w:rsidRPr="00AA74AB">
        <w:t xml:space="preserve"> являются основн</w:t>
      </w:r>
      <w:r w:rsidRPr="00AA74AB">
        <w:t>ы</w:t>
      </w:r>
      <w:r w:rsidRPr="00AA74AB">
        <w:t>ми приоритетами и должны и впредь находиться в центре внимания К</w:t>
      </w:r>
      <w:r w:rsidRPr="00AA74AB">
        <w:t>о</w:t>
      </w:r>
      <w:r w:rsidRPr="00AA74AB">
        <w:t xml:space="preserve">митета. </w:t>
      </w:r>
    </w:p>
    <w:p w:rsidR="00AA74AB" w:rsidRPr="00AA74AB" w:rsidRDefault="00AA74AB" w:rsidP="000B648F">
      <w:pPr>
        <w:pStyle w:val="Bullet1GR"/>
      </w:pPr>
      <w:r w:rsidRPr="00AA74AB">
        <w:t>По мнению некоторых делегатов, наивысшим приоритетом должны быть стратегии ИТС и автоматизированное вождение. Несколько раз подн</w:t>
      </w:r>
      <w:r w:rsidRPr="00AA74AB">
        <w:t>и</w:t>
      </w:r>
      <w:r w:rsidRPr="00AA74AB">
        <w:t>мался вопрос о необходимости интеллектуальных правил. Подчеркив</w:t>
      </w:r>
      <w:r w:rsidRPr="00AA74AB">
        <w:t>а</w:t>
      </w:r>
      <w:r w:rsidRPr="00AA74AB">
        <w:t>лась важность использования в транспортном секторе цифрового форм</w:t>
      </w:r>
      <w:r w:rsidRPr="00AA74AB">
        <w:t>а</w:t>
      </w:r>
      <w:r w:rsidRPr="00AA74AB">
        <w:t>та, и затрагивались вопросы о том, каким образом нынешняя междун</w:t>
      </w:r>
      <w:r w:rsidRPr="00AA74AB">
        <w:t>а</w:t>
      </w:r>
      <w:r w:rsidRPr="00AA74AB">
        <w:t>родная регулятивная архитектура поддерживает уже происходящие те</w:t>
      </w:r>
      <w:r w:rsidRPr="00AA74AB">
        <w:t>х</w:t>
      </w:r>
      <w:r w:rsidRPr="00AA74AB">
        <w:t>нологические и рыночные изменения. Кроме того, в качестве областей, на которые стоит обратить особое внимание, рассматривались вопросы ци</w:t>
      </w:r>
      <w:r w:rsidRPr="00AA74AB">
        <w:t>ф</w:t>
      </w:r>
      <w:r w:rsidRPr="00AA74AB">
        <w:t>ровой обработки и сбора данных, а также управления базами данных ЕЭК ООН и Комитетом. Решительную поддержку получил также вопрос о безопасности внутреннего транспорта. По мнению участников, необх</w:t>
      </w:r>
      <w:r w:rsidRPr="00AA74AB">
        <w:t>о</w:t>
      </w:r>
      <w:r w:rsidRPr="00AA74AB">
        <w:t>димо руководствоваться двумя основными целями: сохранение рент</w:t>
      </w:r>
      <w:r w:rsidRPr="00AA74AB">
        <w:t>а</w:t>
      </w:r>
      <w:r w:rsidRPr="00AA74AB">
        <w:t xml:space="preserve">бельности и полезность деятельности. </w:t>
      </w:r>
    </w:p>
    <w:p w:rsidR="00AA74AB" w:rsidRPr="00AA74AB" w:rsidRDefault="00AA74AB" w:rsidP="000B648F">
      <w:pPr>
        <w:pStyle w:val="Bullet1GR"/>
      </w:pPr>
      <w:r w:rsidRPr="00AA74AB">
        <w:t>Ряд делегатов указали на то, что рабочие группы сталкиваются с задер</w:t>
      </w:r>
      <w:r w:rsidRPr="00AA74AB">
        <w:t>ж</w:t>
      </w:r>
      <w:r w:rsidRPr="00AA74AB">
        <w:t>ками в принятии поправок к правовым документам, которые имеют крайне важное значение для своевременного обновления этих документов и поддержания их актуальности. Этот вопрос приобретает еще большее значение в силу быстрых темпов появления инноваций и новых технол</w:t>
      </w:r>
      <w:r w:rsidRPr="00AA74AB">
        <w:t>о</w:t>
      </w:r>
      <w:r w:rsidRPr="00AA74AB">
        <w:t>гий. Это означает, что задержки в адаптации документов снижают их зн</w:t>
      </w:r>
      <w:r w:rsidRPr="00AA74AB">
        <w:t>а</w:t>
      </w:r>
      <w:r w:rsidRPr="00AA74AB">
        <w:t xml:space="preserve">чимость. </w:t>
      </w:r>
    </w:p>
    <w:p w:rsidR="00AA74AB" w:rsidRPr="00AA74AB" w:rsidRDefault="00AA74AB" w:rsidP="000B648F">
      <w:pPr>
        <w:pStyle w:val="Bullet1GR"/>
      </w:pPr>
      <w:r w:rsidRPr="00AA74AB">
        <w:t>Было выделена проблема ресурсов и подчеркивалось, что ее решение я</w:t>
      </w:r>
      <w:r w:rsidRPr="00AA74AB">
        <w:t>в</w:t>
      </w:r>
      <w:r w:rsidRPr="00AA74AB">
        <w:t>ляется одним из ключевых аспектов, без которого невозможно сформир</w:t>
      </w:r>
      <w:r w:rsidRPr="00AA74AB">
        <w:t>о</w:t>
      </w:r>
      <w:r w:rsidRPr="00AA74AB">
        <w:t>вать прочную основу для принятия комплекса реалистичных, но в то же время далеко идущих приоритетных задач в работе Комитета.</w:t>
      </w:r>
    </w:p>
    <w:p w:rsidR="00AA74AB" w:rsidRPr="00AA74AB" w:rsidRDefault="00AA74AB" w:rsidP="000B648F">
      <w:pPr>
        <w:pStyle w:val="HChGR"/>
      </w:pPr>
      <w:r w:rsidRPr="00AA74AB">
        <w:tab/>
        <w:t>III.</w:t>
      </w:r>
      <w:r w:rsidRPr="00AA74AB">
        <w:tab/>
        <w:t>Подготовительная работа в связи с семидесятой годовщиной Комитета</w:t>
      </w:r>
    </w:p>
    <w:p w:rsidR="00AA74AB" w:rsidRPr="00AA74AB" w:rsidRDefault="00AA74AB" w:rsidP="00AA74AB">
      <w:pPr>
        <w:pStyle w:val="SingleTxtGR"/>
      </w:pPr>
      <w:r w:rsidRPr="00AA74AB">
        <w:t>20.</w:t>
      </w:r>
      <w:r w:rsidRPr="00AA74AB">
        <w:tab/>
        <w:t>Участники единогласно поддержали инициативу секретариата по подг</w:t>
      </w:r>
      <w:r w:rsidRPr="00AA74AB">
        <w:t>о</w:t>
      </w:r>
      <w:r w:rsidRPr="00AA74AB">
        <w:t>товке публикации по истории КВТ. В преддверии семидесятой годовщины К</w:t>
      </w:r>
      <w:r w:rsidRPr="00AA74AB">
        <w:t>о</w:t>
      </w:r>
      <w:r w:rsidRPr="00AA74AB">
        <w:t>митета секретариат приступил к опубликованию обзора исторических событий и результатов, который будет включать следующую информацию за каждый год семи десятилетий: мировая истори</w:t>
      </w:r>
      <w:r w:rsidR="00E12C7C">
        <w:t>я</w:t>
      </w:r>
      <w:r w:rsidRPr="00AA74AB">
        <w:t xml:space="preserve"> и события, имеющие важное значение для </w:t>
      </w:r>
      <w:r w:rsidRPr="00AA74AB">
        <w:lastRenderedPageBreak/>
        <w:t>государств − членов ЕЭК ООН, культурные и научные достижения, инновации и события в области транспорта и коммуникаций, результаты КВТ и его раб</w:t>
      </w:r>
      <w:r w:rsidRPr="00AA74AB">
        <w:t>о</w:t>
      </w:r>
      <w:r w:rsidRPr="00AA74AB">
        <w:t>чих групп. Это позволит продемонстрировать итоги КВТ в более широком и</w:t>
      </w:r>
      <w:r w:rsidRPr="00AA74AB">
        <w:t>с</w:t>
      </w:r>
      <w:r w:rsidRPr="00AA74AB">
        <w:t>торическом контексте. Предполагается, что такая публикация будет представл</w:t>
      </w:r>
      <w:r w:rsidRPr="00AA74AB">
        <w:t>е</w:t>
      </w:r>
      <w:r w:rsidRPr="00AA74AB">
        <w:t xml:space="preserve">на в первый день сессии КВТ. </w:t>
      </w:r>
    </w:p>
    <w:p w:rsidR="00AA74AB" w:rsidRPr="00AA74AB" w:rsidRDefault="00AA74AB" w:rsidP="00AA74AB">
      <w:pPr>
        <w:pStyle w:val="SingleTxtGR"/>
      </w:pPr>
      <w:r w:rsidRPr="00AA74AB">
        <w:t>21.</w:t>
      </w:r>
      <w:r w:rsidRPr="00AA74AB">
        <w:tab/>
        <w:t xml:space="preserve">Планируемая в настоящее время в электронном формате на веб-сайте и – при наличии средств и </w:t>
      </w:r>
      <w:r>
        <w:t>«</w:t>
      </w:r>
      <w:r w:rsidRPr="00AA74AB">
        <w:t>свободного окна</w:t>
      </w:r>
      <w:r>
        <w:t>»</w:t>
      </w:r>
      <w:r w:rsidRPr="00AA74AB">
        <w:t xml:space="preserve"> в издательстве – в виде необычной книжки-сумки, эта публикация может быть преподнесена в подарок каждому зарегистрированному делегату в КВТ. Делегаты, участвующие в сессии Евр</w:t>
      </w:r>
      <w:r w:rsidRPr="00AA74AB">
        <w:t>о</w:t>
      </w:r>
      <w:r w:rsidRPr="00AA74AB">
        <w:t>пейской экономической комиссии во время празднования семидесятой годо</w:t>
      </w:r>
      <w:r w:rsidRPr="00AA74AB">
        <w:t>в</w:t>
      </w:r>
      <w:r w:rsidRPr="00AA74AB">
        <w:t xml:space="preserve">щины (апрель 2017 года), также могут получить эту книгу в подарок от КВТ (если печатные копии будут изготовлены). </w:t>
      </w:r>
    </w:p>
    <w:p w:rsidR="00AA74AB" w:rsidRPr="00AA74AB" w:rsidRDefault="00AA74AB" w:rsidP="00AA74AB">
      <w:pPr>
        <w:pStyle w:val="SingleTxtGR"/>
      </w:pPr>
      <w:r w:rsidRPr="00AA74AB">
        <w:t>22.</w:t>
      </w:r>
      <w:r w:rsidRPr="00AA74AB">
        <w:tab/>
        <w:t>Для того чтобы все важные достижения, касающиеся транспорта, были отражены в публикации, правительства будут иметь возможность рекоменд</w:t>
      </w:r>
      <w:r w:rsidRPr="00AA74AB">
        <w:t>о</w:t>
      </w:r>
      <w:r w:rsidRPr="00AA74AB">
        <w:t xml:space="preserve">вать информацию о знаковых событиях или инновациях в области транспорта в своих странах для включения в раздел юбилейного издания </w:t>
      </w:r>
      <w:r>
        <w:t>«</w:t>
      </w:r>
      <w:r w:rsidRPr="00AA74AB">
        <w:t>Инновации и с</w:t>
      </w:r>
      <w:r w:rsidRPr="00AA74AB">
        <w:t>о</w:t>
      </w:r>
      <w:r w:rsidRPr="00AA74AB">
        <w:t>бытия в области транспорта и коммуникаций</w:t>
      </w:r>
      <w:r>
        <w:t>»</w:t>
      </w:r>
      <w:r w:rsidRPr="00AA74AB">
        <w:t>. Аналогичным образом предс</w:t>
      </w:r>
      <w:r w:rsidRPr="00AA74AB">
        <w:t>е</w:t>
      </w:r>
      <w:r w:rsidRPr="00AA74AB">
        <w:t>датели рабочих групп получат возможность рассмотреть проект перечня дост</w:t>
      </w:r>
      <w:r w:rsidRPr="00AA74AB">
        <w:t>и</w:t>
      </w:r>
      <w:r w:rsidRPr="00AA74AB">
        <w:t>жений КВТ в своих соответствующих областях и вынести рекомендации по его дальнейшему улучшению. Крайний срок дл</w:t>
      </w:r>
      <w:r w:rsidR="000B648F">
        <w:t>я представления материалов – 31 </w:t>
      </w:r>
      <w:r w:rsidRPr="00AA74AB">
        <w:t>марта 2016 года</w:t>
      </w:r>
      <w:r w:rsidRPr="000B648F">
        <w:rPr>
          <w:sz w:val="18"/>
          <w:szCs w:val="18"/>
          <w:vertAlign w:val="superscript"/>
        </w:rPr>
        <w:footnoteReference w:id="1"/>
      </w:r>
      <w:r w:rsidRPr="00AA74AB">
        <w:t>.</w:t>
      </w:r>
    </w:p>
    <w:p w:rsidR="00AA74AB" w:rsidRPr="00AA74AB" w:rsidRDefault="00AA74AB" w:rsidP="00AA74AB">
      <w:pPr>
        <w:pStyle w:val="SingleTxtGR"/>
      </w:pPr>
      <w:r w:rsidRPr="00AA74AB">
        <w:t>23.</w:t>
      </w:r>
      <w:r w:rsidRPr="00AA74AB">
        <w:tab/>
        <w:t xml:space="preserve">В таком случае экспонатами на выставке КВТ 2017 года (или ее основной части) могут быть плакаты, на которых рассказывается об истории КВТ. </w:t>
      </w:r>
    </w:p>
    <w:p w:rsidR="00AA74AB" w:rsidRPr="00AA74AB" w:rsidRDefault="00AA74AB" w:rsidP="00AA74AB">
      <w:pPr>
        <w:pStyle w:val="SingleTxtGR"/>
      </w:pPr>
      <w:r w:rsidRPr="00AA74AB">
        <w:t>24.</w:t>
      </w:r>
      <w:r w:rsidRPr="00AA74AB">
        <w:tab/>
        <w:t>Кроме того, готовятся краткие публикации об исторических итогах по т</w:t>
      </w:r>
      <w:r w:rsidRPr="00AA74AB">
        <w:t>а</w:t>
      </w:r>
      <w:r w:rsidRPr="00AA74AB">
        <w:t>ким темам, как безопасность на железнодорожном и автомобильном транспо</w:t>
      </w:r>
      <w:r w:rsidRPr="00AA74AB">
        <w:t>р</w:t>
      </w:r>
      <w:r w:rsidRPr="00AA74AB">
        <w:t xml:space="preserve">те, и соответствующим рабочим группам предлагается рассмотреть эти проекты в надлежащее время. </w:t>
      </w:r>
    </w:p>
    <w:p w:rsidR="00AA74AB" w:rsidRPr="00AA74AB" w:rsidRDefault="00AA74AB" w:rsidP="00AA74AB">
      <w:pPr>
        <w:pStyle w:val="SingleTxtGR"/>
      </w:pPr>
      <w:r w:rsidRPr="00AA74AB">
        <w:t>25.</w:t>
      </w:r>
      <w:r w:rsidRPr="00AA74AB">
        <w:tab/>
        <w:t>Участники обсудили также вопрос о том, что хорошим способом отм</w:t>
      </w:r>
      <w:r w:rsidRPr="00AA74AB">
        <w:t>е</w:t>
      </w:r>
      <w:r w:rsidRPr="00AA74AB">
        <w:t>тить годовщину Комитета было бы принятие резолюций по специальным т</w:t>
      </w:r>
      <w:r w:rsidRPr="00AA74AB">
        <w:t>е</w:t>
      </w:r>
      <w:r w:rsidRPr="00AA74AB">
        <w:t>мам, которые могли бы получать политическую поддержку и одобрение на се</w:t>
      </w:r>
      <w:r w:rsidRPr="00AA74AB">
        <w:t>с</w:t>
      </w:r>
      <w:r w:rsidRPr="00AA74AB">
        <w:t xml:space="preserve">сии ЕЭК в апреля 2017 года. </w:t>
      </w:r>
    </w:p>
    <w:p w:rsidR="00AA74AB" w:rsidRPr="00AA74AB" w:rsidRDefault="00AA74AB" w:rsidP="000B648F">
      <w:pPr>
        <w:pStyle w:val="HChGR"/>
      </w:pPr>
      <w:r w:rsidRPr="00AA74AB">
        <w:tab/>
        <w:t>IV.</w:t>
      </w:r>
      <w:r w:rsidRPr="00AA74AB">
        <w:tab/>
        <w:t>Выводы и последующие шаги</w:t>
      </w:r>
    </w:p>
    <w:p w:rsidR="00AA74AB" w:rsidRPr="00AA74AB" w:rsidRDefault="00AA74AB" w:rsidP="00AA74AB">
      <w:pPr>
        <w:pStyle w:val="SingleTxtGR"/>
      </w:pPr>
      <w:r w:rsidRPr="00AA74AB">
        <w:t>26.</w:t>
      </w:r>
      <w:r w:rsidRPr="00AA74AB">
        <w:tab/>
        <w:t xml:space="preserve">Исходя из вышеизложенного, Комитет </w:t>
      </w:r>
      <w:r w:rsidRPr="00AA74AB">
        <w:rPr>
          <w:b/>
        </w:rPr>
        <w:t xml:space="preserve">приветствовал </w:t>
      </w:r>
      <w:r w:rsidRPr="00AA74AB">
        <w:t>организацию ш</w:t>
      </w:r>
      <w:r w:rsidRPr="00AA74AB">
        <w:t>е</w:t>
      </w:r>
      <w:r w:rsidRPr="00AA74AB">
        <w:t>стого совещания председателей вспомогательных органов Комитета (только для делегатов от правительств), посвященного укреплению роли Комитета по вну</w:t>
      </w:r>
      <w:r w:rsidRPr="00AA74AB">
        <w:t>т</w:t>
      </w:r>
      <w:r w:rsidRPr="00AA74AB">
        <w:t xml:space="preserve">реннему транспорту в стремительно меняющейся глобальной обстановке. </w:t>
      </w:r>
      <w:r w:rsidR="00B30763">
        <w:br/>
      </w:r>
      <w:r w:rsidRPr="00AA74AB">
        <w:t xml:space="preserve">Он </w:t>
      </w:r>
      <w:r w:rsidRPr="00AA74AB">
        <w:rPr>
          <w:b/>
          <w:bCs/>
        </w:rPr>
        <w:t>п</w:t>
      </w:r>
      <w:r w:rsidRPr="00AA74AB">
        <w:rPr>
          <w:b/>
        </w:rPr>
        <w:t>ризвал</w:t>
      </w:r>
      <w:r w:rsidRPr="00AA74AB">
        <w:t xml:space="preserve"> рабочие группы оценить свою региональную и глобальную де</w:t>
      </w:r>
      <w:r w:rsidRPr="00AA74AB">
        <w:t>я</w:t>
      </w:r>
      <w:r w:rsidRPr="00AA74AB">
        <w:t xml:space="preserve">тельность, благоприятные условия и любые потенциальные изменения, которые могут быть сочтены необходимыми для повышения их воздействия на местах в целях обеспечения устойчивой мобильности. Он </w:t>
      </w:r>
      <w:r w:rsidRPr="00AA74AB">
        <w:rPr>
          <w:b/>
          <w:bCs/>
        </w:rPr>
        <w:t>р</w:t>
      </w:r>
      <w:r w:rsidRPr="00AA74AB">
        <w:rPr>
          <w:b/>
        </w:rPr>
        <w:t>ешил</w:t>
      </w:r>
      <w:r w:rsidRPr="00AA74AB">
        <w:t>, что активные усилия Комитета по информированию необходимо укреплять и далее при наличии д</w:t>
      </w:r>
      <w:r w:rsidRPr="00AA74AB">
        <w:t>о</w:t>
      </w:r>
      <w:r w:rsidRPr="00AA74AB">
        <w:t xml:space="preserve">полнительных внебюджетных ресурсов. </w:t>
      </w:r>
      <w:r w:rsidRPr="00AA74AB">
        <w:rPr>
          <w:bCs/>
        </w:rPr>
        <w:t xml:space="preserve">Комитет </w:t>
      </w:r>
      <w:r w:rsidRPr="00AA74AB">
        <w:rPr>
          <w:b/>
        </w:rPr>
        <w:t>принял к сведению</w:t>
      </w:r>
      <w:r w:rsidRPr="00AA74AB">
        <w:t>, что р</w:t>
      </w:r>
      <w:r w:rsidRPr="00AA74AB">
        <w:t>е</w:t>
      </w:r>
      <w:r w:rsidRPr="00AA74AB">
        <w:t>зюме дискуссии в виде записки Председателя будет включено в доклад КВТ п</w:t>
      </w:r>
      <w:r w:rsidRPr="00AA74AB">
        <w:t>о</w:t>
      </w:r>
      <w:r w:rsidRPr="00AA74AB">
        <w:t xml:space="preserve">сле одобрения делегатами, участвовавшими в закрытом заседании. Осознавая </w:t>
      </w:r>
      <w:r w:rsidRPr="00AA74AB">
        <w:lastRenderedPageBreak/>
        <w:t>необходимость адаптации своей работы к быстро меняющейся глобальной о</w:t>
      </w:r>
      <w:r w:rsidRPr="00AA74AB">
        <w:t>б</w:t>
      </w:r>
      <w:r w:rsidRPr="00AA74AB">
        <w:t xml:space="preserve">становке, Комитет </w:t>
      </w:r>
      <w:r w:rsidRPr="00AA74AB">
        <w:rPr>
          <w:b/>
          <w:bCs/>
        </w:rPr>
        <w:t>решил</w:t>
      </w:r>
      <w:r w:rsidRPr="00AA74AB">
        <w:rPr>
          <w:bCs/>
        </w:rPr>
        <w:t>,</w:t>
      </w:r>
      <w:r w:rsidRPr="00AA74AB">
        <w:t xml:space="preserve"> что секретариат разработает проект стратегического документа с указанием приоритетов и основных направлений деятельности в консультации с Бюро, председателями вспомогательных органов</w:t>
      </w:r>
      <w:r w:rsidRPr="00AA74AB">
        <w:rPr>
          <w:lang w:val="en-GB"/>
        </w:rPr>
        <w:t> </w:t>
      </w:r>
      <w:r w:rsidRPr="00AA74AB">
        <w:t>КВТ и адм</w:t>
      </w:r>
      <w:r w:rsidRPr="00AA74AB">
        <w:t>и</w:t>
      </w:r>
      <w:r w:rsidRPr="00AA74AB">
        <w:t>нистративных комитетов транспортных конвенций Организации Объединенных Наций, относящихся к компетенции Комитета. Этот проект стратегического д</w:t>
      </w:r>
      <w:r w:rsidRPr="00AA74AB">
        <w:t>о</w:t>
      </w:r>
      <w:r w:rsidRPr="00AA74AB">
        <w:t>кумента будет затем представлен Комитету на его семьдесят девятой сессии в 2017 году. В случае его принятия документ может быть оформлен в виде рез</w:t>
      </w:r>
      <w:r w:rsidRPr="00AA74AB">
        <w:t>о</w:t>
      </w:r>
      <w:r w:rsidRPr="00AA74AB">
        <w:t>люции КВТ, которая будет представлена на утверждение Комиссии на ее юб</w:t>
      </w:r>
      <w:r w:rsidRPr="00AA74AB">
        <w:t>и</w:t>
      </w:r>
      <w:r w:rsidRPr="00AA74AB">
        <w:t>лейной сессии в 2017 году.</w:t>
      </w:r>
    </w:p>
    <w:p w:rsidR="00AA74AB" w:rsidRPr="00AA74AB" w:rsidRDefault="00AA74AB" w:rsidP="00AA74AB">
      <w:pPr>
        <w:pStyle w:val="SingleTxtGR"/>
      </w:pPr>
      <w:r w:rsidRPr="00AA74AB">
        <w:t>27.</w:t>
      </w:r>
      <w:r w:rsidRPr="00AA74AB">
        <w:tab/>
        <w:t>Комитет</w:t>
      </w:r>
      <w:r w:rsidRPr="00AA74AB">
        <w:rPr>
          <w:b/>
          <w:bCs/>
        </w:rPr>
        <w:t xml:space="preserve"> приветствовал </w:t>
      </w:r>
      <w:r w:rsidRPr="0089059E">
        <w:rPr>
          <w:bCs/>
        </w:rPr>
        <w:t>информацию</w:t>
      </w:r>
      <w:r w:rsidRPr="00AA74AB">
        <w:t xml:space="preserve"> о ходе подготовки к семидесятой годовщине КВТ, которая будет отмечаться в 2017 году, и переименовании Отд</w:t>
      </w:r>
      <w:r w:rsidRPr="00AA74AB">
        <w:t>е</w:t>
      </w:r>
      <w:r w:rsidRPr="00AA74AB">
        <w:t>ла в Отдел устойчивого транспорта и предложил государствам-членам передать в секретариат свои материалы для юбилейной публикации до 30 марта 2016 г</w:t>
      </w:r>
      <w:r w:rsidRPr="00AA74AB">
        <w:t>о</w:t>
      </w:r>
      <w:r w:rsidRPr="00AA74AB">
        <w:t>да, т.е. предоставить информацию о знаковых достижениях в области транспо</w:t>
      </w:r>
      <w:r w:rsidRPr="00AA74AB">
        <w:t>р</w:t>
      </w:r>
      <w:r w:rsidRPr="00AA74AB">
        <w:t>та в своей стране за последние семьдесят лет, желательно вместе с фотограф</w:t>
      </w:r>
      <w:r w:rsidRPr="00AA74AB">
        <w:t>и</w:t>
      </w:r>
      <w:r w:rsidRPr="00AA74AB">
        <w:t>ями</w:t>
      </w:r>
      <w:r w:rsidRPr="000B648F">
        <w:rPr>
          <w:sz w:val="18"/>
          <w:szCs w:val="18"/>
          <w:vertAlign w:val="superscript"/>
        </w:rPr>
        <w:footnoteReference w:id="2"/>
      </w:r>
      <w:r w:rsidRPr="00AA74AB">
        <w:t>.</w:t>
      </w:r>
    </w:p>
    <w:p w:rsidR="00A658DB" w:rsidRPr="000B648F" w:rsidRDefault="000B648F" w:rsidP="000B648F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658DB" w:rsidRPr="000B648F" w:rsidSect="004D639B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9E8" w:rsidRDefault="00E419E8" w:rsidP="00B471C5">
      <w:r>
        <w:separator/>
      </w:r>
    </w:p>
  </w:endnote>
  <w:endnote w:type="continuationSeparator" w:id="0">
    <w:p w:rsidR="00E419E8" w:rsidRDefault="00E419E8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FC" w:rsidRPr="009A6F4A" w:rsidRDefault="00924AFC" w:rsidP="007005EE">
    <w:pPr>
      <w:pStyle w:val="Footer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6840">
      <w:rPr>
        <w:b/>
        <w:noProof/>
        <w:sz w:val="18"/>
        <w:szCs w:val="18"/>
      </w:rPr>
      <w:t>14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GE.16-08156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FC" w:rsidRPr="009A6F4A" w:rsidRDefault="00924AFC" w:rsidP="007005EE">
    <w:pPr>
      <w:pStyle w:val="Footer"/>
      <w:rPr>
        <w:lang w:val="en-US"/>
      </w:rPr>
    </w:pPr>
    <w:r>
      <w:rPr>
        <w:lang w:val="en-US"/>
      </w:rPr>
      <w:t>GE.16-08156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566840">
      <w:rPr>
        <w:b/>
        <w:noProof/>
        <w:sz w:val="18"/>
        <w:szCs w:val="18"/>
      </w:rPr>
      <w:t>15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924AFC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24AFC" w:rsidRPr="001C3ABC" w:rsidRDefault="00924AFC" w:rsidP="00C2256C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GE.16-</w:t>
          </w:r>
          <w:r>
            <w:rPr>
              <w:lang w:val="en-US"/>
            </w:rPr>
            <w:t>08156</w:t>
          </w:r>
          <w:r w:rsidRPr="001C3ABC">
            <w:rPr>
              <w:lang w:val="en-US"/>
            </w:rPr>
            <w:t xml:space="preserve"> (R)</w:t>
          </w:r>
          <w:r>
            <w:rPr>
              <w:lang w:val="en-US"/>
            </w:rPr>
            <w:t xml:space="preserve">   210616  220616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924AFC" w:rsidRDefault="00924AFC" w:rsidP="00AA74AB">
          <w:pPr>
            <w:jc w:val="right"/>
          </w:pPr>
          <w:r>
            <w:rPr>
              <w:b/>
              <w:noProof/>
              <w:lang w:val="en-US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924AFC" w:rsidRDefault="00924AFC" w:rsidP="00AA74AB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579120" cy="579120"/>
                <wp:effectExtent l="0" t="0" r="0" b="0"/>
                <wp:docPr id="3" name="Рисунок 3" descr="http://undocs.org/m2/QRCode.ashx?DS=ECE/TRANS/254/Add.1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254/Add.1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24AFC" w:rsidRPr="00797A78" w:rsidTr="00AA74AB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924AFC" w:rsidRPr="00C2256C" w:rsidRDefault="00924AFC" w:rsidP="00AA74AB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2256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924AFC" w:rsidRDefault="00924AFC" w:rsidP="00AA74AB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924AFC" w:rsidRDefault="00924AFC" w:rsidP="00AA74AB"/>
      </w:tc>
    </w:tr>
  </w:tbl>
  <w:p w:rsidR="00924AFC" w:rsidRPr="007005EE" w:rsidRDefault="00924AFC" w:rsidP="004D639B">
    <w:pPr>
      <w:pStyle w:val="Footer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9E8" w:rsidRPr="009141DC" w:rsidRDefault="00E419E8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E419E8" w:rsidRPr="00D1261C" w:rsidRDefault="00E419E8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924AFC" w:rsidRPr="00C954ED" w:rsidRDefault="00924AFC" w:rsidP="00AA74AB">
      <w:pPr>
        <w:pStyle w:val="FootnoteText"/>
        <w:widowControl w:val="0"/>
        <w:rPr>
          <w:lang w:val="ru-RU"/>
        </w:rPr>
      </w:pPr>
      <w:r w:rsidRPr="006427D2"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По техническим причинам этот срок был продлен до 31 мая 2016 для облегчения контактов с правительственными и неправительственными заинтересованными сторонами.</w:t>
      </w:r>
    </w:p>
  </w:footnote>
  <w:footnote w:id="2">
    <w:p w:rsidR="00924AFC" w:rsidRPr="0039454F" w:rsidRDefault="00924AFC" w:rsidP="000B648F">
      <w:pPr>
        <w:pStyle w:val="FootnoteText"/>
        <w:widowControl w:val="0"/>
        <w:rPr>
          <w:lang w:val="ru-RU"/>
        </w:rPr>
      </w:pPr>
      <w:r>
        <w:rPr>
          <w:lang w:val="ru-RU"/>
        </w:rPr>
        <w:tab/>
      </w:r>
      <w:r>
        <w:rPr>
          <w:rStyle w:val="FootnoteReference"/>
        </w:rPr>
        <w:footnoteRef/>
      </w:r>
      <w:r w:rsidRPr="0039454F">
        <w:rPr>
          <w:lang w:val="ru-RU"/>
        </w:rPr>
        <w:t xml:space="preserve"> </w:t>
      </w:r>
      <w:r>
        <w:rPr>
          <w:lang w:val="ru-RU"/>
        </w:rPr>
        <w:tab/>
        <w:t>По техническим причинам этот срок был продлен до 31 мая 2016 для облегчения контактов с правительственными и неправительственными заинтересованными сторонами.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FC" w:rsidRPr="007005EE" w:rsidRDefault="00924AFC">
    <w:pPr>
      <w:pStyle w:val="Header"/>
      <w:rPr>
        <w:lang w:val="en-US"/>
      </w:rPr>
    </w:pPr>
    <w:r>
      <w:rPr>
        <w:lang w:val="en-US"/>
      </w:rPr>
      <w:t>ECE/</w:t>
    </w:r>
    <w:r w:rsidRPr="00C2256C">
      <w:rPr>
        <w:lang w:val="en-US"/>
      </w:rPr>
      <w:t>TRANS/254/Add.1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AFC" w:rsidRPr="004D639B" w:rsidRDefault="00924AFC" w:rsidP="007005EE">
    <w:pPr>
      <w:pStyle w:val="Header"/>
      <w:jc w:val="right"/>
      <w:rPr>
        <w:lang w:val="en-US"/>
      </w:rPr>
    </w:pPr>
    <w:r>
      <w:rPr>
        <w:lang w:val="en-US"/>
      </w:rPr>
      <w:t>ECE/</w:t>
    </w:r>
    <w:r w:rsidRPr="00C2256C">
      <w:rPr>
        <w:lang w:val="en-US"/>
      </w:rPr>
      <w:t>TRANS/254/Add.1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isplayBackgroundShape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6C"/>
    <w:rsid w:val="000450D1"/>
    <w:rsid w:val="000B1FD5"/>
    <w:rsid w:val="000B648F"/>
    <w:rsid w:val="000F2A4F"/>
    <w:rsid w:val="00203F84"/>
    <w:rsid w:val="00275188"/>
    <w:rsid w:val="0028687D"/>
    <w:rsid w:val="002B091C"/>
    <w:rsid w:val="002B3D40"/>
    <w:rsid w:val="002D0CCB"/>
    <w:rsid w:val="00333189"/>
    <w:rsid w:val="00345C79"/>
    <w:rsid w:val="00366A39"/>
    <w:rsid w:val="0048005C"/>
    <w:rsid w:val="004D639B"/>
    <w:rsid w:val="004E242B"/>
    <w:rsid w:val="00544379"/>
    <w:rsid w:val="00566840"/>
    <w:rsid w:val="00566944"/>
    <w:rsid w:val="005D56BF"/>
    <w:rsid w:val="00603BB8"/>
    <w:rsid w:val="0062027E"/>
    <w:rsid w:val="00643644"/>
    <w:rsid w:val="00665D8D"/>
    <w:rsid w:val="006A7A3B"/>
    <w:rsid w:val="006B6B57"/>
    <w:rsid w:val="006F49F1"/>
    <w:rsid w:val="007005EE"/>
    <w:rsid w:val="00705394"/>
    <w:rsid w:val="00743F62"/>
    <w:rsid w:val="00760D3A"/>
    <w:rsid w:val="00773BA8"/>
    <w:rsid w:val="007A1F42"/>
    <w:rsid w:val="007C1A96"/>
    <w:rsid w:val="007D76DD"/>
    <w:rsid w:val="007F551E"/>
    <w:rsid w:val="008717E8"/>
    <w:rsid w:val="0089059E"/>
    <w:rsid w:val="008D01AE"/>
    <w:rsid w:val="008E0423"/>
    <w:rsid w:val="009141DC"/>
    <w:rsid w:val="009174A1"/>
    <w:rsid w:val="00924AFC"/>
    <w:rsid w:val="0098674D"/>
    <w:rsid w:val="00997ACA"/>
    <w:rsid w:val="00A03FB7"/>
    <w:rsid w:val="00A55C56"/>
    <w:rsid w:val="00A658DB"/>
    <w:rsid w:val="00A75A11"/>
    <w:rsid w:val="00A9606E"/>
    <w:rsid w:val="00AA74AB"/>
    <w:rsid w:val="00AC4946"/>
    <w:rsid w:val="00AD6500"/>
    <w:rsid w:val="00AD7EAD"/>
    <w:rsid w:val="00B30763"/>
    <w:rsid w:val="00B35A32"/>
    <w:rsid w:val="00B432C6"/>
    <w:rsid w:val="00B471C5"/>
    <w:rsid w:val="00B6474A"/>
    <w:rsid w:val="00BE1742"/>
    <w:rsid w:val="00C2256C"/>
    <w:rsid w:val="00C95751"/>
    <w:rsid w:val="00D1261C"/>
    <w:rsid w:val="00D26030"/>
    <w:rsid w:val="00D42D0B"/>
    <w:rsid w:val="00D75DCE"/>
    <w:rsid w:val="00DD35AC"/>
    <w:rsid w:val="00DD479F"/>
    <w:rsid w:val="00E12C7C"/>
    <w:rsid w:val="00E15E48"/>
    <w:rsid w:val="00E419E8"/>
    <w:rsid w:val="00EB0723"/>
    <w:rsid w:val="00EB2957"/>
    <w:rsid w:val="00ED652C"/>
    <w:rsid w:val="00EE6F37"/>
    <w:rsid w:val="00F1599F"/>
    <w:rsid w:val="00F31EF2"/>
    <w:rsid w:val="00F619BD"/>
    <w:rsid w:val="00FE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EndnoteReference">
    <w:name w:val="endnote reference"/>
    <w:aliases w:val="1_GR"/>
    <w:basedOn w:val="FootnoteReference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FootnoteReference">
    <w:name w:val="footnote reference"/>
    <w:aliases w:val="4_GR"/>
    <w:basedOn w:val="DefaultParagraphFon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link w:val="FooterCh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E1742"/>
    <w:rPr>
      <w:rFonts w:ascii="Times New Roman" w:hAnsi="Times New Roman"/>
      <w:b/>
      <w:sz w:val="18"/>
    </w:rPr>
  </w:style>
  <w:style w:type="paragraph" w:styleId="FootnoteText">
    <w:name w:val="footnote text"/>
    <w:aliases w:val="5_GR"/>
    <w:basedOn w:val="Normal"/>
    <w:link w:val="FootnoteTextCh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E1742"/>
  </w:style>
  <w:style w:type="character" w:customStyle="1" w:styleId="EndnoteTextChar">
    <w:name w:val="Endnote Text Char"/>
    <w:aliases w:val="2_GR Char"/>
    <w:basedOn w:val="DefaultParagraphFont"/>
    <w:link w:val="EndnoteText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TableGrid">
    <w:name w:val="Table Grid"/>
    <w:basedOn w:val="Table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5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51E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CBF4D-C838-4E0E-B6B1-B58EDC5F9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6174</Words>
  <Characters>35197</Characters>
  <Application>Microsoft Office Word</Application>
  <DocSecurity>4</DocSecurity>
  <Lines>293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41289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Blagodatskikh</dc:creator>
  <cp:lastModifiedBy>31/08/2016</cp:lastModifiedBy>
  <cp:revision>2</cp:revision>
  <cp:lastPrinted>2016-06-22T09:34:00Z</cp:lastPrinted>
  <dcterms:created xsi:type="dcterms:W3CDTF">2016-10-18T10:19:00Z</dcterms:created>
  <dcterms:modified xsi:type="dcterms:W3CDTF">2016-10-18T10:19:00Z</dcterms:modified>
</cp:coreProperties>
</file>