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5D5" w:rsidRPr="006F30C1" w:rsidRDefault="000325D5" w:rsidP="000325D5">
      <w:pPr>
        <w:spacing w:line="60" w:lineRule="exact"/>
        <w:rPr>
          <w:color w:val="010000"/>
          <w:sz w:val="6"/>
        </w:rPr>
        <w:sectPr w:rsidR="000325D5" w:rsidRPr="006F30C1" w:rsidSect="000325D5">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r w:rsidRPr="006F30C1">
        <w:rPr>
          <w:rStyle w:val="CommentReference"/>
        </w:rPr>
        <w:commentReference w:id="0"/>
      </w:r>
      <w:bookmarkStart w:id="1" w:name="_GoBack"/>
      <w:bookmarkEnd w:id="1"/>
    </w:p>
    <w:p w:rsidR="003B5145" w:rsidRPr="003B5145" w:rsidRDefault="003B5145" w:rsidP="003B5145">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3B5145">
        <w:lastRenderedPageBreak/>
        <w:t>Европейская экономическая комиссия</w:t>
      </w:r>
    </w:p>
    <w:p w:rsidR="003B5145" w:rsidRPr="003B5145" w:rsidRDefault="003B5145" w:rsidP="003B5145">
      <w:pPr>
        <w:spacing w:line="120" w:lineRule="exact"/>
        <w:rPr>
          <w:sz w:val="10"/>
        </w:rPr>
      </w:pPr>
    </w:p>
    <w:p w:rsidR="003B5145" w:rsidRPr="003B5145" w:rsidRDefault="003B5145" w:rsidP="003B5145">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rPr>
      </w:pPr>
      <w:r w:rsidRPr="003B5145">
        <w:rPr>
          <w:b w:val="0"/>
          <w:bCs/>
        </w:rPr>
        <w:t>Комитет по внутреннему транспорту</w:t>
      </w:r>
    </w:p>
    <w:p w:rsidR="003B5145" w:rsidRPr="003B5145" w:rsidRDefault="003B5145" w:rsidP="003B5145">
      <w:pPr>
        <w:spacing w:line="120" w:lineRule="exact"/>
        <w:rPr>
          <w:sz w:val="10"/>
        </w:rPr>
      </w:pPr>
    </w:p>
    <w:p w:rsidR="003B5145" w:rsidRPr="003B5145" w:rsidRDefault="003B5145" w:rsidP="003B514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3B5145">
        <w:t>Семьдесят восьмая сессия</w:t>
      </w:r>
    </w:p>
    <w:p w:rsidR="003B5145" w:rsidRPr="003B5145" w:rsidRDefault="003B5145" w:rsidP="003B5145">
      <w:r w:rsidRPr="003B5145">
        <w:t>Женева, 23–26 февраля 2016 года</w:t>
      </w:r>
    </w:p>
    <w:p w:rsidR="003B5145" w:rsidRPr="003B5145" w:rsidRDefault="003B5145" w:rsidP="003B5145">
      <w:r w:rsidRPr="003B5145">
        <w:t>Пункт 18 предварительной повестки дня</w:t>
      </w:r>
    </w:p>
    <w:p w:rsidR="003B5145" w:rsidRPr="003B5145" w:rsidRDefault="003B5145" w:rsidP="003B514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3B5145">
        <w:t>Изменения на транспорте в Европейском союзе</w:t>
      </w:r>
    </w:p>
    <w:p w:rsidR="003B5145" w:rsidRPr="003B5145" w:rsidRDefault="003B5145" w:rsidP="003B5145">
      <w:pPr>
        <w:pStyle w:val="SingleTxt"/>
        <w:spacing w:after="0" w:line="120" w:lineRule="exact"/>
        <w:rPr>
          <w:b/>
          <w:sz w:val="10"/>
        </w:rPr>
      </w:pPr>
    </w:p>
    <w:p w:rsidR="003B5145" w:rsidRPr="003B5145" w:rsidRDefault="003B5145" w:rsidP="003B5145">
      <w:pPr>
        <w:pStyle w:val="SingleTxt"/>
        <w:spacing w:after="0" w:line="120" w:lineRule="exact"/>
        <w:rPr>
          <w:b/>
          <w:sz w:val="10"/>
        </w:rPr>
      </w:pPr>
    </w:p>
    <w:p w:rsidR="003B5145" w:rsidRPr="003B5145" w:rsidRDefault="003B5145" w:rsidP="003B5145">
      <w:pPr>
        <w:pStyle w:val="SingleTxt"/>
        <w:spacing w:after="0" w:line="120" w:lineRule="exact"/>
        <w:rPr>
          <w:b/>
          <w:sz w:val="10"/>
        </w:rPr>
      </w:pPr>
    </w:p>
    <w:p w:rsidR="003B5145" w:rsidRPr="003B5145" w:rsidRDefault="003B5145" w:rsidP="003B514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5145">
        <w:tab/>
      </w:r>
      <w:r w:rsidRPr="003B5145">
        <w:tab/>
        <w:t>Изменения на транспорте в Европейском союзе</w:t>
      </w:r>
    </w:p>
    <w:p w:rsidR="003B5145" w:rsidRPr="003B5145" w:rsidRDefault="003B5145" w:rsidP="003B5145">
      <w:pPr>
        <w:pStyle w:val="SingleTxt"/>
        <w:spacing w:after="0" w:line="120" w:lineRule="exact"/>
        <w:rPr>
          <w:b/>
          <w:sz w:val="10"/>
        </w:rPr>
      </w:pPr>
    </w:p>
    <w:p w:rsidR="003B5145" w:rsidRPr="003B5145" w:rsidRDefault="003B5145" w:rsidP="003B5145">
      <w:pPr>
        <w:pStyle w:val="SingleTxt"/>
        <w:spacing w:after="0" w:line="120" w:lineRule="exact"/>
        <w:rPr>
          <w:b/>
          <w:sz w:val="10"/>
        </w:rPr>
      </w:pPr>
    </w:p>
    <w:p w:rsidR="003B5145" w:rsidRDefault="003B5145" w:rsidP="003B514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vertAlign w:val="superscript"/>
        </w:rPr>
      </w:pPr>
      <w:r w:rsidRPr="003B5145">
        <w:tab/>
      </w:r>
      <w:r w:rsidRPr="003B5145">
        <w:tab/>
        <w:t>Представлено Европейской комиссией и секретариатом</w:t>
      </w:r>
      <w:r w:rsidRPr="003B5145">
        <w:rPr>
          <w:rStyle w:val="FootnoteReference"/>
          <w:b w:val="0"/>
          <w:bCs/>
          <w:sz w:val="20"/>
          <w:szCs w:val="20"/>
          <w:vertAlign w:val="baseline"/>
        </w:rPr>
        <w:footnoteReference w:customMarkFollows="1" w:id="1"/>
        <w:t>*</w:t>
      </w:r>
    </w:p>
    <w:p w:rsidR="003B5145" w:rsidRPr="003A0B5E" w:rsidRDefault="003B5145" w:rsidP="00FA0173">
      <w:pPr>
        <w:pStyle w:val="SingleTxt"/>
        <w:spacing w:after="0" w:line="120" w:lineRule="exact"/>
        <w:rPr>
          <w:sz w:val="10"/>
        </w:rPr>
      </w:pPr>
    </w:p>
    <w:p w:rsidR="00FA0173" w:rsidRPr="003A0B5E" w:rsidRDefault="00FA0173" w:rsidP="00FA0173">
      <w:pPr>
        <w:pStyle w:val="SingleTxt"/>
        <w:spacing w:after="0" w:line="120" w:lineRule="exact"/>
        <w:rPr>
          <w:sz w:val="10"/>
        </w:rPr>
      </w:pPr>
    </w:p>
    <w:p w:rsidR="00FA0173" w:rsidRPr="003A0B5E" w:rsidRDefault="00FA0173" w:rsidP="00FA0173">
      <w:pPr>
        <w:pStyle w:val="SingleTxt"/>
        <w:spacing w:after="0"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3B5145" w:rsidTr="003B5145">
        <w:tc>
          <w:tcPr>
            <w:tcW w:w="10051" w:type="dxa"/>
            <w:tcBorders>
              <w:top w:val="single" w:sz="2" w:space="0" w:color="auto"/>
            </w:tcBorders>
            <w:shd w:val="clear" w:color="auto" w:fill="auto"/>
          </w:tcPr>
          <w:p w:rsidR="003B5145" w:rsidRPr="00B4595A" w:rsidRDefault="003B5145" w:rsidP="003B5145">
            <w:pPr>
              <w:tabs>
                <w:tab w:val="left" w:pos="240"/>
              </w:tabs>
              <w:spacing w:before="240" w:after="120"/>
              <w:rPr>
                <w:i/>
                <w:sz w:val="24"/>
                <w:lang w:val="en-US"/>
              </w:rPr>
            </w:pPr>
            <w:r w:rsidRPr="003A0B5E">
              <w:rPr>
                <w:i/>
                <w:sz w:val="24"/>
              </w:rPr>
              <w:tab/>
            </w:r>
            <w:r w:rsidRPr="00B4595A">
              <w:rPr>
                <w:i/>
                <w:sz w:val="24"/>
                <w:lang w:val="en-US"/>
              </w:rPr>
              <w:t>Резюме</w:t>
            </w:r>
          </w:p>
        </w:tc>
      </w:tr>
      <w:tr w:rsidR="003B5145" w:rsidRPr="00B4595A" w:rsidTr="003B5145">
        <w:tc>
          <w:tcPr>
            <w:tcW w:w="10051" w:type="dxa"/>
            <w:shd w:val="clear" w:color="auto" w:fill="auto"/>
          </w:tcPr>
          <w:p w:rsidR="003B5145" w:rsidRPr="00B4595A" w:rsidRDefault="003B5145" w:rsidP="00B4595A">
            <w:pPr>
              <w:pStyle w:val="SingleTxt"/>
            </w:pPr>
            <w:r w:rsidRPr="00B4595A">
              <w:tab/>
            </w:r>
            <w:r w:rsidR="00B4595A" w:rsidRPr="00B4595A">
              <w:t>В настоящей записке для Комитета по внутреннему транспорту представл</w:t>
            </w:r>
            <w:r w:rsidR="00B4595A" w:rsidRPr="00B4595A">
              <w:t>е</w:t>
            </w:r>
            <w:r w:rsidR="00B4595A" w:rsidRPr="00B4595A">
              <w:t>ны:</w:t>
            </w:r>
          </w:p>
        </w:tc>
      </w:tr>
      <w:tr w:rsidR="003B5145" w:rsidRPr="00B4595A" w:rsidTr="003B5145">
        <w:tc>
          <w:tcPr>
            <w:tcW w:w="10051" w:type="dxa"/>
            <w:shd w:val="clear" w:color="auto" w:fill="auto"/>
          </w:tcPr>
          <w:p w:rsidR="003B5145" w:rsidRPr="00B4595A" w:rsidRDefault="00B4595A" w:rsidP="00B4595A">
            <w:pPr>
              <w:pStyle w:val="SingleTxt"/>
              <w:ind w:left="2218" w:hanging="951"/>
              <w:rPr>
                <w:vertAlign w:val="superscript"/>
              </w:rPr>
            </w:pPr>
            <w:r w:rsidRPr="003B5145">
              <w:tab/>
              <w:t>i)</w:t>
            </w:r>
            <w:r w:rsidRPr="003B5145">
              <w:tab/>
              <w:t>краткий обзор некоторых из основных видов деятельности, изменений в политике и решений, принятых Европейским союзом (ЕС) в 2015 г</w:t>
            </w:r>
            <w:r w:rsidRPr="003B5145">
              <w:t>о</w:t>
            </w:r>
            <w:r w:rsidRPr="003B5145">
              <w:t>ду, которые имеют актуальное значение для стран региона Европе</w:t>
            </w:r>
            <w:r w:rsidRPr="003B5145">
              <w:t>й</w:t>
            </w:r>
            <w:r w:rsidRPr="003B5145">
              <w:t>ской экономической комиссии Организации Объединенных Наций (ЕЭК ООН), и особенно для рассмотрения Комитетом по внутреннему транспорту в свете его деятельности на региональном и глобальном уровнях; и</w:t>
            </w:r>
          </w:p>
        </w:tc>
      </w:tr>
      <w:tr w:rsidR="003B5145" w:rsidRPr="00B4595A" w:rsidTr="003B5145">
        <w:tc>
          <w:tcPr>
            <w:tcW w:w="10051" w:type="dxa"/>
            <w:tcBorders>
              <w:bottom w:val="nil"/>
            </w:tcBorders>
            <w:shd w:val="clear" w:color="auto" w:fill="auto"/>
          </w:tcPr>
          <w:p w:rsidR="003B5145" w:rsidRPr="00B4595A" w:rsidRDefault="00B4595A" w:rsidP="003B5145">
            <w:pPr>
              <w:pStyle w:val="SingleTxt"/>
              <w:rPr>
                <w:vertAlign w:val="superscript"/>
              </w:rPr>
            </w:pPr>
            <w:r w:rsidRPr="003B5145">
              <w:tab/>
              <w:t>ii)</w:t>
            </w:r>
            <w:r w:rsidRPr="003B5145">
              <w:tab/>
              <w:t>информация о сотрудничестве между ЕС и ЕЭК ООН.</w:t>
            </w:r>
          </w:p>
        </w:tc>
      </w:tr>
      <w:tr w:rsidR="003B5145" w:rsidRPr="00B4595A" w:rsidTr="003B5145">
        <w:tc>
          <w:tcPr>
            <w:tcW w:w="10051" w:type="dxa"/>
            <w:tcBorders>
              <w:bottom w:val="single" w:sz="2" w:space="0" w:color="auto"/>
            </w:tcBorders>
            <w:shd w:val="clear" w:color="auto" w:fill="auto"/>
          </w:tcPr>
          <w:p w:rsidR="003B5145" w:rsidRPr="00B4595A" w:rsidRDefault="00B4595A" w:rsidP="00B4595A">
            <w:pPr>
              <w:pStyle w:val="SingleTxt"/>
              <w:rPr>
                <w:vertAlign w:val="superscript"/>
              </w:rPr>
            </w:pPr>
            <w:r w:rsidRPr="003B5145">
              <w:tab/>
              <w:t>Ее цель – дополнить устную информацию представителя Европейской к</w:t>
            </w:r>
            <w:r w:rsidRPr="003B5145">
              <w:t>о</w:t>
            </w:r>
            <w:r w:rsidRPr="003B5145">
              <w:t>миссии на семьдесят восьмой сессии Комитета по внутреннему транспорту. Для</w:t>
            </w:r>
            <w:r>
              <w:rPr>
                <w:lang w:val="en-US"/>
              </w:rPr>
              <w:t> </w:t>
            </w:r>
            <w:r w:rsidRPr="003B5145">
              <w:t>облегчения обсуждения в записке приводится информация о соответству</w:t>
            </w:r>
            <w:r w:rsidRPr="003B5145">
              <w:t>ю</w:t>
            </w:r>
            <w:r w:rsidRPr="003B5145">
              <w:t>щей деятельности КВТ.</w:t>
            </w:r>
          </w:p>
        </w:tc>
      </w:tr>
    </w:tbl>
    <w:p w:rsidR="003B5145" w:rsidRPr="00AA108E" w:rsidRDefault="003B5145" w:rsidP="00AA108E">
      <w:pPr>
        <w:pStyle w:val="SingleTxt"/>
        <w:spacing w:after="0" w:line="120" w:lineRule="exact"/>
        <w:rPr>
          <w:sz w:val="10"/>
        </w:rPr>
      </w:pPr>
    </w:p>
    <w:p w:rsidR="00AA108E" w:rsidRPr="00AA108E" w:rsidRDefault="00AA108E" w:rsidP="00AA108E">
      <w:pPr>
        <w:pStyle w:val="SingleTxt"/>
        <w:spacing w:after="0" w:line="120" w:lineRule="exact"/>
        <w:rPr>
          <w:sz w:val="10"/>
        </w:rPr>
      </w:pPr>
    </w:p>
    <w:p w:rsidR="00AA108E" w:rsidRPr="00AA108E" w:rsidRDefault="00AA108E" w:rsidP="00AA108E">
      <w:pPr>
        <w:pStyle w:val="SingleTxt"/>
        <w:spacing w:after="0" w:line="120" w:lineRule="exact"/>
        <w:rPr>
          <w:sz w:val="10"/>
        </w:rPr>
      </w:pPr>
    </w:p>
    <w:p w:rsidR="003B5145" w:rsidRPr="003B5145" w:rsidRDefault="00B4595A" w:rsidP="00B4595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4595A">
        <w:tab/>
      </w:r>
      <w:r>
        <w:rPr>
          <w:lang w:val="en-US"/>
        </w:rPr>
        <w:t>I</w:t>
      </w:r>
      <w:r w:rsidRPr="00FA0173">
        <w:t>.</w:t>
      </w:r>
      <w:r w:rsidRPr="00FA0173">
        <w:tab/>
      </w:r>
      <w:r w:rsidR="003B5145" w:rsidRPr="003B5145">
        <w:t>Введение</w:t>
      </w:r>
    </w:p>
    <w:p w:rsidR="00B4595A" w:rsidRPr="00B4595A" w:rsidRDefault="00B4595A" w:rsidP="00B4595A">
      <w:pPr>
        <w:pStyle w:val="SingleTxt"/>
        <w:spacing w:after="0" w:line="120" w:lineRule="exact"/>
        <w:rPr>
          <w:sz w:val="10"/>
        </w:rPr>
      </w:pPr>
    </w:p>
    <w:p w:rsidR="00B4595A" w:rsidRPr="00B4595A" w:rsidRDefault="00B4595A" w:rsidP="00B4595A">
      <w:pPr>
        <w:pStyle w:val="SingleTxt"/>
        <w:spacing w:after="0" w:line="120" w:lineRule="exact"/>
        <w:rPr>
          <w:sz w:val="10"/>
        </w:rPr>
      </w:pPr>
    </w:p>
    <w:p w:rsidR="003B5145" w:rsidRPr="003B5145" w:rsidRDefault="003B5145" w:rsidP="003B5145">
      <w:pPr>
        <w:pStyle w:val="SingleTxt"/>
        <w:spacing w:line="240" w:lineRule="atLeast"/>
      </w:pPr>
      <w:r w:rsidRPr="003B5145">
        <w:t>1.</w:t>
      </w:r>
      <w:r w:rsidRPr="003B5145">
        <w:tab/>
        <w:t>Транспортная политика</w:t>
      </w:r>
      <w:r w:rsidR="00FA0173">
        <w:t xml:space="preserve"> ЕС направлена на стимулирование</w:t>
      </w:r>
      <w:r w:rsidRPr="003B5145">
        <w:t xml:space="preserve"> в Европе экол</w:t>
      </w:r>
      <w:r w:rsidRPr="003B5145">
        <w:t>о</w:t>
      </w:r>
      <w:r w:rsidRPr="003B5145">
        <w:t>гически чистой, безопасной и эффективной мобильности, которая является осн</w:t>
      </w:r>
      <w:r w:rsidRPr="003B5145">
        <w:t>о</w:t>
      </w:r>
      <w:r w:rsidRPr="003B5145">
        <w:t>вой для внутреннего рынка товаров и осуществления права граждан на свобо</w:t>
      </w:r>
      <w:r w:rsidRPr="003B5145">
        <w:t>д</w:t>
      </w:r>
      <w:r w:rsidRPr="003B5145">
        <w:t xml:space="preserve">ное передвижение на всей территории ЕС. Ниже приводятся примеры принятых </w:t>
      </w:r>
      <w:r w:rsidRPr="003B5145">
        <w:lastRenderedPageBreak/>
        <w:t>ЕС в 2015 году основных мер: новых законодательных актов, консультаций, пу</w:t>
      </w:r>
      <w:r w:rsidRPr="003B5145">
        <w:t>б</w:t>
      </w:r>
      <w:r w:rsidRPr="003B5145">
        <w:t xml:space="preserve">ликаций и инициатив в области внутреннего транспорта, которые имеют также важное значение для стран, не входящих в ЕС. </w:t>
      </w:r>
    </w:p>
    <w:p w:rsidR="00B4595A" w:rsidRPr="00B4595A" w:rsidRDefault="00B4595A" w:rsidP="00B4595A">
      <w:pPr>
        <w:pStyle w:val="SingleTxt"/>
        <w:spacing w:after="0" w:line="120" w:lineRule="exact"/>
        <w:rPr>
          <w:b/>
          <w:sz w:val="10"/>
        </w:rPr>
      </w:pPr>
    </w:p>
    <w:p w:rsidR="00B4595A" w:rsidRPr="00B4595A" w:rsidRDefault="00B4595A" w:rsidP="00B4595A">
      <w:pPr>
        <w:pStyle w:val="SingleTxt"/>
        <w:spacing w:after="0" w:line="120" w:lineRule="exact"/>
        <w:rPr>
          <w:b/>
          <w:sz w:val="10"/>
        </w:rPr>
      </w:pPr>
    </w:p>
    <w:p w:rsidR="003B5145" w:rsidRPr="003B5145" w:rsidRDefault="00B4595A" w:rsidP="00B4595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A0B5E">
        <w:tab/>
      </w:r>
      <w:r w:rsidR="003B5145" w:rsidRPr="003B5145">
        <w:t>II.</w:t>
      </w:r>
      <w:r w:rsidR="003B5145" w:rsidRPr="003B5145">
        <w:tab/>
        <w:t>Транспортная инфраструктура</w:t>
      </w:r>
    </w:p>
    <w:p w:rsidR="00B4595A" w:rsidRPr="00B4595A" w:rsidRDefault="00B4595A" w:rsidP="00B4595A">
      <w:pPr>
        <w:pStyle w:val="SingleTxt"/>
        <w:spacing w:after="0" w:line="120" w:lineRule="exact"/>
        <w:rPr>
          <w:b/>
          <w:sz w:val="10"/>
        </w:rPr>
      </w:pPr>
    </w:p>
    <w:p w:rsidR="00B4595A" w:rsidRPr="00B4595A" w:rsidRDefault="00B4595A" w:rsidP="00B4595A">
      <w:pPr>
        <w:pStyle w:val="SingleTxt"/>
        <w:spacing w:after="0" w:line="120" w:lineRule="exact"/>
        <w:rPr>
          <w:b/>
          <w:sz w:val="10"/>
        </w:rPr>
      </w:pPr>
    </w:p>
    <w:p w:rsidR="003B5145" w:rsidRPr="003B5145" w:rsidRDefault="00B4595A" w:rsidP="00B459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A0B5E">
        <w:tab/>
      </w:r>
      <w:r w:rsidR="003B5145" w:rsidRPr="003B5145">
        <w:t>A.</w:t>
      </w:r>
      <w:r w:rsidR="003B5145" w:rsidRPr="003B5145">
        <w:tab/>
        <w:t>Начало реализации новой стратегии Европейского союза в</w:t>
      </w:r>
      <w:r>
        <w:rPr>
          <w:lang w:val="en-US"/>
        </w:rPr>
        <w:t> </w:t>
      </w:r>
      <w:r w:rsidR="003B5145" w:rsidRPr="003B5145">
        <w:t>области инфраструктуры</w:t>
      </w:r>
    </w:p>
    <w:p w:rsidR="00B4595A" w:rsidRPr="00B4595A" w:rsidRDefault="00B4595A" w:rsidP="00B4595A">
      <w:pPr>
        <w:pStyle w:val="SingleTxt"/>
        <w:spacing w:after="0" w:line="120" w:lineRule="exact"/>
        <w:rPr>
          <w:sz w:val="10"/>
        </w:rPr>
      </w:pPr>
    </w:p>
    <w:p w:rsidR="00B4595A" w:rsidRPr="00B4595A" w:rsidRDefault="00B4595A" w:rsidP="00B4595A">
      <w:pPr>
        <w:pStyle w:val="SingleTxt"/>
        <w:spacing w:after="0" w:line="120" w:lineRule="exact"/>
        <w:rPr>
          <w:sz w:val="10"/>
        </w:rPr>
      </w:pPr>
    </w:p>
    <w:p w:rsidR="003B5145" w:rsidRPr="003B5145" w:rsidRDefault="004F36B2" w:rsidP="00B4595A">
      <w:pPr>
        <w:pStyle w:val="SingleTxt"/>
        <w:spacing w:line="240" w:lineRule="atLeast"/>
      </w:pPr>
      <w:r w:rsidRPr="005C185B">
        <w:rPr>
          <w:noProof/>
          <w:w w:val="100"/>
          <w:lang w:val="en-US" w:eastAsia="en-US"/>
        </w:rPr>
        <mc:AlternateContent>
          <mc:Choice Requires="wps">
            <w:drawing>
              <wp:anchor distT="0" distB="0" distL="114300" distR="114300" simplePos="0" relativeHeight="251685888" behindDoc="0" locked="0" layoutInCell="1" allowOverlap="1" wp14:anchorId="420C3339" wp14:editId="6915EC85">
                <wp:simplePos x="0" y="0"/>
                <wp:positionH relativeFrom="column">
                  <wp:posOffset>3538253</wp:posOffset>
                </wp:positionH>
                <wp:positionV relativeFrom="paragraph">
                  <wp:posOffset>1509172</wp:posOffset>
                </wp:positionV>
                <wp:extent cx="878774" cy="207645"/>
                <wp:effectExtent l="0" t="0" r="0" b="1905"/>
                <wp:wrapNone/>
                <wp:docPr id="8" name="Text Box 8"/>
                <wp:cNvGraphicFramePr/>
                <a:graphic xmlns:a="http://schemas.openxmlformats.org/drawingml/2006/main">
                  <a:graphicData uri="http://schemas.microsoft.com/office/word/2010/wordprocessingShape">
                    <wps:wsp>
                      <wps:cNvSpPr txBox="1"/>
                      <wps:spPr>
                        <a:xfrm>
                          <a:off x="0" y="0"/>
                          <a:ext cx="878774" cy="207645"/>
                        </a:xfrm>
                        <a:prstGeom prst="rect">
                          <a:avLst/>
                        </a:prstGeom>
                        <a:solidFill>
                          <a:srgbClr val="42838C"/>
                        </a:solidFill>
                        <a:ln w="6350">
                          <a:noFill/>
                        </a:ln>
                        <a:effectLst/>
                      </wps:spPr>
                      <wps:txbx>
                        <w:txbxContent>
                          <w:p w:rsidR="00DB6825" w:rsidRPr="008D323B" w:rsidRDefault="00DB6825" w:rsidP="008D323B">
                            <w:pPr>
                              <w:spacing w:before="20" w:line="204" w:lineRule="auto"/>
                              <w:rPr>
                                <w:b/>
                                <w:bCs/>
                                <w:color w:val="244061" w:themeColor="accent1" w:themeShade="80"/>
                                <w:sz w:val="13"/>
                                <w:szCs w:val="13"/>
                              </w:rPr>
                            </w:pPr>
                            <w:r w:rsidRPr="008D323B">
                              <w:rPr>
                                <w:b/>
                                <w:bCs/>
                                <w:color w:val="244061" w:themeColor="accent1" w:themeShade="80"/>
                                <w:sz w:val="13"/>
                                <w:szCs w:val="13"/>
                              </w:rPr>
                              <w:t xml:space="preserve">БАЗОВАЯ СЕТЬ </w:t>
                            </w:r>
                            <w:r w:rsidRPr="008D323B">
                              <w:rPr>
                                <w:b/>
                                <w:bCs/>
                                <w:color w:val="244061" w:themeColor="accent1" w:themeShade="80"/>
                                <w:sz w:val="13"/>
                                <w:szCs w:val="13"/>
                              </w:rPr>
                              <w:br/>
                              <w:t>КОРИДОРОВ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78.6pt;margin-top:118.85pt;width:69.2pt;height:16.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" fillcolor="#42838c" stroked="f" strokeweight=".5pt">
                <v:textbox inset="0,0,0,0">
                  <w:txbxContent>
                    <w:p w:rsidR="00DB6825" w:rsidRPr="008D323B" w:rsidRDefault="00DB6825" w:rsidP="008D323B">
                      <w:pPr>
                        <w:spacing w:before="20" w:line="204" w:lineRule="auto"/>
                        <w:rPr>
                          <w:b/>
                          <w:bCs/>
                          <w:color w:val="244061" w:themeColor="accent1" w:themeShade="80"/>
                          <w:sz w:val="13"/>
                          <w:szCs w:val="13"/>
                        </w:rPr>
                      </w:pPr>
                      <w:bookmarkStart w:id="2" w:name="_GoBack"/>
                      <w:r w:rsidRPr="008D323B">
                        <w:rPr>
                          <w:b/>
                          <w:bCs/>
                          <w:color w:val="244061" w:themeColor="accent1" w:themeShade="80"/>
                          <w:sz w:val="13"/>
                          <w:szCs w:val="13"/>
                        </w:rPr>
                        <w:t xml:space="preserve">БАЗОВАЯ СЕТЬ </w:t>
                      </w:r>
                      <w:r w:rsidRPr="008D323B">
                        <w:rPr>
                          <w:b/>
                          <w:bCs/>
                          <w:color w:val="244061" w:themeColor="accent1" w:themeShade="80"/>
                          <w:sz w:val="13"/>
                          <w:szCs w:val="13"/>
                        </w:rPr>
                        <w:br/>
                        <w:t>КОРИДОРОВ</w:t>
                      </w:r>
                      <w:bookmarkEnd w:id="2"/>
                    </w:p>
                  </w:txbxContent>
                </v:textbox>
              </v:shape>
            </w:pict>
          </mc:Fallback>
        </mc:AlternateContent>
      </w:r>
      <w:r w:rsidR="00102A7F">
        <w:rPr>
          <w:noProof/>
          <w:w w:val="100"/>
          <w:lang w:val="en-US" w:eastAsia="en-US"/>
        </w:rPr>
        <mc:AlternateContent>
          <mc:Choice Requires="wps">
            <w:drawing>
              <wp:anchor distT="0" distB="0" distL="114300" distR="114300" simplePos="0" relativeHeight="251683840" behindDoc="0" locked="0" layoutInCell="1" allowOverlap="1" wp14:anchorId="090681A9" wp14:editId="59A8F6AD">
                <wp:simplePos x="0" y="0"/>
                <wp:positionH relativeFrom="column">
                  <wp:posOffset>3538220</wp:posOffset>
                </wp:positionH>
                <wp:positionV relativeFrom="paragraph">
                  <wp:posOffset>1298575</wp:posOffset>
                </wp:positionV>
                <wp:extent cx="1240790" cy="2076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1240790" cy="207645"/>
                        </a:xfrm>
                        <a:prstGeom prst="rect">
                          <a:avLst/>
                        </a:prstGeom>
                        <a:solidFill>
                          <a:srgbClr val="42838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6825" w:rsidRPr="00102A7F" w:rsidRDefault="00DB6825" w:rsidP="00102A7F">
                            <w:pPr>
                              <w:spacing w:before="20" w:line="204" w:lineRule="auto"/>
                              <w:rPr>
                                <w:b/>
                                <w:bCs/>
                                <w:color w:val="244061" w:themeColor="accent1" w:themeShade="80"/>
                                <w:sz w:val="15"/>
                                <w:szCs w:val="15"/>
                              </w:rPr>
                            </w:pPr>
                            <w:r w:rsidRPr="00102A7F">
                              <w:rPr>
                                <w:b/>
                                <w:bCs/>
                                <w:color w:val="244061" w:themeColor="accent1" w:themeShade="80"/>
                                <w:sz w:val="15"/>
                                <w:szCs w:val="15"/>
                              </w:rPr>
                              <w:t>ТРАНСЪЕВРОПЕЙСКАЯ ТРАНСПОРТНАЯ СЕТЬ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278.6pt;margin-top:102.25pt;width:97.7pt;height:16.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" fillcolor="#42838c" stroked="f" strokeweight=".5pt">
                <v:textbox inset="0,0,0,0">
                  <w:txbxContent>
                    <w:p w:rsidR="00DB6825" w:rsidRPr="00102A7F" w:rsidRDefault="00DB6825" w:rsidP="00102A7F">
                      <w:pPr>
                        <w:spacing w:before="20" w:line="204" w:lineRule="auto"/>
                        <w:rPr>
                          <w:b/>
                          <w:bCs/>
                          <w:color w:val="244061" w:themeColor="accent1" w:themeShade="80"/>
                          <w:sz w:val="15"/>
                          <w:szCs w:val="15"/>
                        </w:rPr>
                      </w:pPr>
                      <w:r w:rsidRPr="00102A7F">
                        <w:rPr>
                          <w:b/>
                          <w:bCs/>
                          <w:color w:val="244061" w:themeColor="accent1" w:themeShade="80"/>
                          <w:sz w:val="15"/>
                          <w:szCs w:val="15"/>
                        </w:rPr>
                        <w:t>ТРАНСЪЕВРОПЕЙСКАЯ ТРАНСПОРТНАЯ СЕТЬ</w:t>
                      </w:r>
                    </w:p>
                  </w:txbxContent>
                </v:textbox>
              </v:shape>
            </w:pict>
          </mc:Fallback>
        </mc:AlternateContent>
      </w:r>
      <w:r w:rsidR="00B4595A" w:rsidRPr="003B5145">
        <w:rPr>
          <w:noProof/>
          <w:lang w:val="en-US" w:eastAsia="en-US"/>
        </w:rPr>
        <w:drawing>
          <wp:anchor distT="0" distB="0" distL="114300" distR="114300" simplePos="0" relativeHeight="251682816" behindDoc="0" locked="0" layoutInCell="1" allowOverlap="1" wp14:anchorId="3F48F8E2" wp14:editId="6D80DA21">
            <wp:simplePos x="0" y="0"/>
            <wp:positionH relativeFrom="column">
              <wp:posOffset>3536315</wp:posOffset>
            </wp:positionH>
            <wp:positionV relativeFrom="paragraph">
              <wp:posOffset>1299210</wp:posOffset>
            </wp:positionV>
            <wp:extent cx="2838450" cy="1804670"/>
            <wp:effectExtent l="0" t="0" r="0" b="5080"/>
            <wp:wrapSquare wrapText="bothSides"/>
            <wp:docPr id="5" name="Picture 5" descr="http://ec.europa.eu/transport/images/highlights/ten-t-corridors-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c.europa.eu/transport/images/highlights/ten-t-corridors-2013.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838450" cy="180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3B5145" w:rsidRPr="003B5145">
        <w:t>2.</w:t>
      </w:r>
      <w:r w:rsidR="003B5145" w:rsidRPr="003B5145">
        <w:tab/>
        <w:t>15 января 2015 года Европейская комиссия опубликовала девять исследов</w:t>
      </w:r>
      <w:r w:rsidR="003B5145" w:rsidRPr="003B5145">
        <w:t>а</w:t>
      </w:r>
      <w:r w:rsidR="003B5145" w:rsidRPr="003B5145">
        <w:t>ний о состоянии базовой сети коридоров Трансъевропейской транспортной сети (ТЕС-T) и потребностях их развития. В и</w:t>
      </w:r>
      <w:r w:rsidR="003B5145" w:rsidRPr="003B5145">
        <w:t>с</w:t>
      </w:r>
      <w:r w:rsidR="003B5145" w:rsidRPr="003B5145">
        <w:t>следованиях определены потребности в развитии инфраструктуры, на удовлетворение которых до 2030 года будет нео</w:t>
      </w:r>
      <w:r w:rsidR="003B5145" w:rsidRPr="003B5145">
        <w:t>б</w:t>
      </w:r>
      <w:r w:rsidR="003B5145" w:rsidRPr="003B5145">
        <w:t>ходимо выделить финансовые инвестиции в размере порядка 700</w:t>
      </w:r>
      <w:r w:rsidR="00AA108E">
        <w:t> млрд. </w:t>
      </w:r>
      <w:r w:rsidR="003B5145" w:rsidRPr="003B5145">
        <w:t>евро. В</w:t>
      </w:r>
      <w:r w:rsidR="00B4595A">
        <w:rPr>
          <w:lang w:val="en-US"/>
        </w:rPr>
        <w:t> </w:t>
      </w:r>
      <w:r w:rsidR="003B5145" w:rsidRPr="003B5145">
        <w:t>них отмечается значение оптимизации использования инфраструктуры вдоль к</w:t>
      </w:r>
      <w:r w:rsidR="003A0B5E">
        <w:t xml:space="preserve">оридоров, прежде всего за счет </w:t>
      </w:r>
      <w:r w:rsidR="003B5145" w:rsidRPr="003B5145">
        <w:t>внедрения интеллектуальных транспортных с</w:t>
      </w:r>
      <w:r w:rsidR="003B5145" w:rsidRPr="003B5145">
        <w:t>и</w:t>
      </w:r>
      <w:r w:rsidR="003B5145" w:rsidRPr="003B5145">
        <w:t>стем, эффективного управления и поощрения ориентированных на будущее р</w:t>
      </w:r>
      <w:r w:rsidR="003B5145" w:rsidRPr="003B5145">
        <w:t>е</w:t>
      </w:r>
      <w:r w:rsidR="003B5145" w:rsidRPr="003B5145">
        <w:t>шений по обеспечению экологичности транспорта. Впервые десятки тысяч кил</w:t>
      </w:r>
      <w:r w:rsidR="003B5145" w:rsidRPr="003B5145">
        <w:t>о</w:t>
      </w:r>
      <w:r w:rsidR="003B5145" w:rsidRPr="003B5145">
        <w:t>метров железнодорожных линий, автом</w:t>
      </w:r>
      <w:r w:rsidR="003B5145" w:rsidRPr="003B5145">
        <w:t>о</w:t>
      </w:r>
      <w:r w:rsidR="003B5145" w:rsidRPr="003B5145">
        <w:t>бильных дорог и внутренних водных путей, а также порты, аэропорты и другие тран</w:t>
      </w:r>
      <w:r w:rsidR="003B5145" w:rsidRPr="003B5145">
        <w:t>с</w:t>
      </w:r>
      <w:r w:rsidR="003B5145" w:rsidRPr="003B5145">
        <w:t>портные терминалы стали пре</w:t>
      </w:r>
      <w:r w:rsidR="003B5145" w:rsidRPr="003B5145">
        <w:t>д</w:t>
      </w:r>
      <w:r w:rsidR="003B5145" w:rsidRPr="003B5145">
        <w:t>метом столь всеобъемлющего исследования, проведенн</w:t>
      </w:r>
      <w:r w:rsidR="003B5145" w:rsidRPr="003B5145">
        <w:t>о</w:t>
      </w:r>
      <w:r w:rsidR="003B5145" w:rsidRPr="003B5145">
        <w:t>го по единой методол</w:t>
      </w:r>
      <w:r w:rsidR="003B5145" w:rsidRPr="003B5145">
        <w:t>о</w:t>
      </w:r>
      <w:r w:rsidR="003B5145" w:rsidRPr="003B5145">
        <w:t>гии.</w:t>
      </w:r>
      <w:r w:rsidR="00B4595A" w:rsidRPr="00B4595A">
        <w:t xml:space="preserve"> </w:t>
      </w:r>
    </w:p>
    <w:p w:rsidR="003B5145" w:rsidRPr="003B5145" w:rsidRDefault="003B5145" w:rsidP="003B5145">
      <w:pPr>
        <w:pStyle w:val="SingleTxt"/>
        <w:spacing w:line="240" w:lineRule="atLeast"/>
      </w:pPr>
      <w:r w:rsidRPr="003B5145">
        <w:t>3.</w:t>
      </w:r>
      <w:r w:rsidRPr="003B5145">
        <w:tab/>
        <w:t>Комиссар ЕС по транспорту г-жа Ви</w:t>
      </w:r>
      <w:r w:rsidRPr="003B5145">
        <w:t>о</w:t>
      </w:r>
      <w:r w:rsidRPr="003B5145">
        <w:t>летта Балк заявила: «Нам необходимо нар</w:t>
      </w:r>
      <w:r w:rsidRPr="003B5145">
        <w:t>а</w:t>
      </w:r>
      <w:r w:rsidRPr="003B5145">
        <w:t>щивать свои усилия, с тем чтобы гарантир</w:t>
      </w:r>
      <w:r w:rsidRPr="003B5145">
        <w:t>о</w:t>
      </w:r>
      <w:r w:rsidRPr="003B5145">
        <w:t>вать полноценное функционирование баз</w:t>
      </w:r>
      <w:r w:rsidRPr="003B5145">
        <w:t>о</w:t>
      </w:r>
      <w:r w:rsidRPr="003B5145">
        <w:t>вой сети к 2030 году и тем самым обеспечить бесперебойные транспортные п</w:t>
      </w:r>
      <w:r w:rsidRPr="003B5145">
        <w:t>о</w:t>
      </w:r>
      <w:r w:rsidRPr="003B5145">
        <w:t>токи пассажиров и товаров на всей территории ЕС. Настало время вкладывать средства в проекты ТЕС-Т и максимально прибыльно использовать средства, в</w:t>
      </w:r>
      <w:r w:rsidRPr="003B5145">
        <w:t>ы</w:t>
      </w:r>
      <w:r w:rsidRPr="003B5145">
        <w:t>деляемые по линии Фонда соединения Европы, а также принятого Комиссией плана по инвестированию 315</w:t>
      </w:r>
      <w:r w:rsidR="00AA108E">
        <w:t> млрд. </w:t>
      </w:r>
      <w:r w:rsidRPr="003B5145">
        <w:t>евро. В конечном итоге Трансъевропейская транспортная сеть имеет определяющее значение для реализации прилагаемых Союзом усилий по повышению темпов роста, созданию рабочих мест и наращ</w:t>
      </w:r>
      <w:r w:rsidRPr="003B5145">
        <w:t>и</w:t>
      </w:r>
      <w:r w:rsidRPr="003B5145">
        <w:t>ванию конкурентоспособности. В условиях постепенного выхода Европы из эк</w:t>
      </w:r>
      <w:r w:rsidRPr="003B5145">
        <w:t>о</w:t>
      </w:r>
      <w:r w:rsidRPr="003B5145">
        <w:t xml:space="preserve">номического кризиса нам необходим не разделенный барьерами, а соединенный Союз, который бы способствовал процветанию нашего единого рынка». </w:t>
      </w:r>
    </w:p>
    <w:p w:rsidR="003B5145" w:rsidRPr="003B5145" w:rsidRDefault="00AA108E" w:rsidP="003B5145">
      <w:pPr>
        <w:pStyle w:val="SingleTxt"/>
        <w:spacing w:line="240" w:lineRule="atLeast"/>
      </w:pPr>
      <w:r w:rsidRPr="003B5145">
        <w:rPr>
          <w:noProof/>
          <w:lang w:val="en-US" w:eastAsia="en-US"/>
        </w:rPr>
        <mc:AlternateContent>
          <mc:Choice Requires="wps">
            <w:drawing>
              <wp:anchor distT="0" distB="0" distL="114300" distR="114300" simplePos="0" relativeHeight="251661312" behindDoc="0" locked="0" layoutInCell="1" allowOverlap="1" wp14:anchorId="56C8E30F" wp14:editId="73BB9348">
                <wp:simplePos x="0" y="0"/>
                <wp:positionH relativeFrom="column">
                  <wp:posOffset>4309745</wp:posOffset>
                </wp:positionH>
                <wp:positionV relativeFrom="paragraph">
                  <wp:posOffset>170180</wp:posOffset>
                </wp:positionV>
                <wp:extent cx="1941830" cy="1128395"/>
                <wp:effectExtent l="0" t="0" r="0" b="0"/>
                <wp:wrapNone/>
                <wp:docPr id="14" name="Поле 14"/>
                <wp:cNvGraphicFramePr/>
                <a:graphic xmlns:a="http://schemas.openxmlformats.org/drawingml/2006/main">
                  <a:graphicData uri="http://schemas.microsoft.com/office/word/2010/wordprocessingShape">
                    <wps:wsp>
                      <wps:cNvSpPr txBox="1"/>
                      <wps:spPr>
                        <a:xfrm>
                          <a:off x="0" y="0"/>
                          <a:ext cx="1941830" cy="1128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6825" w:rsidRPr="00AA108E" w:rsidRDefault="00DB6825" w:rsidP="003B5145">
                            <w:pPr>
                              <w:jc w:val="center"/>
                              <w:rPr>
                                <w:color w:val="244061" w:themeColor="accent1" w:themeShade="80"/>
                                <w:lang w:val="en-US"/>
                              </w:rPr>
                            </w:pPr>
                          </w:p>
                          <w:p w:rsidR="00DB6825" w:rsidRPr="00AA108E" w:rsidRDefault="00DB6825" w:rsidP="003B5145">
                            <w:pPr>
                              <w:jc w:val="center"/>
                              <w:rPr>
                                <w:b/>
                                <w:bCs/>
                                <w:color w:val="244061" w:themeColor="accent1" w:themeShade="80"/>
                                <w:sz w:val="22"/>
                              </w:rPr>
                            </w:pPr>
                            <w:r w:rsidRPr="00AA108E">
                              <w:rPr>
                                <w:b/>
                                <w:bCs/>
                                <w:color w:val="244061" w:themeColor="accent1" w:themeShade="80"/>
                                <w:sz w:val="22"/>
                              </w:rPr>
                              <w:t>Генеральный план</w:t>
                            </w:r>
                          </w:p>
                          <w:p w:rsidR="00DB6825" w:rsidRPr="00AA108E" w:rsidRDefault="00DB6825" w:rsidP="003B5145">
                            <w:pPr>
                              <w:jc w:val="center"/>
                              <w:rPr>
                                <w:b/>
                                <w:bCs/>
                                <w:color w:val="244061" w:themeColor="accent1" w:themeShade="80"/>
                                <w:sz w:val="22"/>
                              </w:rPr>
                            </w:pPr>
                            <w:r w:rsidRPr="00AA108E">
                              <w:rPr>
                                <w:b/>
                                <w:bCs/>
                                <w:color w:val="244061" w:themeColor="accent1" w:themeShade="80"/>
                                <w:sz w:val="22"/>
                              </w:rPr>
                              <w:t>ТЕА и ТЕЖ</w:t>
                            </w:r>
                          </w:p>
                          <w:p w:rsidR="00DB6825" w:rsidRPr="00AA108E" w:rsidRDefault="00DB6825" w:rsidP="003B5145">
                            <w:pPr>
                              <w:jc w:val="center"/>
                              <w:rPr>
                                <w:b/>
                                <w:bCs/>
                                <w:color w:val="244061" w:themeColor="accent1" w:themeShade="80"/>
                                <w:sz w:val="22"/>
                              </w:rPr>
                            </w:pPr>
                          </w:p>
                          <w:p w:rsidR="00DB6825" w:rsidRPr="00AA108E" w:rsidRDefault="00DB6825" w:rsidP="003B5145">
                            <w:pPr>
                              <w:jc w:val="center"/>
                              <w:rPr>
                                <w:b/>
                                <w:bCs/>
                                <w:color w:val="244061" w:themeColor="accent1" w:themeShade="80"/>
                                <w:sz w:val="22"/>
                              </w:rPr>
                            </w:pPr>
                            <w:r w:rsidRPr="00AA108E">
                              <w:rPr>
                                <w:b/>
                                <w:bCs/>
                                <w:color w:val="244061" w:themeColor="accent1" w:themeShade="80"/>
                                <w:sz w:val="22"/>
                              </w:rPr>
                              <w:t>ЕАТС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4" o:spid="_x0000_s1028" type="#_x0000_t202" style="position:absolute;left:0;text-align:left;margin-left:339.35pt;margin-top:13.4pt;width:152.9pt;height:88.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" filled="f" stroked="f" strokeweight=".5pt">
                <v:textbox>
                  <w:txbxContent>
                    <w:p w:rsidR="00DB6825" w:rsidRPr="00AA108E" w:rsidRDefault="00DB6825" w:rsidP="003B5145">
                      <w:pPr>
                        <w:jc w:val="center"/>
                        <w:rPr>
                          <w:color w:val="244061" w:themeColor="accent1" w:themeShade="80"/>
                          <w:lang w:val="en-US"/>
                        </w:rPr>
                      </w:pPr>
                    </w:p>
                    <w:p w:rsidR="00DB6825" w:rsidRPr="00AA108E" w:rsidRDefault="00DB6825" w:rsidP="003B5145">
                      <w:pPr>
                        <w:jc w:val="center"/>
                        <w:rPr>
                          <w:b/>
                          <w:bCs/>
                          <w:color w:val="244061" w:themeColor="accent1" w:themeShade="80"/>
                          <w:sz w:val="22"/>
                        </w:rPr>
                      </w:pPr>
                      <w:r w:rsidRPr="00AA108E">
                        <w:rPr>
                          <w:b/>
                          <w:bCs/>
                          <w:color w:val="244061" w:themeColor="accent1" w:themeShade="80"/>
                          <w:sz w:val="22"/>
                        </w:rPr>
                        <w:t>Генеральный план</w:t>
                      </w:r>
                    </w:p>
                    <w:p w:rsidR="00DB6825" w:rsidRPr="00AA108E" w:rsidRDefault="00DB6825" w:rsidP="003B5145">
                      <w:pPr>
                        <w:jc w:val="center"/>
                        <w:rPr>
                          <w:b/>
                          <w:bCs/>
                          <w:color w:val="244061" w:themeColor="accent1" w:themeShade="80"/>
                          <w:sz w:val="22"/>
                        </w:rPr>
                      </w:pPr>
                      <w:r w:rsidRPr="00AA108E">
                        <w:rPr>
                          <w:b/>
                          <w:bCs/>
                          <w:color w:val="244061" w:themeColor="accent1" w:themeShade="80"/>
                          <w:sz w:val="22"/>
                        </w:rPr>
                        <w:t>ТЕА и ТЕЖ</w:t>
                      </w:r>
                    </w:p>
                    <w:p w:rsidR="00DB6825" w:rsidRPr="00AA108E" w:rsidRDefault="00DB6825" w:rsidP="003B5145">
                      <w:pPr>
                        <w:jc w:val="center"/>
                        <w:rPr>
                          <w:b/>
                          <w:bCs/>
                          <w:color w:val="244061" w:themeColor="accent1" w:themeShade="80"/>
                          <w:sz w:val="22"/>
                        </w:rPr>
                      </w:pPr>
                    </w:p>
                    <w:p w:rsidR="00DB6825" w:rsidRPr="00AA108E" w:rsidRDefault="00DB6825" w:rsidP="003B5145">
                      <w:pPr>
                        <w:jc w:val="center"/>
                        <w:rPr>
                          <w:b/>
                          <w:bCs/>
                          <w:color w:val="244061" w:themeColor="accent1" w:themeShade="80"/>
                          <w:sz w:val="22"/>
                        </w:rPr>
                      </w:pPr>
                      <w:r w:rsidRPr="00AA108E">
                        <w:rPr>
                          <w:b/>
                          <w:bCs/>
                          <w:color w:val="244061" w:themeColor="accent1" w:themeShade="80"/>
                          <w:sz w:val="22"/>
                        </w:rPr>
                        <w:t>ЕАТС</w:t>
                      </w:r>
                    </w:p>
                  </w:txbxContent>
                </v:textbox>
              </v:shape>
            </w:pict>
          </mc:Fallback>
        </mc:AlternateContent>
      </w:r>
      <w:r w:rsidRPr="003B5145">
        <w:rPr>
          <w:noProof/>
          <w:lang w:val="en-US" w:eastAsia="en-US"/>
        </w:rPr>
        <w:drawing>
          <wp:anchor distT="0" distB="0" distL="114300" distR="114300" simplePos="0" relativeHeight="251660288" behindDoc="0" locked="0" layoutInCell="1" allowOverlap="1" wp14:anchorId="7E0E3361" wp14:editId="01D6049B">
            <wp:simplePos x="0" y="0"/>
            <wp:positionH relativeFrom="column">
              <wp:posOffset>4203065</wp:posOffset>
            </wp:positionH>
            <wp:positionV relativeFrom="paragraph">
              <wp:posOffset>55880</wp:posOffset>
            </wp:positionV>
            <wp:extent cx="2174875" cy="1278255"/>
            <wp:effectExtent l="0" t="0" r="0" b="0"/>
            <wp:wrapSquare wrapText="bothSides"/>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174875" cy="1278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5145" w:rsidRPr="003B5145">
        <w:t>4.</w:t>
      </w:r>
      <w:r w:rsidR="003B5145" w:rsidRPr="003B5145">
        <w:tab/>
        <w:t>По каждому трансъевропейскому транспортному коридору, курируемому европейским координатором, группа внешних экспертов провела всеобъемлющее и</w:t>
      </w:r>
      <w:r w:rsidR="003B5145" w:rsidRPr="003B5145">
        <w:t>с</w:t>
      </w:r>
      <w:r w:rsidR="003B5145" w:rsidRPr="003B5145">
        <w:t>следование. Эксперты проанализировали нынешнее с</w:t>
      </w:r>
      <w:r w:rsidR="003B5145" w:rsidRPr="003B5145">
        <w:t>о</w:t>
      </w:r>
      <w:r w:rsidR="003B5145" w:rsidRPr="003B5145">
        <w:t>стояние инфраструктуры, выявили проблемы, препя</w:t>
      </w:r>
      <w:r w:rsidR="003B5145" w:rsidRPr="003B5145">
        <w:t>т</w:t>
      </w:r>
      <w:r w:rsidR="003B5145" w:rsidRPr="003B5145">
        <w:t>ствующие транспортным потокам пассажиров и грузов, и определили действия, которые будут предприняты в период вплоть до 2030 года.</w:t>
      </w:r>
    </w:p>
    <w:p w:rsidR="00AA108E" w:rsidRPr="00AA108E" w:rsidRDefault="00AA108E" w:rsidP="00AA108E">
      <w:pPr>
        <w:pStyle w:val="SingleTxt"/>
        <w:spacing w:after="0" w:line="120" w:lineRule="exact"/>
        <w:rPr>
          <w:i/>
          <w:sz w:val="10"/>
        </w:rPr>
      </w:pPr>
    </w:p>
    <w:p w:rsidR="003B5145" w:rsidRPr="003B5145" w:rsidRDefault="003B5145" w:rsidP="003B5145">
      <w:pPr>
        <w:pStyle w:val="SingleTxt"/>
        <w:spacing w:line="240" w:lineRule="atLeast"/>
        <w:rPr>
          <w:i/>
        </w:rPr>
      </w:pPr>
      <w:r w:rsidRPr="003B5145">
        <w:rPr>
          <w:i/>
        </w:rPr>
        <w:t>Последующие шаги</w:t>
      </w:r>
    </w:p>
    <w:p w:rsidR="003B5145" w:rsidRPr="003B5145" w:rsidRDefault="003B5145" w:rsidP="003B5145">
      <w:pPr>
        <w:pStyle w:val="SingleTxt"/>
        <w:spacing w:line="240" w:lineRule="atLeast"/>
      </w:pPr>
      <w:r w:rsidRPr="003B5145">
        <w:t>5.</w:t>
      </w:r>
      <w:r w:rsidRPr="003B5145">
        <w:tab/>
        <w:t xml:space="preserve">Результаты этих исследований будут учтены в процессе принятия решений о выделении средств ЕС на период 2014–2020 годов по линии Фонда соединения Европы. В частности по итогам этих исследований транспортных коридоров был </w:t>
      </w:r>
      <w:r w:rsidRPr="003B5145">
        <w:lastRenderedPageBreak/>
        <w:t>подготовлен портфель инвестиционных проектов, являющийся важным источн</w:t>
      </w:r>
      <w:r w:rsidRPr="003B5145">
        <w:t>и</w:t>
      </w:r>
      <w:r w:rsidRPr="003B5145">
        <w:t>ком средств для Европейского инвестиционного плана на сумму 315</w:t>
      </w:r>
      <w:r w:rsidR="00AA108E">
        <w:t> млрд. </w:t>
      </w:r>
      <w:r w:rsidRPr="003B5145">
        <w:t>евро, который был опубликован Комиссией в ноябре 2014 года. В этом контексте К</w:t>
      </w:r>
      <w:r w:rsidRPr="003B5145">
        <w:t>о</w:t>
      </w:r>
      <w:r w:rsidRPr="003B5145">
        <w:t>миссия также поручила бывшему заместителю Председателя Европейской к</w:t>
      </w:r>
      <w:r w:rsidRPr="003B5145">
        <w:t>о</w:t>
      </w:r>
      <w:r w:rsidRPr="003B5145">
        <w:t>миссии Хеннингу Кристоферсону, а также европейским координаторам Курту Бодевигу и Карло Секки определить конкретные проекты в рамках ТЕС-Т, по л</w:t>
      </w:r>
      <w:r w:rsidRPr="003B5145">
        <w:t>и</w:t>
      </w:r>
      <w:r w:rsidRPr="003B5145">
        <w:t>нии которых может быть внесен вклад в новый инвестиционный план.</w:t>
      </w:r>
    </w:p>
    <w:p w:rsidR="00AA108E" w:rsidRPr="00AA108E" w:rsidRDefault="00AA108E" w:rsidP="00AA108E">
      <w:pPr>
        <w:pStyle w:val="SingleTxt"/>
        <w:spacing w:after="0" w:line="120" w:lineRule="exact"/>
        <w:rPr>
          <w:i/>
          <w:sz w:val="10"/>
        </w:rPr>
      </w:pPr>
    </w:p>
    <w:p w:rsidR="003B5145" w:rsidRPr="003B5145" w:rsidRDefault="003B5145" w:rsidP="003B5145">
      <w:pPr>
        <w:pStyle w:val="SingleTxt"/>
        <w:spacing w:line="240" w:lineRule="atLeast"/>
        <w:rPr>
          <w:i/>
        </w:rPr>
      </w:pPr>
      <w:r w:rsidRPr="003B5145">
        <w:rPr>
          <w:i/>
        </w:rPr>
        <w:t xml:space="preserve">Справочная информация </w:t>
      </w:r>
    </w:p>
    <w:p w:rsidR="003B5145" w:rsidRPr="003B5145" w:rsidRDefault="003B5145" w:rsidP="003B5145">
      <w:pPr>
        <w:pStyle w:val="SingleTxt"/>
        <w:spacing w:line="240" w:lineRule="atLeast"/>
      </w:pPr>
      <w:r w:rsidRPr="003B5145">
        <w:t>6.</w:t>
      </w:r>
      <w:r w:rsidRPr="003B5145">
        <w:tab/>
        <w:t>Базовая сеть позволит:</w:t>
      </w:r>
    </w:p>
    <w:p w:rsidR="003B5145" w:rsidRPr="003B5145" w:rsidRDefault="004E3FA6" w:rsidP="00AA108E">
      <w:pPr>
        <w:pStyle w:val="SingleTxt"/>
        <w:tabs>
          <w:tab w:val="clear" w:pos="2218"/>
          <w:tab w:val="clear" w:pos="6538"/>
          <w:tab w:val="clear" w:pos="7013"/>
          <w:tab w:val="clear" w:pos="7488"/>
          <w:tab w:val="clear" w:pos="7978"/>
          <w:tab w:val="clear" w:pos="8453"/>
          <w:tab w:val="right" w:pos="1022"/>
          <w:tab w:val="right" w:pos="1685"/>
          <w:tab w:val="left" w:pos="2070"/>
        </w:tabs>
        <w:spacing w:line="240" w:lineRule="atLeast"/>
        <w:ind w:left="2070" w:right="1260" w:hanging="803"/>
      </w:pPr>
      <w:r>
        <w:tab/>
        <w:t>•</w:t>
      </w:r>
      <w:r>
        <w:tab/>
      </w:r>
      <w:r w:rsidR="003B5145" w:rsidRPr="003B5145">
        <w:t>1.</w:t>
      </w:r>
      <w:r w:rsidR="00AA108E">
        <w:tab/>
      </w:r>
      <w:r w:rsidR="003B5145" w:rsidRPr="003B5145">
        <w:t>соединить 94 основных европейских порта с автомобильными и желе</w:t>
      </w:r>
      <w:r w:rsidR="003B5145" w:rsidRPr="003B5145">
        <w:t>з</w:t>
      </w:r>
      <w:r w:rsidR="003B5145" w:rsidRPr="003B5145">
        <w:t>нодорожными линиями;</w:t>
      </w:r>
    </w:p>
    <w:p w:rsidR="003B5145" w:rsidRPr="003B5145" w:rsidRDefault="00AA108E" w:rsidP="00AA108E">
      <w:pPr>
        <w:pStyle w:val="SingleTxt"/>
        <w:tabs>
          <w:tab w:val="clear" w:pos="2218"/>
          <w:tab w:val="clear" w:pos="6538"/>
          <w:tab w:val="clear" w:pos="7013"/>
          <w:tab w:val="clear" w:pos="7488"/>
          <w:tab w:val="clear" w:pos="7978"/>
          <w:tab w:val="clear" w:pos="8453"/>
          <w:tab w:val="right" w:pos="1022"/>
          <w:tab w:val="right" w:pos="1685"/>
          <w:tab w:val="left" w:pos="2070"/>
        </w:tabs>
        <w:spacing w:line="240" w:lineRule="atLeast"/>
        <w:ind w:left="2070" w:right="1260" w:hanging="803"/>
      </w:pPr>
      <w:r>
        <w:tab/>
        <w:t>•</w:t>
      </w:r>
      <w:r>
        <w:tab/>
      </w:r>
      <w:r w:rsidR="003B5145" w:rsidRPr="003B5145">
        <w:t>2.</w:t>
      </w:r>
      <w:r>
        <w:tab/>
      </w:r>
      <w:r w:rsidR="003B5145" w:rsidRPr="003B5145">
        <w:t>соединить 38 ключевых аэропортов с крупными городами при помощи железнодорожных линий;</w:t>
      </w:r>
    </w:p>
    <w:p w:rsidR="003B5145" w:rsidRPr="003B5145" w:rsidRDefault="00AA108E" w:rsidP="00AA108E">
      <w:pPr>
        <w:pStyle w:val="SingleTxt"/>
        <w:tabs>
          <w:tab w:val="clear" w:pos="2218"/>
          <w:tab w:val="clear" w:pos="6538"/>
          <w:tab w:val="clear" w:pos="7013"/>
          <w:tab w:val="clear" w:pos="7488"/>
          <w:tab w:val="clear" w:pos="7978"/>
          <w:tab w:val="clear" w:pos="8453"/>
          <w:tab w:val="right" w:pos="1022"/>
          <w:tab w:val="right" w:pos="1685"/>
          <w:tab w:val="left" w:pos="2070"/>
        </w:tabs>
        <w:spacing w:line="240" w:lineRule="atLeast"/>
        <w:ind w:left="2070" w:right="1260" w:hanging="803"/>
      </w:pPr>
      <w:r>
        <w:tab/>
        <w:t>•</w:t>
      </w:r>
      <w:r>
        <w:tab/>
      </w:r>
      <w:r w:rsidR="003B5145" w:rsidRPr="003B5145">
        <w:t>3.</w:t>
      </w:r>
      <w:r>
        <w:tab/>
      </w:r>
      <w:r w:rsidR="003B5145" w:rsidRPr="003B5145">
        <w:t>реконструировать 15 000 км железнодорожных линий для эксплуатации на них высокоскоростных составов;</w:t>
      </w:r>
    </w:p>
    <w:p w:rsidR="003B5145" w:rsidRPr="003B5145" w:rsidRDefault="00AA108E" w:rsidP="00AA108E">
      <w:pPr>
        <w:pStyle w:val="SingleTxt"/>
        <w:tabs>
          <w:tab w:val="clear" w:pos="2218"/>
          <w:tab w:val="clear" w:pos="6538"/>
          <w:tab w:val="clear" w:pos="7013"/>
          <w:tab w:val="clear" w:pos="7488"/>
          <w:tab w:val="clear" w:pos="7978"/>
          <w:tab w:val="clear" w:pos="8453"/>
          <w:tab w:val="right" w:pos="1022"/>
          <w:tab w:val="right" w:pos="1685"/>
          <w:tab w:val="left" w:pos="2070"/>
        </w:tabs>
        <w:spacing w:line="240" w:lineRule="atLeast"/>
        <w:ind w:left="2070" w:right="1260" w:hanging="803"/>
      </w:pPr>
      <w:r>
        <w:tab/>
        <w:t>•</w:t>
      </w:r>
      <w:r>
        <w:tab/>
      </w:r>
      <w:r w:rsidR="003B5145" w:rsidRPr="003B5145">
        <w:t>4.</w:t>
      </w:r>
      <w:r>
        <w:tab/>
      </w:r>
      <w:r w:rsidR="003B5145" w:rsidRPr="003B5145">
        <w:t>реализовать 35 трансграничных проектов для ограничения узких мест.</w:t>
      </w:r>
    </w:p>
    <w:p w:rsidR="003B5145" w:rsidRPr="003B5145" w:rsidRDefault="003B5145" w:rsidP="003B5145">
      <w:pPr>
        <w:pStyle w:val="SingleTxt"/>
        <w:spacing w:line="240" w:lineRule="atLeast"/>
      </w:pPr>
      <w:r w:rsidRPr="003B5145">
        <w:t>7.</w:t>
      </w:r>
      <w:r w:rsidRPr="003B5145">
        <w:tab/>
        <w:t>Все это придаст жизненные силы экономике единого рынка и позволит с</w:t>
      </w:r>
      <w:r w:rsidRPr="003B5145">
        <w:t>о</w:t>
      </w:r>
      <w:r w:rsidRPr="003B5145">
        <w:t>здать условия для действительно свободного потока товаров и людей по террит</w:t>
      </w:r>
      <w:r w:rsidRPr="003B5145">
        <w:t>о</w:t>
      </w:r>
      <w:r w:rsidRPr="003B5145">
        <w:t>рии ЕС.</w:t>
      </w:r>
    </w:p>
    <w:p w:rsidR="00AA108E" w:rsidRPr="00AA108E" w:rsidRDefault="00AA108E" w:rsidP="00AA108E">
      <w:pPr>
        <w:pStyle w:val="SingleTxt"/>
        <w:spacing w:after="0" w:line="120" w:lineRule="exact"/>
        <w:rPr>
          <w:b/>
          <w:sz w:val="10"/>
        </w:rPr>
      </w:pPr>
    </w:p>
    <w:p w:rsidR="00AA108E" w:rsidRPr="00AA108E" w:rsidRDefault="00AA108E" w:rsidP="00AA108E">
      <w:pPr>
        <w:pStyle w:val="SingleTxt"/>
        <w:spacing w:after="0" w:line="120" w:lineRule="exact"/>
        <w:rPr>
          <w:b/>
          <w:sz w:val="10"/>
        </w:rPr>
      </w:pPr>
    </w:p>
    <w:p w:rsidR="003B5145" w:rsidRPr="003B5145" w:rsidRDefault="003B5145" w:rsidP="00AA108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5145">
        <w:tab/>
        <w:t>В.</w:t>
      </w:r>
      <w:r w:rsidRPr="003B5145">
        <w:tab/>
        <w:t>Транспортные перевозки в Альпийском регионе</w:t>
      </w:r>
    </w:p>
    <w:p w:rsidR="00AA108E" w:rsidRPr="00AA108E" w:rsidRDefault="00AA108E" w:rsidP="00AA108E">
      <w:pPr>
        <w:pStyle w:val="SingleTxt"/>
        <w:spacing w:after="0" w:line="120" w:lineRule="exact"/>
        <w:rPr>
          <w:sz w:val="10"/>
        </w:rPr>
      </w:pPr>
    </w:p>
    <w:p w:rsidR="00AA108E" w:rsidRPr="00AA108E" w:rsidRDefault="00AA108E" w:rsidP="00AA108E">
      <w:pPr>
        <w:pStyle w:val="SingleTxt"/>
        <w:spacing w:after="0" w:line="120" w:lineRule="exact"/>
        <w:rPr>
          <w:sz w:val="10"/>
        </w:rPr>
      </w:pPr>
    </w:p>
    <w:p w:rsidR="003B5145" w:rsidRPr="003B5145" w:rsidRDefault="003B5145" w:rsidP="00AA108E">
      <w:pPr>
        <w:pStyle w:val="SingleTxt"/>
        <w:spacing w:line="240" w:lineRule="atLeast"/>
      </w:pPr>
      <w:r w:rsidRPr="003B5145">
        <w:t>8.</w:t>
      </w:r>
      <w:r w:rsidRPr="003B5145">
        <w:tab/>
        <w:t>В марте 2015 года комиссар Балк и семь министров транспорта альпийских государств рассматривали вопросы устойчивого транспорта в Австрии. В</w:t>
      </w:r>
      <w:r w:rsidR="00AA108E">
        <w:t> </w:t>
      </w:r>
      <w:r w:rsidRPr="003B5145">
        <w:t>Инсбруке (Австрия) с участием семи министров транспорта альпийских гос</w:t>
      </w:r>
      <w:r w:rsidRPr="003B5145">
        <w:t>у</w:t>
      </w:r>
      <w:r w:rsidRPr="003B5145">
        <w:t xml:space="preserve">дарств (Австрии, Германии, Италии, Лихтенштейна, Словении, Франции и Швейцарии) состоялся конгресс, на котором обсуждались вопросы развития транспорта в Альпийском регионе. </w:t>
      </w:r>
    </w:p>
    <w:p w:rsidR="003B5145" w:rsidRPr="003B5145" w:rsidRDefault="003B5145" w:rsidP="003B5145">
      <w:pPr>
        <w:pStyle w:val="SingleTxt"/>
        <w:spacing w:line="240" w:lineRule="atLeast"/>
      </w:pPr>
      <w:r w:rsidRPr="003B5145">
        <w:t>9.</w:t>
      </w:r>
      <w:r w:rsidRPr="003B5145">
        <w:tab/>
        <w:t>В присутствии около 500 участников комиссар, министры и координаторы основных проектов по созданию трансальпийских транспортных артерий обс</w:t>
      </w:r>
      <w:r w:rsidRPr="003B5145">
        <w:t>у</w:t>
      </w:r>
      <w:r w:rsidRPr="003B5145">
        <w:t>дили проблемы подготовки, осуществления и финансирования широкомасшта</w:t>
      </w:r>
      <w:r w:rsidRPr="003B5145">
        <w:t>б</w:t>
      </w:r>
      <w:r w:rsidRPr="003B5145">
        <w:t>ных трансграничных проектов, затрагивающих несколько государств-членов. После их завершения эти проекты позволят существенно изменить потоки груз</w:t>
      </w:r>
      <w:r w:rsidRPr="003B5145">
        <w:t>о</w:t>
      </w:r>
      <w:r w:rsidRPr="003B5145">
        <w:t>вых и пассажирских перевозок через Альпы и укрепить экономические отнош</w:t>
      </w:r>
      <w:r w:rsidRPr="003B5145">
        <w:t>е</w:t>
      </w:r>
      <w:r w:rsidRPr="003B5145">
        <w:t>ния. Комиссар и министры подписали совместное заявление, в котором они по</w:t>
      </w:r>
      <w:r w:rsidRPr="003B5145">
        <w:t>д</w:t>
      </w:r>
      <w:r w:rsidRPr="003B5145">
        <w:t>твердили свой твердый курс на дальнейшее содействие развитию устойчивого транспорта в регионе.</w:t>
      </w:r>
    </w:p>
    <w:p w:rsidR="00AA108E" w:rsidRPr="00AA108E" w:rsidRDefault="00AA108E" w:rsidP="00AA108E">
      <w:pPr>
        <w:pStyle w:val="SingleTxt"/>
        <w:spacing w:after="0" w:line="120" w:lineRule="exact"/>
        <w:rPr>
          <w:b/>
          <w:sz w:val="10"/>
        </w:rPr>
      </w:pPr>
    </w:p>
    <w:p w:rsidR="00AA108E" w:rsidRPr="00AA108E" w:rsidRDefault="00AA108E" w:rsidP="00AA108E">
      <w:pPr>
        <w:pStyle w:val="SingleTxt"/>
        <w:spacing w:after="0" w:line="120" w:lineRule="exact"/>
        <w:rPr>
          <w:b/>
          <w:sz w:val="10"/>
        </w:rPr>
      </w:pPr>
    </w:p>
    <w:p w:rsidR="003B5145" w:rsidRPr="003B5145" w:rsidRDefault="003B5145" w:rsidP="00AA108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5145">
        <w:tab/>
        <w:t>С.</w:t>
      </w:r>
      <w:r w:rsidRPr="003B5145">
        <w:tab/>
        <w:t>Европейская комиссия выделяет транспортному сектору инвестиции на рекордную сумму в размере 13,1</w:t>
      </w:r>
      <w:r w:rsidR="00AA108E">
        <w:t> млрд. </w:t>
      </w:r>
      <w:r w:rsidRPr="003B5145">
        <w:t>евро в</w:t>
      </w:r>
      <w:r w:rsidR="00AA108E">
        <w:t> </w:t>
      </w:r>
      <w:r w:rsidRPr="003B5145">
        <w:t>целях стимулирования занятости и экономического роста</w:t>
      </w:r>
    </w:p>
    <w:p w:rsidR="00AA108E" w:rsidRPr="00AA108E" w:rsidRDefault="00AA108E" w:rsidP="00AA108E">
      <w:pPr>
        <w:pStyle w:val="SingleTxt"/>
        <w:spacing w:after="0" w:line="120" w:lineRule="exact"/>
        <w:rPr>
          <w:sz w:val="10"/>
        </w:rPr>
      </w:pPr>
    </w:p>
    <w:p w:rsidR="00AA108E" w:rsidRPr="00AA108E" w:rsidRDefault="00AA108E" w:rsidP="00AA108E">
      <w:pPr>
        <w:pStyle w:val="SingleTxt"/>
        <w:spacing w:after="0" w:line="120" w:lineRule="exact"/>
        <w:rPr>
          <w:sz w:val="10"/>
        </w:rPr>
      </w:pPr>
    </w:p>
    <w:p w:rsidR="003B5145" w:rsidRPr="003B5145" w:rsidRDefault="003B5145" w:rsidP="00FA0173">
      <w:pPr>
        <w:pStyle w:val="SingleTxt"/>
        <w:spacing w:line="240" w:lineRule="atLeast"/>
      </w:pPr>
      <w:r w:rsidRPr="003B5145">
        <w:t>10.</w:t>
      </w:r>
      <w:r w:rsidRPr="003B5145">
        <w:tab/>
        <w:t>В июне 2015 года Комиссия приняла дополнительные меры по реализации своей основной приоритетной задачи создания рабочих мест и стимулировани</w:t>
      </w:r>
      <w:r w:rsidR="00FA0173">
        <w:t>я</w:t>
      </w:r>
      <w:r w:rsidRPr="003B5145">
        <w:t xml:space="preserve"> роста в Европе и обнародовала план инвестиций на рекордную сумму в размере 13,1</w:t>
      </w:r>
      <w:r w:rsidR="00AA108E">
        <w:t> млрд. </w:t>
      </w:r>
      <w:r w:rsidRPr="003B5145">
        <w:t>евро на осуществление 276 проектов в области транспорта, которые были отобраны Фондом соединения Европы (ФСЕ). Эти инвестиции позволят разблокировать дополнительные средства для государственного и частного с</w:t>
      </w:r>
      <w:r w:rsidRPr="003B5145">
        <w:t>о</w:t>
      </w:r>
      <w:r w:rsidRPr="003B5145">
        <w:t>финансирования на общую сумму 28,8</w:t>
      </w:r>
      <w:r w:rsidR="00AA108E">
        <w:t> млрд. </w:t>
      </w:r>
      <w:r w:rsidRPr="003B5145">
        <w:t>евро. Наряду с будущим Европе</w:t>
      </w:r>
      <w:r w:rsidRPr="003B5145">
        <w:t>й</w:t>
      </w:r>
      <w:r w:rsidRPr="003B5145">
        <w:lastRenderedPageBreak/>
        <w:t>ским фондом для стратегических инвестиций (ЕФСИ) ФСЕ будет играть важную роль в преодолении проблемы нехватки инвестиций в Европе, решение которой является одной из основных приоритетных задач Комиссии. Ее решение скаже</w:t>
      </w:r>
      <w:r w:rsidRPr="003B5145">
        <w:t>т</w:t>
      </w:r>
      <w:r w:rsidRPr="003B5145">
        <w:t>ся не только на транспортном секторе, но и на всей европейской экономике в ц</w:t>
      </w:r>
      <w:r w:rsidRPr="003B5145">
        <w:t>е</w:t>
      </w:r>
      <w:r w:rsidRPr="003B5145">
        <w:t>лом за счет формирования более благоприятных условий для роста и создания рабочих мест.</w:t>
      </w:r>
    </w:p>
    <w:p w:rsidR="003B5145" w:rsidRPr="003B5145" w:rsidRDefault="003B5145" w:rsidP="003B5145">
      <w:pPr>
        <w:pStyle w:val="SingleTxt"/>
        <w:spacing w:line="240" w:lineRule="atLeast"/>
      </w:pPr>
      <w:r w:rsidRPr="003B5145">
        <w:t>11.</w:t>
      </w:r>
      <w:r w:rsidRPr="003B5145">
        <w:tab/>
        <w:t xml:space="preserve">Отобранные проекты в основном имеют отношение к базовой </w:t>
      </w:r>
      <w:r w:rsidR="00FA0173" w:rsidRPr="003B5145">
        <w:t>трансъевр</w:t>
      </w:r>
      <w:r w:rsidR="00FA0173" w:rsidRPr="003B5145">
        <w:t>о</w:t>
      </w:r>
      <w:r w:rsidR="00FA0173" w:rsidRPr="003B5145">
        <w:t>пейской</w:t>
      </w:r>
      <w:r w:rsidRPr="003B5145">
        <w:t xml:space="preserve"> транспортной сети. К числу основных получателей инвестиций относя</w:t>
      </w:r>
      <w:r w:rsidRPr="003B5145">
        <w:t>т</w:t>
      </w:r>
      <w:r w:rsidRPr="003B5145">
        <w:t>ся такие крупные проекты, как «Балтийские железные дороги», строительство базисного тоннеля Бреннер, водный путь Сена–Шельда, Каландский мост и п</w:t>
      </w:r>
      <w:r w:rsidRPr="003B5145">
        <w:t>о</w:t>
      </w:r>
      <w:r w:rsidRPr="003B5145">
        <w:t>стоянное соединение через пролив Фемарн. К числу инициатив меньших ма</w:t>
      </w:r>
      <w:r w:rsidRPr="003B5145">
        <w:t>с</w:t>
      </w:r>
      <w:r w:rsidRPr="003B5145">
        <w:t>штабов относятся трансграничные проекты между Гронингеном и Бременом, ж</w:t>
      </w:r>
      <w:r w:rsidRPr="003B5145">
        <w:t>е</w:t>
      </w:r>
      <w:r w:rsidRPr="003B5145">
        <w:t>лезнодорожная линия «Железный Рейн», планы по широкому использованию СПГ (сжиженного природного газа) или проекты по улучшению условий для с</w:t>
      </w:r>
      <w:r w:rsidRPr="003B5145">
        <w:t>у</w:t>
      </w:r>
      <w:r w:rsidRPr="003B5145">
        <w:t>доходства по реке Дунай.</w:t>
      </w:r>
    </w:p>
    <w:p w:rsidR="003B5145" w:rsidRPr="003B5145" w:rsidRDefault="003B5145" w:rsidP="003B5145">
      <w:pPr>
        <w:pStyle w:val="SingleTxt"/>
        <w:spacing w:line="240" w:lineRule="atLeast"/>
      </w:pPr>
      <w:r w:rsidRPr="003B5145">
        <w:t>12.</w:t>
      </w:r>
      <w:r w:rsidRPr="003B5145">
        <w:tab/>
        <w:t>Созданный в сентябре 2014 года ФСЕ обратился с призывом вносить пре</w:t>
      </w:r>
      <w:r w:rsidRPr="003B5145">
        <w:t>д</w:t>
      </w:r>
      <w:r w:rsidRPr="003B5145">
        <w:t>ложения, что вызвало беспрецедентный интерес. Комиссия уже получила 700 з</w:t>
      </w:r>
      <w:r w:rsidRPr="003B5145">
        <w:t>а</w:t>
      </w:r>
      <w:r w:rsidRPr="003B5145">
        <w:t>явок с просьбой о выделении финансирования на общую сумму 36</w:t>
      </w:r>
      <w:r w:rsidR="00AA108E">
        <w:t> млрд. </w:t>
      </w:r>
      <w:r w:rsidRPr="003B5145">
        <w:t>евро, что в три раза превышает имеющийся объем средств. Это позволило Комиссии отобрать проекты, имеющие наибольшую ценность для Европы, обеспечив их сбалансированное распределение между географическими регионами и видами транспорта. В частности, около 4,8</w:t>
      </w:r>
      <w:r w:rsidR="00AA108E">
        <w:t> млрд. </w:t>
      </w:r>
      <w:r w:rsidRPr="003B5145">
        <w:t>евро выделено государствам-членам, имеющим право на получение средств из фондов конвергенции. В ходе процесса отбора также проводилась оценка вклада в другие приоритетные направления деятельности Комиссии, в частности по линии Энергетического союза или ед</w:t>
      </w:r>
      <w:r w:rsidRPr="003B5145">
        <w:t>и</w:t>
      </w:r>
      <w:r w:rsidRPr="003B5145">
        <w:t>ного цифрового рынка.</w:t>
      </w:r>
    </w:p>
    <w:p w:rsidR="003B5145" w:rsidRPr="003B5145" w:rsidRDefault="003B5145" w:rsidP="003B5145">
      <w:pPr>
        <w:pStyle w:val="SingleTxt"/>
        <w:spacing w:line="240" w:lineRule="atLeast"/>
      </w:pPr>
      <w:r w:rsidRPr="003B5145">
        <w:t>13.</w:t>
      </w:r>
      <w:r w:rsidRPr="003B5145">
        <w:tab/>
        <w:t>Финансовый вклад ЕС осуществляется в форме грантов, показатель соф</w:t>
      </w:r>
      <w:r w:rsidRPr="003B5145">
        <w:t>и</w:t>
      </w:r>
      <w:r w:rsidRPr="003B5145">
        <w:t>нансирования которых находится в пределах 20–85% в зависимости от вида ко</w:t>
      </w:r>
      <w:r w:rsidRPr="003B5145">
        <w:t>н</w:t>
      </w:r>
      <w:r w:rsidRPr="003B5145">
        <w:t>кретного проекта.</w:t>
      </w:r>
    </w:p>
    <w:p w:rsidR="00AA108E" w:rsidRPr="00AA108E" w:rsidRDefault="00AA108E" w:rsidP="00AA108E">
      <w:pPr>
        <w:pStyle w:val="SingleTxt"/>
        <w:spacing w:after="0" w:line="120" w:lineRule="exact"/>
        <w:rPr>
          <w:b/>
          <w:sz w:val="10"/>
        </w:rPr>
      </w:pPr>
    </w:p>
    <w:p w:rsidR="00AA108E" w:rsidRPr="00AA108E" w:rsidRDefault="00AA108E" w:rsidP="00AA108E">
      <w:pPr>
        <w:pStyle w:val="SingleTxt"/>
        <w:spacing w:after="0" w:line="120" w:lineRule="exact"/>
        <w:rPr>
          <w:b/>
          <w:sz w:val="10"/>
        </w:rPr>
      </w:pPr>
    </w:p>
    <w:p w:rsidR="003B5145" w:rsidRPr="003B5145" w:rsidRDefault="003B5145" w:rsidP="00AA108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5145">
        <w:tab/>
      </w:r>
      <w:r w:rsidRPr="003B5145">
        <w:rPr>
          <w:lang w:val="en-US"/>
        </w:rPr>
        <w:t>III</w:t>
      </w:r>
      <w:r w:rsidRPr="003B5145">
        <w:t>.</w:t>
      </w:r>
      <w:r w:rsidRPr="003B5145">
        <w:tab/>
        <w:t>Автомобильный транспорт и безопасность дорожного движения</w:t>
      </w:r>
    </w:p>
    <w:p w:rsidR="00AA108E" w:rsidRPr="00AA108E" w:rsidRDefault="00AA108E" w:rsidP="00AA108E">
      <w:pPr>
        <w:pStyle w:val="SingleTxt"/>
        <w:spacing w:after="0" w:line="120" w:lineRule="exact"/>
        <w:rPr>
          <w:b/>
          <w:sz w:val="10"/>
        </w:rPr>
      </w:pPr>
    </w:p>
    <w:p w:rsidR="00AA108E" w:rsidRPr="00AA108E" w:rsidRDefault="00AA108E" w:rsidP="00AA108E">
      <w:pPr>
        <w:pStyle w:val="SingleTxt"/>
        <w:spacing w:after="0" w:line="120" w:lineRule="exact"/>
        <w:rPr>
          <w:b/>
          <w:sz w:val="10"/>
        </w:rPr>
      </w:pPr>
    </w:p>
    <w:p w:rsidR="003B5145" w:rsidRPr="003B5145" w:rsidRDefault="003B5145" w:rsidP="00AA108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5145">
        <w:tab/>
        <w:t>А.</w:t>
      </w:r>
      <w:r w:rsidRPr="003B5145">
        <w:tab/>
        <w:t>Насколько безопасны ваши дороги? Статистические данные Комиссии о безопасности дорожного движения указывают на</w:t>
      </w:r>
      <w:r w:rsidR="00AA108E">
        <w:t> </w:t>
      </w:r>
      <w:r w:rsidRPr="003B5145">
        <w:t>некоторое улучшение в 2014 году</w:t>
      </w:r>
    </w:p>
    <w:p w:rsidR="00AA108E" w:rsidRPr="00AA108E" w:rsidRDefault="00AA108E" w:rsidP="00AA108E">
      <w:pPr>
        <w:pStyle w:val="SingleTxt"/>
        <w:spacing w:after="0" w:line="120" w:lineRule="exact"/>
        <w:rPr>
          <w:sz w:val="10"/>
        </w:rPr>
      </w:pPr>
    </w:p>
    <w:p w:rsidR="00AA108E" w:rsidRPr="00AA108E" w:rsidRDefault="00AA108E" w:rsidP="00AA108E">
      <w:pPr>
        <w:pStyle w:val="SingleTxt"/>
        <w:spacing w:after="0" w:line="120" w:lineRule="exact"/>
        <w:rPr>
          <w:sz w:val="10"/>
        </w:rPr>
      </w:pPr>
    </w:p>
    <w:p w:rsidR="003B5145" w:rsidRPr="003B5145" w:rsidRDefault="003B5145" w:rsidP="003B5145">
      <w:pPr>
        <w:pStyle w:val="SingleTxt"/>
        <w:spacing w:line="240" w:lineRule="atLeast"/>
      </w:pPr>
      <w:r w:rsidRPr="003B5145">
        <w:t>14.</w:t>
      </w:r>
      <w:r w:rsidRPr="003B5145">
        <w:tab/>
        <w:t>После двух лет резкого снижения количества погибших на дорогах ЕС л</w:t>
      </w:r>
      <w:r w:rsidRPr="003B5145">
        <w:t>ю</w:t>
      </w:r>
      <w:r w:rsidRPr="003B5145">
        <w:t>дей первые сообщения о смертности в автодорожных авариях в 2014 году вызв</w:t>
      </w:r>
      <w:r w:rsidRPr="003B5145">
        <w:t>а</w:t>
      </w:r>
      <w:r w:rsidRPr="003B5145">
        <w:t>ли разочарование. Согласно вышедшим в ноябре 2015 года обновленным стат</w:t>
      </w:r>
      <w:r w:rsidRPr="003B5145">
        <w:t>и</w:t>
      </w:r>
      <w:r w:rsidRPr="003B5145">
        <w:t>стическим данным количество погибших на дорогах в период 2013–2014 годов оставалось без изменений после его снижения на 8% в 2012 и 2013 годах. С</w:t>
      </w:r>
      <w:r w:rsidRPr="003B5145">
        <w:t>о</w:t>
      </w:r>
      <w:r w:rsidRPr="003B5145">
        <w:t>гласно этим данным общее количество погибших на дорогах в 2014 году во всех 28 государствах – членах ЕС составило 25 900 человек. Хотя это несколько ниже аналогичных данных за 2010 год, целевой показатель снижения смертности не был достигнут.</w:t>
      </w:r>
    </w:p>
    <w:p w:rsidR="003B5145" w:rsidRPr="003B5145" w:rsidRDefault="003B5145" w:rsidP="00E15CF3">
      <w:pPr>
        <w:pStyle w:val="SingleTxt"/>
        <w:spacing w:line="240" w:lineRule="atLeast"/>
      </w:pPr>
      <w:r w:rsidRPr="003B5145">
        <w:rPr>
          <w:noProof/>
          <w:lang w:val="en-US" w:eastAsia="en-US"/>
        </w:rPr>
        <mc:AlternateContent>
          <mc:Choice Requires="wps">
            <w:drawing>
              <wp:anchor distT="0" distB="0" distL="114300" distR="114300" simplePos="0" relativeHeight="251664384" behindDoc="0" locked="0" layoutInCell="1" allowOverlap="1" wp14:anchorId="5A760047" wp14:editId="7BF58B1E">
                <wp:simplePos x="0" y="0"/>
                <wp:positionH relativeFrom="column">
                  <wp:posOffset>4709028</wp:posOffset>
                </wp:positionH>
                <wp:positionV relativeFrom="paragraph">
                  <wp:posOffset>2107784</wp:posOffset>
                </wp:positionV>
                <wp:extent cx="1954530" cy="1109345"/>
                <wp:effectExtent l="0" t="0" r="0" b="0"/>
                <wp:wrapNone/>
                <wp:docPr id="22" name="Поле 22"/>
                <wp:cNvGraphicFramePr/>
                <a:graphic xmlns:a="http://schemas.openxmlformats.org/drawingml/2006/main">
                  <a:graphicData uri="http://schemas.microsoft.com/office/word/2010/wordprocessingShape">
                    <wps:wsp>
                      <wps:cNvSpPr txBox="1"/>
                      <wps:spPr>
                        <a:xfrm>
                          <a:off x="0" y="0"/>
                          <a:ext cx="1954530" cy="1109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6825" w:rsidRDefault="00DB6825" w:rsidP="003B5145">
                            <w:r>
                              <w:t>План ЕЭК ООН по осущест</w:t>
                            </w:r>
                            <w:r>
                              <w:t>в</w:t>
                            </w:r>
                            <w:r>
                              <w:t xml:space="preserve">лению </w:t>
                            </w:r>
                            <w:r w:rsidRPr="00182289">
                              <w:t>Десятилетия действий ООН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2" o:spid="_x0000_s1029" type="#_x0000_t202" style="position:absolute;left:0;text-align:left;margin-left:370.8pt;margin-top:165.95pt;width:153.9pt;height:87.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" filled="f" stroked="f" strokeweight=".5pt">
                <v:textbox>
                  <w:txbxContent>
                    <w:p w:rsidR="00DB6825" w:rsidRDefault="00DB6825" w:rsidP="003B5145">
                      <w:r>
                        <w:t>План ЕЭК ООН по осущест</w:t>
                      </w:r>
                      <w:r>
                        <w:t>в</w:t>
                      </w:r>
                      <w:r>
                        <w:t xml:space="preserve">лению </w:t>
                      </w:r>
                      <w:r w:rsidRPr="00182289">
                        <w:t>Десятилетия действий ООН</w:t>
                      </w:r>
                    </w:p>
                  </w:txbxContent>
                </v:textbox>
              </v:shape>
            </w:pict>
          </mc:Fallback>
        </mc:AlternateContent>
      </w:r>
      <w:r w:rsidRPr="003B5145">
        <w:t>15.</w:t>
      </w:r>
      <w:r w:rsidRPr="003B5145">
        <w:tab/>
        <w:t>Согласно статистическим данным стран за 2014 год между отдельными р</w:t>
      </w:r>
      <w:r w:rsidRPr="003B5145">
        <w:t>е</w:t>
      </w:r>
      <w:r w:rsidRPr="003B5145">
        <w:t xml:space="preserve">гионами ЕС до сих пор существуют большие различия в значениях показателя гибели людей на дорогах. Средний показатель гибели людей на дорогах в ЕС за 2014 год составил 51 случай смерти на миллион жителей. Мальта, Нидерланды, Соединенное Королевство и Швеция по-прежнему сообщают о наиболее низких </w:t>
      </w:r>
      <w:r w:rsidRPr="003B5145">
        <w:lastRenderedPageBreak/>
        <w:t>значениях показателя дорожных происшествий со сме</w:t>
      </w:r>
      <w:r w:rsidRPr="003B5145">
        <w:t>р</w:t>
      </w:r>
      <w:r w:rsidRPr="003B5145">
        <w:t>тельным исходом, кот</w:t>
      </w:r>
      <w:r w:rsidRPr="003B5145">
        <w:t>о</w:t>
      </w:r>
      <w:r w:rsidRPr="003B5145">
        <w:t>рые составляют менее 30</w:t>
      </w:r>
      <w:r w:rsidR="004E3FA6">
        <w:t> </w:t>
      </w:r>
      <w:r w:rsidRPr="003B5145">
        <w:t>случаев смерти на миллион жителей. В четырех странах, а</w:t>
      </w:r>
      <w:r w:rsidR="00E15CF3">
        <w:t> </w:t>
      </w:r>
      <w:r w:rsidRPr="003B5145">
        <w:t>именно в Болгарии, Латвии, Литве и Румынии, пок</w:t>
      </w:r>
      <w:r w:rsidRPr="003B5145">
        <w:t>а</w:t>
      </w:r>
      <w:r w:rsidRPr="003B5145">
        <w:t>затель смертности пр</w:t>
      </w:r>
      <w:r w:rsidRPr="003B5145">
        <w:t>е</w:t>
      </w:r>
      <w:r w:rsidRPr="003B5145">
        <w:t>вышает 90 погибших на миллион жителей.</w:t>
      </w:r>
    </w:p>
    <w:p w:rsidR="003B5145" w:rsidRPr="003B5145" w:rsidRDefault="004E3FA6" w:rsidP="003B5145">
      <w:pPr>
        <w:pStyle w:val="SingleTxt"/>
        <w:spacing w:line="240" w:lineRule="atLeast"/>
      </w:pPr>
      <w:r w:rsidRPr="004E3FA6">
        <w:rPr>
          <w:noProof/>
          <w:lang w:val="en-US" w:eastAsia="en-US"/>
        </w:rPr>
        <mc:AlternateContent>
          <mc:Choice Requires="wps">
            <w:drawing>
              <wp:anchor distT="0" distB="0" distL="114300" distR="114300" simplePos="0" relativeHeight="251687936" behindDoc="0" locked="0" layoutInCell="1" allowOverlap="1" wp14:anchorId="43BEF868" wp14:editId="104C757E">
                <wp:simplePos x="0" y="0"/>
                <wp:positionH relativeFrom="column">
                  <wp:posOffset>4319163</wp:posOffset>
                </wp:positionH>
                <wp:positionV relativeFrom="paragraph">
                  <wp:posOffset>-909700</wp:posOffset>
                </wp:positionV>
                <wp:extent cx="1941830" cy="1128395"/>
                <wp:effectExtent l="0" t="0" r="0" b="0"/>
                <wp:wrapNone/>
                <wp:docPr id="9" name="Поле 14"/>
                <wp:cNvGraphicFramePr/>
                <a:graphic xmlns:a="http://schemas.openxmlformats.org/drawingml/2006/main">
                  <a:graphicData uri="http://schemas.microsoft.com/office/word/2010/wordprocessingShape">
                    <wps:wsp>
                      <wps:cNvSpPr txBox="1"/>
                      <wps:spPr>
                        <a:xfrm>
                          <a:off x="0" y="0"/>
                          <a:ext cx="1941830" cy="1128395"/>
                        </a:xfrm>
                        <a:prstGeom prst="rect">
                          <a:avLst/>
                        </a:prstGeom>
                        <a:noFill/>
                        <a:ln w="6350">
                          <a:noFill/>
                        </a:ln>
                        <a:effectLst/>
                      </wps:spPr>
                      <wps:txbx>
                        <w:txbxContent>
                          <w:p w:rsidR="00DB6825" w:rsidRPr="00AA108E" w:rsidRDefault="00DB6825" w:rsidP="004E3FA6">
                            <w:pPr>
                              <w:jc w:val="center"/>
                              <w:rPr>
                                <w:color w:val="244061" w:themeColor="accent1" w:themeShade="80"/>
                                <w:lang w:val="en-US"/>
                              </w:rPr>
                            </w:pPr>
                          </w:p>
                          <w:p w:rsidR="00DB6825" w:rsidRPr="00AA108E" w:rsidRDefault="00DB6825" w:rsidP="004E3FA6">
                            <w:pPr>
                              <w:jc w:val="center"/>
                              <w:rPr>
                                <w:b/>
                                <w:bCs/>
                                <w:color w:val="244061" w:themeColor="accent1" w:themeShade="80"/>
                                <w:sz w:val="22"/>
                              </w:rPr>
                            </w:pPr>
                            <w:r>
                              <w:rPr>
                                <w:b/>
                                <w:bCs/>
                                <w:color w:val="244061" w:themeColor="accent1" w:themeShade="80"/>
                                <w:sz w:val="22"/>
                              </w:rPr>
                              <w:t xml:space="preserve">План ЕЭК ООН </w:t>
                            </w:r>
                            <w:r>
                              <w:rPr>
                                <w:b/>
                                <w:bCs/>
                                <w:color w:val="244061" w:themeColor="accent1" w:themeShade="80"/>
                                <w:sz w:val="22"/>
                              </w:rPr>
                              <w:br/>
                              <w:t xml:space="preserve">по осуществлению </w:t>
                            </w:r>
                            <w:r>
                              <w:rPr>
                                <w:b/>
                                <w:bCs/>
                                <w:color w:val="244061" w:themeColor="accent1" w:themeShade="80"/>
                                <w:sz w:val="22"/>
                              </w:rPr>
                              <w:br/>
                              <w:t>Десятилетия действий ООН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30" type="#_x0000_t202" style="position:absolute;left:0;text-align:left;margin-left:340.1pt;margin-top:-71.65pt;width:152.9pt;height:88.8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" filled="f" stroked="f" strokeweight=".5pt">
                <v:textbox>
                  <w:txbxContent>
                    <w:p w:rsidR="00DB6825" w:rsidRPr="00AA108E" w:rsidRDefault="00DB6825" w:rsidP="004E3FA6">
                      <w:pPr>
                        <w:jc w:val="center"/>
                        <w:rPr>
                          <w:color w:val="244061" w:themeColor="accent1" w:themeShade="80"/>
                          <w:lang w:val="en-US"/>
                        </w:rPr>
                      </w:pPr>
                    </w:p>
                    <w:p w:rsidR="00DB6825" w:rsidRPr="00AA108E" w:rsidRDefault="00DB6825" w:rsidP="004E3FA6">
                      <w:pPr>
                        <w:jc w:val="center"/>
                        <w:rPr>
                          <w:b/>
                          <w:bCs/>
                          <w:color w:val="244061" w:themeColor="accent1" w:themeShade="80"/>
                          <w:sz w:val="22"/>
                        </w:rPr>
                      </w:pPr>
                      <w:r>
                        <w:rPr>
                          <w:b/>
                          <w:bCs/>
                          <w:color w:val="244061" w:themeColor="accent1" w:themeShade="80"/>
                          <w:sz w:val="22"/>
                        </w:rPr>
                        <w:t xml:space="preserve">План ЕЭК ООН </w:t>
                      </w:r>
                      <w:r>
                        <w:rPr>
                          <w:b/>
                          <w:bCs/>
                          <w:color w:val="244061" w:themeColor="accent1" w:themeShade="80"/>
                          <w:sz w:val="22"/>
                        </w:rPr>
                        <w:br/>
                        <w:t xml:space="preserve">по осуществлению </w:t>
                      </w:r>
                      <w:r>
                        <w:rPr>
                          <w:b/>
                          <w:bCs/>
                          <w:color w:val="244061" w:themeColor="accent1" w:themeShade="80"/>
                          <w:sz w:val="22"/>
                        </w:rPr>
                        <w:br/>
                        <w:t>Десятилетия действий ООН</w:t>
                      </w:r>
                    </w:p>
                  </w:txbxContent>
                </v:textbox>
              </v:shape>
            </w:pict>
          </mc:Fallback>
        </mc:AlternateContent>
      </w:r>
      <w:r w:rsidRPr="003B5145">
        <w:rPr>
          <w:noProof/>
          <w:lang w:val="en-US" w:eastAsia="en-US"/>
        </w:rPr>
        <w:drawing>
          <wp:anchor distT="0" distB="0" distL="114300" distR="114300" simplePos="0" relativeHeight="251662336" behindDoc="0" locked="0" layoutInCell="1" allowOverlap="1" wp14:anchorId="68E92019" wp14:editId="5281419D">
            <wp:simplePos x="0" y="0"/>
            <wp:positionH relativeFrom="column">
              <wp:posOffset>4203700</wp:posOffset>
            </wp:positionH>
            <wp:positionV relativeFrom="paragraph">
              <wp:posOffset>-660400</wp:posOffset>
            </wp:positionV>
            <wp:extent cx="2174875" cy="1278255"/>
            <wp:effectExtent l="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174875" cy="1278255"/>
                    </a:xfrm>
                    <a:prstGeom prst="rect">
                      <a:avLst/>
                    </a:prstGeom>
                    <a:noFill/>
                    <a:ln>
                      <a:noFill/>
                    </a:ln>
                  </pic:spPr>
                </pic:pic>
              </a:graphicData>
            </a:graphic>
            <wp14:sizeRelH relativeFrom="page">
              <wp14:pctWidth>0</wp14:pctWidth>
            </wp14:sizeRelH>
            <wp14:sizeRelV relativeFrom="page">
              <wp14:pctHeight>0</wp14:pctHeight>
            </wp14:sizeRelV>
          </wp:anchor>
        </w:drawing>
      </w:r>
      <w:r w:rsidR="003B5145" w:rsidRPr="003B5145">
        <w:t>16.</w:t>
      </w:r>
      <w:r w:rsidR="003B5145" w:rsidRPr="003B5145">
        <w:tab/>
        <w:t>С 2010 года общее количество погибших на дор</w:t>
      </w:r>
      <w:r w:rsidR="003B5145" w:rsidRPr="003B5145">
        <w:t>о</w:t>
      </w:r>
      <w:r w:rsidR="003B5145" w:rsidRPr="003B5145">
        <w:t>гах ЕС снизилось на 18%. Некоторые страны сообщают о достижении ими за эти годы более высоких по сра</w:t>
      </w:r>
      <w:r w:rsidR="003B5145" w:rsidRPr="003B5145">
        <w:t>в</w:t>
      </w:r>
      <w:r w:rsidR="003B5145" w:rsidRPr="003B5145">
        <w:t>нению со среднестатистическими показателях улучшения безопасности доро</w:t>
      </w:r>
      <w:r w:rsidR="003B5145" w:rsidRPr="003B5145">
        <w:t>ж</w:t>
      </w:r>
      <w:r w:rsidR="003B5145" w:rsidRPr="003B5145">
        <w:t>ного движения. Это в первую очередь касается Греции, Испании, Португалии. Дания, Италия, Кипр, Румыния, Словения, Хорватия и Чешская Республика та</w:t>
      </w:r>
      <w:r w:rsidR="003B5145" w:rsidRPr="003B5145">
        <w:t>к</w:t>
      </w:r>
      <w:r w:rsidR="003B5145" w:rsidRPr="003B5145">
        <w:t>же сообщают о снижении количества случаев смерти на дорогах по сравнению со средним значением показателя ЕС за 2010–2014 годы.</w:t>
      </w:r>
    </w:p>
    <w:p w:rsidR="004E3FA6" w:rsidRPr="004E3FA6" w:rsidRDefault="004E3FA6" w:rsidP="004E3FA6">
      <w:pPr>
        <w:pStyle w:val="SingleTxt"/>
        <w:spacing w:after="0" w:line="120" w:lineRule="exact"/>
        <w:rPr>
          <w:i/>
          <w:sz w:val="10"/>
        </w:rPr>
      </w:pPr>
    </w:p>
    <w:p w:rsidR="003B5145" w:rsidRPr="003B5145" w:rsidRDefault="003B5145" w:rsidP="003B5145">
      <w:pPr>
        <w:pStyle w:val="SingleTxt"/>
        <w:spacing w:line="240" w:lineRule="atLeast"/>
        <w:rPr>
          <w:i/>
        </w:rPr>
      </w:pPr>
      <w:r w:rsidRPr="003B5145">
        <w:rPr>
          <w:i/>
        </w:rPr>
        <w:t>Целевые показатели и меры в области безопасности дорожного движения</w:t>
      </w:r>
    </w:p>
    <w:p w:rsidR="003B5145" w:rsidRPr="003B5145" w:rsidRDefault="003B5145" w:rsidP="003B5145">
      <w:pPr>
        <w:pStyle w:val="SingleTxt"/>
        <w:spacing w:line="240" w:lineRule="atLeast"/>
      </w:pPr>
      <w:r w:rsidRPr="003B5145">
        <w:t>17.</w:t>
      </w:r>
      <w:r w:rsidRPr="003B5145">
        <w:tab/>
        <w:t>Для достижения стратегического целевого показателя ЕС по уменьшению в два раза количества погибших на дорогах с период с 2010 по 2020 годы в наст</w:t>
      </w:r>
      <w:r w:rsidRPr="003B5145">
        <w:t>о</w:t>
      </w:r>
      <w:r w:rsidRPr="003B5145">
        <w:t>ящее время необходимо приложить дополнительные усилия. Большинство повс</w:t>
      </w:r>
      <w:r w:rsidRPr="003B5145">
        <w:t>е</w:t>
      </w:r>
      <w:r w:rsidRPr="003B5145">
        <w:t>дневных мер по обеспечению безопасности дорожного движения принимаются на местном или национальном уровнях, например в рамках обеспечения собл</w:t>
      </w:r>
      <w:r w:rsidRPr="003B5145">
        <w:t>ю</w:t>
      </w:r>
      <w:r w:rsidRPr="003B5145">
        <w:t>дения правил дорожного движения, а также развития и технического обслужив</w:t>
      </w:r>
      <w:r w:rsidRPr="003B5145">
        <w:t>а</w:t>
      </w:r>
      <w:r w:rsidRPr="003B5145">
        <w:t>ния инфраструктуры. Вклад ЕС состоит в принятии законодательства и рекоме</w:t>
      </w:r>
      <w:r w:rsidRPr="003B5145">
        <w:t>н</w:t>
      </w:r>
      <w:r w:rsidRPr="003B5145">
        <w:t>даций по вопросам, представляющим общий интерес, например в отношении минимальных требований к техническому осмотру транспортных средств и с</w:t>
      </w:r>
      <w:r w:rsidRPr="003B5145">
        <w:t>о</w:t>
      </w:r>
      <w:r w:rsidRPr="003B5145">
        <w:t>гласовании технических стандартов.</w:t>
      </w:r>
    </w:p>
    <w:p w:rsidR="003B5145" w:rsidRPr="003B5145" w:rsidRDefault="003B5145" w:rsidP="003B5145">
      <w:pPr>
        <w:pStyle w:val="SingleTxt"/>
        <w:spacing w:line="240" w:lineRule="atLeast"/>
      </w:pPr>
      <w:r w:rsidRPr="003B5145">
        <w:t>18.</w:t>
      </w:r>
      <w:r w:rsidRPr="003B5145">
        <w:tab/>
        <w:t>В мае 2015 года Комиссия завершила работу над промежуточной оценкой основ политики ЕС в области безопасности дорожного движения. По итогам оценки был сделан вывод о том, что эти основы по-прежнему имеют актуальное значение и что стратегический целевой показатель по сокращению смертельных случаев способствовал прогрессу, но для сохранения тенденции к снижению к</w:t>
      </w:r>
      <w:r w:rsidRPr="003B5145">
        <w:t>о</w:t>
      </w:r>
      <w:r w:rsidRPr="003B5145">
        <w:t>личества смертельных случаев потребуются дополнительные усилия, особенно на уровне государств-членов.</w:t>
      </w:r>
    </w:p>
    <w:p w:rsidR="003B5145" w:rsidRPr="003B5145" w:rsidRDefault="003B5145" w:rsidP="003B5145">
      <w:pPr>
        <w:pStyle w:val="SingleTxt"/>
        <w:spacing w:line="240" w:lineRule="atLeast"/>
      </w:pPr>
      <w:r w:rsidRPr="003B5145">
        <w:t>19.</w:t>
      </w:r>
      <w:r w:rsidRPr="003B5145">
        <w:tab/>
        <w:t>Для обсуждения возможных путей достижения прогресса в области бе</w:t>
      </w:r>
      <w:r w:rsidRPr="003B5145">
        <w:t>з</w:t>
      </w:r>
      <w:r w:rsidRPr="003B5145">
        <w:t>опасности дорожного движения весной и летом Комиссия организовала пять с</w:t>
      </w:r>
      <w:r w:rsidRPr="003B5145">
        <w:t>о</w:t>
      </w:r>
      <w:r w:rsidRPr="003B5145">
        <w:t>вещаний экспертов за круглым столом совместно с Болгарией, Латвией, Литвой, Польшей и Румынией для обсуждения возможностей достижения прогресса в области безопасности дорожного движения в этих странах, которые страдают от высоких показателей смертности на дорогах. Основными темами обсуждения я</w:t>
      </w:r>
      <w:r w:rsidRPr="003B5145">
        <w:t>в</w:t>
      </w:r>
      <w:r w:rsidRPr="003B5145">
        <w:t>лялись использование ремней безопасности, ограничение скорости, недопущение вождения в состоянии алкогольного опьянения и меры по обеспечению безопа</w:t>
      </w:r>
      <w:r w:rsidRPr="003B5145">
        <w:t>с</w:t>
      </w:r>
      <w:r w:rsidRPr="003B5145">
        <w:t>ности инфраструктуры.</w:t>
      </w:r>
    </w:p>
    <w:p w:rsidR="003B5145" w:rsidRPr="003B5145" w:rsidRDefault="003B5145" w:rsidP="003B5145">
      <w:pPr>
        <w:pStyle w:val="SingleTxt"/>
        <w:spacing w:line="240" w:lineRule="atLeast"/>
      </w:pPr>
      <w:r w:rsidRPr="003B5145">
        <w:t>20.</w:t>
      </w:r>
      <w:r w:rsidRPr="003B5145">
        <w:tab/>
        <w:t>Последующие действия Комиссии:</w:t>
      </w:r>
    </w:p>
    <w:p w:rsidR="003B5145" w:rsidRPr="003B5145" w:rsidRDefault="004E3FA6" w:rsidP="004E3FA6">
      <w:pPr>
        <w:pStyle w:val="SingleTxt"/>
        <w:tabs>
          <w:tab w:val="clear" w:pos="1267"/>
          <w:tab w:val="clear" w:pos="1742"/>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pos="1685"/>
          <w:tab w:val="right" w:pos="2074"/>
        </w:tabs>
        <w:spacing w:line="240" w:lineRule="atLeast"/>
        <w:ind w:left="1742" w:right="1260" w:hanging="475"/>
      </w:pPr>
      <w:r>
        <w:tab/>
        <w:t>•</w:t>
      </w:r>
      <w:r>
        <w:tab/>
      </w:r>
      <w:r w:rsidR="003B5145" w:rsidRPr="003B5145">
        <w:t>продолжение работы, связанной с проведением дополнительного анализа серьезного травматизма при ДТП: государства-члены находятся в процессе сбора данных о серьезных случаях травматизма при ДТП с использованием принятого ЕС нового единого определения дорожно-транспортного травм</w:t>
      </w:r>
      <w:r w:rsidR="003B5145" w:rsidRPr="003B5145">
        <w:t>а</w:t>
      </w:r>
      <w:r w:rsidR="003B5145" w:rsidRPr="003B5145">
        <w:t>тизма. В октябре 2015 года начаты исследования факторов, приводящих к такому травматизму;</w:t>
      </w:r>
    </w:p>
    <w:p w:rsidR="003B5145" w:rsidRPr="003B5145" w:rsidRDefault="004E3FA6" w:rsidP="004E3FA6">
      <w:pPr>
        <w:pStyle w:val="SingleTxt"/>
        <w:tabs>
          <w:tab w:val="clear" w:pos="1267"/>
          <w:tab w:val="clear" w:pos="1742"/>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pos="1685"/>
          <w:tab w:val="right" w:pos="2074"/>
        </w:tabs>
        <w:spacing w:line="240" w:lineRule="atLeast"/>
        <w:ind w:left="1742" w:right="1260" w:hanging="475"/>
      </w:pPr>
      <w:r>
        <w:tab/>
        <w:t>•</w:t>
      </w:r>
      <w:r>
        <w:tab/>
      </w:r>
      <w:r w:rsidR="003B5145" w:rsidRPr="003B5145">
        <w:t>проводится обзор правил, касающихся подготовки профессиональных вод</w:t>
      </w:r>
      <w:r w:rsidR="003B5145" w:rsidRPr="003B5145">
        <w:t>и</w:t>
      </w:r>
      <w:r w:rsidR="003B5145" w:rsidRPr="003B5145">
        <w:t>телей и предъявляемых им квалификационных требований;</w:t>
      </w:r>
    </w:p>
    <w:p w:rsidR="003B5145" w:rsidRPr="003B5145" w:rsidRDefault="004E3FA6" w:rsidP="004E3FA6">
      <w:pPr>
        <w:pStyle w:val="SingleTxt"/>
        <w:tabs>
          <w:tab w:val="clear" w:pos="1267"/>
          <w:tab w:val="clear" w:pos="1742"/>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pos="1685"/>
          <w:tab w:val="right" w:pos="2074"/>
        </w:tabs>
        <w:spacing w:line="240" w:lineRule="atLeast"/>
        <w:ind w:left="1742" w:right="1260" w:hanging="475"/>
      </w:pPr>
      <w:r>
        <w:lastRenderedPageBreak/>
        <w:tab/>
        <w:t>•</w:t>
      </w:r>
      <w:r>
        <w:tab/>
      </w:r>
      <w:r w:rsidR="003B5145" w:rsidRPr="003B5145">
        <w:t>проводится обзор основ ЕС по управлению безопасностью инфраструктуры;</w:t>
      </w:r>
    </w:p>
    <w:p w:rsidR="003B5145" w:rsidRPr="003B5145" w:rsidRDefault="004E3FA6" w:rsidP="004E3FA6">
      <w:pPr>
        <w:pStyle w:val="SingleTxt"/>
        <w:tabs>
          <w:tab w:val="clear" w:pos="1267"/>
          <w:tab w:val="clear" w:pos="1742"/>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pos="1685"/>
          <w:tab w:val="right" w:pos="2074"/>
        </w:tabs>
        <w:spacing w:line="240" w:lineRule="atLeast"/>
        <w:ind w:left="1742" w:right="1260" w:hanging="475"/>
      </w:pPr>
      <w:r>
        <w:tab/>
        <w:t>•</w:t>
      </w:r>
      <w:r>
        <w:tab/>
      </w:r>
      <w:r w:rsidR="003B5145" w:rsidRPr="003B5145">
        <w:t>последующая деятельность по реализации пакета директив, касающихся пригодности транспортных средств к экс</w:t>
      </w:r>
      <w:r w:rsidR="00FA0173">
        <w:t>плуатации на дорогах (директ</w:t>
      </w:r>
      <w:r w:rsidR="00FA0173">
        <w:t>и</w:t>
      </w:r>
      <w:r w:rsidR="00FA0173">
        <w:t>вы </w:t>
      </w:r>
      <w:r w:rsidR="003B5145" w:rsidRPr="003B5145">
        <w:t>2014/45/</w:t>
      </w:r>
      <w:r w:rsidR="003B5145" w:rsidRPr="003B5145">
        <w:rPr>
          <w:lang w:val="en-US"/>
        </w:rPr>
        <w:t>EU</w:t>
      </w:r>
      <w:r w:rsidR="003B5145" w:rsidRPr="003B5145">
        <w:t>, 2014/46/</w:t>
      </w:r>
      <w:r w:rsidR="003B5145" w:rsidRPr="003B5145">
        <w:rPr>
          <w:lang w:val="en-US"/>
        </w:rPr>
        <w:t>EU</w:t>
      </w:r>
      <w:r w:rsidR="003B5145" w:rsidRPr="003B5145">
        <w:t xml:space="preserve"> и 2014/47/</w:t>
      </w:r>
      <w:r w:rsidR="003B5145" w:rsidRPr="003B5145">
        <w:rPr>
          <w:lang w:val="en-US"/>
        </w:rPr>
        <w:t>EU</w:t>
      </w:r>
      <w:r w:rsidR="003B5145" w:rsidRPr="003B5145">
        <w:t>).</w:t>
      </w:r>
    </w:p>
    <w:p w:rsidR="004E3FA6" w:rsidRPr="004E3FA6" w:rsidRDefault="004E3FA6" w:rsidP="004E3FA6">
      <w:pPr>
        <w:pStyle w:val="SingleTxt"/>
        <w:spacing w:after="0" w:line="120" w:lineRule="exact"/>
        <w:rPr>
          <w:b/>
          <w:sz w:val="10"/>
        </w:rPr>
      </w:pPr>
    </w:p>
    <w:p w:rsidR="004E3FA6" w:rsidRPr="004E3FA6" w:rsidRDefault="004E3FA6" w:rsidP="004E3FA6">
      <w:pPr>
        <w:pStyle w:val="SingleTxt"/>
        <w:spacing w:after="0" w:line="120" w:lineRule="exact"/>
        <w:rPr>
          <w:b/>
          <w:sz w:val="10"/>
        </w:rPr>
      </w:pPr>
    </w:p>
    <w:p w:rsidR="003B5145" w:rsidRPr="003B5145" w:rsidRDefault="003B5145" w:rsidP="004E3F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5145">
        <w:tab/>
        <w:t>B.</w:t>
      </w:r>
      <w:r w:rsidRPr="003B5145">
        <w:tab/>
        <w:t xml:space="preserve">Безопасность дорожного движения: новый свод правил Европейского союза, касающийся применения антиалкогольных блокирующих устройств как условия </w:t>
      </w:r>
      <w:r w:rsidR="004E3FA6">
        <w:br/>
      </w:r>
      <w:r w:rsidRPr="003B5145">
        <w:t>выдачи водительских удостоверений</w:t>
      </w:r>
    </w:p>
    <w:p w:rsidR="004E3FA6" w:rsidRPr="004E3FA6" w:rsidRDefault="004E3FA6" w:rsidP="004E3FA6">
      <w:pPr>
        <w:pStyle w:val="SingleTxt"/>
        <w:spacing w:after="0" w:line="120" w:lineRule="exact"/>
        <w:rPr>
          <w:sz w:val="10"/>
        </w:rPr>
      </w:pPr>
    </w:p>
    <w:p w:rsidR="004E3FA6" w:rsidRPr="004E3FA6" w:rsidRDefault="004E3FA6" w:rsidP="004E3FA6">
      <w:pPr>
        <w:pStyle w:val="SingleTxt"/>
        <w:spacing w:after="0" w:line="120" w:lineRule="exact"/>
        <w:rPr>
          <w:sz w:val="10"/>
        </w:rPr>
      </w:pPr>
    </w:p>
    <w:p w:rsidR="003B5145" w:rsidRPr="003B5145" w:rsidRDefault="003B5145" w:rsidP="003B5145">
      <w:pPr>
        <w:pStyle w:val="SingleTxt"/>
        <w:spacing w:line="240" w:lineRule="atLeast"/>
      </w:pPr>
      <w:r w:rsidRPr="003B5145">
        <w:t>21.</w:t>
      </w:r>
      <w:r w:rsidRPr="003B5145">
        <w:tab/>
        <w:t>В целях повышения безопасности дорожного движения Европейская коми</w:t>
      </w:r>
      <w:r w:rsidRPr="003B5145">
        <w:t>с</w:t>
      </w:r>
      <w:r w:rsidRPr="003B5145">
        <w:t>сия приняла согласованный свод правил ЕС, касающийся применения антиалк</w:t>
      </w:r>
      <w:r w:rsidRPr="003B5145">
        <w:t>о</w:t>
      </w:r>
      <w:r w:rsidRPr="003B5145">
        <w:t>гольных блокирующих устройств как условия выдачи водительских удостовер</w:t>
      </w:r>
      <w:r w:rsidRPr="003B5145">
        <w:t>е</w:t>
      </w:r>
      <w:r w:rsidRPr="003B5145">
        <w:t>ний (директива Комиссии (ЕС) 2015/653 от 24 апреля 2015 года, вносящая изм</w:t>
      </w:r>
      <w:r w:rsidRPr="003B5145">
        <w:t>е</w:t>
      </w:r>
      <w:r w:rsidRPr="003B5145">
        <w:t>нения в директиву 2006/126/EC Европейского парламента и Совета о выдаче в</w:t>
      </w:r>
      <w:r w:rsidRPr="003B5145">
        <w:t>о</w:t>
      </w:r>
      <w:r w:rsidRPr="003B5145">
        <w:t>дительских удостоверений).</w:t>
      </w:r>
    </w:p>
    <w:p w:rsidR="003B5145" w:rsidRPr="003B5145" w:rsidRDefault="003B5145" w:rsidP="003B5145">
      <w:pPr>
        <w:pStyle w:val="SingleTxt"/>
        <w:spacing w:line="240" w:lineRule="atLeast"/>
      </w:pPr>
      <w:r w:rsidRPr="003B5145">
        <w:t>22.</w:t>
      </w:r>
      <w:r w:rsidRPr="003B5145">
        <w:tab/>
        <w:t>Этот новый свод правил «69» заменит используемые в разных странах национальные своды правил на программы, в рамках которых право водителя на вождение транспортных средств ограничивается только теми транспортными средствами, которые оборудованы антиалкогольными блокирующими устро</w:t>
      </w:r>
      <w:r w:rsidRPr="003B5145">
        <w:t>й</w:t>
      </w:r>
      <w:r w:rsidRPr="003B5145">
        <w:t>ствами. Такие программы планируются к реализации или уже реализуются в н</w:t>
      </w:r>
      <w:r w:rsidRPr="003B5145">
        <w:t>е</w:t>
      </w:r>
      <w:r w:rsidRPr="003B5145">
        <w:t>скольких государствах-членах, в первую очередь для недопущения рецидива пр</w:t>
      </w:r>
      <w:r w:rsidRPr="003B5145">
        <w:t>а</w:t>
      </w:r>
      <w:r w:rsidRPr="003B5145">
        <w:t xml:space="preserve">вонарушений, связанных с вождением в состоянии алкогольного опьянения. </w:t>
      </w:r>
    </w:p>
    <w:p w:rsidR="003B5145" w:rsidRPr="003B5145" w:rsidRDefault="003B5145" w:rsidP="003B5145">
      <w:pPr>
        <w:pStyle w:val="SingleTxt"/>
        <w:spacing w:line="240" w:lineRule="atLeast"/>
      </w:pPr>
      <w:r w:rsidRPr="003B5145">
        <w:t>23.</w:t>
      </w:r>
      <w:r w:rsidRPr="003B5145">
        <w:tab/>
        <w:t>Гармонизированный свод правил ЕС будет способствовать пониманию в масштабах ЕС этого ограничения, а также позволит государствам-членам обе</w:t>
      </w:r>
      <w:r w:rsidRPr="003B5145">
        <w:t>с</w:t>
      </w:r>
      <w:r w:rsidRPr="003B5145">
        <w:t>печить его применение. Вместе с тем государства-члены могут по-прежнему р</w:t>
      </w:r>
      <w:r w:rsidRPr="003B5145">
        <w:t>е</w:t>
      </w:r>
      <w:r w:rsidRPr="003B5145">
        <w:t>шать вопрос о том, вводить или не вводить такие программы и устанавливать свой порядок обеспечения соблюдения этого ограничения.</w:t>
      </w:r>
    </w:p>
    <w:p w:rsidR="003B5145" w:rsidRPr="003B5145" w:rsidRDefault="003B5145" w:rsidP="003B5145">
      <w:pPr>
        <w:pStyle w:val="SingleTxt"/>
        <w:spacing w:line="240" w:lineRule="atLeast"/>
      </w:pPr>
      <w:r w:rsidRPr="003B5145">
        <w:t>24.</w:t>
      </w:r>
      <w:r w:rsidRPr="003B5145">
        <w:tab/>
        <w:t>В дополнение к этому новому своду Комиссия скорректировала действу</w:t>
      </w:r>
      <w:r w:rsidRPr="003B5145">
        <w:t>ю</w:t>
      </w:r>
      <w:r w:rsidRPr="003B5145">
        <w:t>щие гармонизированные своды правил ЕС о выдаче водительского удостоверения с учетом научно-технического прогресса, особенно в части, касающейся адапт</w:t>
      </w:r>
      <w:r w:rsidRPr="003B5145">
        <w:t>а</w:t>
      </w:r>
      <w:r w:rsidRPr="003B5145">
        <w:t xml:space="preserve">ции транспортных средств и оказания технической поддержки водителям-инвалидам. </w:t>
      </w:r>
    </w:p>
    <w:p w:rsidR="004E3FA6" w:rsidRPr="004E3FA6" w:rsidRDefault="004E3FA6" w:rsidP="004E3FA6">
      <w:pPr>
        <w:pStyle w:val="SingleTxt"/>
        <w:spacing w:after="0" w:line="120" w:lineRule="exact"/>
        <w:rPr>
          <w:i/>
          <w:sz w:val="10"/>
        </w:rPr>
      </w:pPr>
    </w:p>
    <w:p w:rsidR="003B5145" w:rsidRPr="003B5145" w:rsidRDefault="003B5145" w:rsidP="003B5145">
      <w:pPr>
        <w:pStyle w:val="SingleTxt"/>
        <w:spacing w:line="240" w:lineRule="atLeast"/>
        <w:rPr>
          <w:i/>
        </w:rPr>
      </w:pPr>
      <w:r w:rsidRPr="003B5145">
        <w:rPr>
          <w:i/>
        </w:rPr>
        <w:t>Справочная информация</w:t>
      </w:r>
    </w:p>
    <w:p w:rsidR="003B5145" w:rsidRPr="003B5145" w:rsidRDefault="003B5145" w:rsidP="003B5145">
      <w:pPr>
        <w:pStyle w:val="SingleTxt"/>
        <w:spacing w:line="240" w:lineRule="atLeast"/>
      </w:pPr>
      <w:r w:rsidRPr="003B5145">
        <w:t>25.</w:t>
      </w:r>
      <w:r w:rsidRPr="003B5145">
        <w:tab/>
        <w:t>Антиалкогольное блокирующее устройство является системой, устанавл</w:t>
      </w:r>
      <w:r w:rsidRPr="003B5145">
        <w:t>и</w:t>
      </w:r>
      <w:r w:rsidRPr="003B5145">
        <w:t xml:space="preserve">ваемой на транспортном средстве с целью недопущения вождения транспортного средства водителем, находящимся в состоянии алкогольного опьянения. Свод правил о таких устройствах вводится в действие по просьбе государств-членов и в соответствии с рекомендацией исследования. </w:t>
      </w:r>
    </w:p>
    <w:p w:rsidR="003B5145" w:rsidRPr="003B5145" w:rsidRDefault="003B5145" w:rsidP="003B5145">
      <w:pPr>
        <w:pStyle w:val="SingleTxt"/>
        <w:spacing w:line="240" w:lineRule="atLeast"/>
      </w:pPr>
      <w:r w:rsidRPr="003B5145">
        <w:t>26.</w:t>
      </w:r>
      <w:r w:rsidRPr="003B5145">
        <w:tab/>
        <w:t>Несколько государств-членов уже ввели такие ограничения на выдачу уд</w:t>
      </w:r>
      <w:r w:rsidRPr="003B5145">
        <w:t>о</w:t>
      </w:r>
      <w:r w:rsidRPr="003B5145">
        <w:t>стоверений, но в настоящее время государства-члены применяют разные своды правил, которые не всегда понятны и не могут применяться в других госуда</w:t>
      </w:r>
      <w:r w:rsidRPr="003B5145">
        <w:t>р</w:t>
      </w:r>
      <w:r w:rsidRPr="003B5145">
        <w:t>ствах-членах. Основная цель этого нового свода правил – способствовать пон</w:t>
      </w:r>
      <w:r w:rsidRPr="003B5145">
        <w:t>и</w:t>
      </w:r>
      <w:r w:rsidRPr="003B5145">
        <w:t>манию в масштабах ЕС и обеспечить его применение в рамках ЕС.</w:t>
      </w:r>
    </w:p>
    <w:p w:rsidR="003B5145" w:rsidRPr="003B5145" w:rsidRDefault="003B5145" w:rsidP="003B5145">
      <w:pPr>
        <w:pStyle w:val="SingleTxt"/>
        <w:spacing w:line="240" w:lineRule="atLeast"/>
      </w:pPr>
      <w:r w:rsidRPr="003B5145">
        <w:t>27.</w:t>
      </w:r>
      <w:r w:rsidRPr="003B5145">
        <w:tab/>
        <w:t>Важно отметить, что этот свод правил подлежит использованию только т</w:t>
      </w:r>
      <w:r w:rsidRPr="003B5145">
        <w:t>е</w:t>
      </w:r>
      <w:r w:rsidRPr="003B5145">
        <w:t>ми государствами-членами, выдача водительских удостоверений в которых об</w:t>
      </w:r>
      <w:r w:rsidRPr="003B5145">
        <w:t>у</w:t>
      </w:r>
      <w:r w:rsidRPr="003B5145">
        <w:t>словлена этим ограничением. Многие государства-члены не предусматривают наличия антиалкогольных блокирующих устройств и, следовательно, не обусла</w:t>
      </w:r>
      <w:r w:rsidRPr="003B5145">
        <w:t>в</w:t>
      </w:r>
      <w:r w:rsidRPr="003B5145">
        <w:lastRenderedPageBreak/>
        <w:t xml:space="preserve">ливают выдачу водительских удостоверений такими ограничениями. Они могут продолжить применяемую ими практику. </w:t>
      </w:r>
    </w:p>
    <w:p w:rsidR="004E3FA6" w:rsidRPr="004E3FA6" w:rsidRDefault="004E3FA6" w:rsidP="004E3FA6">
      <w:pPr>
        <w:pStyle w:val="SingleTxt"/>
        <w:spacing w:after="0" w:line="120" w:lineRule="exact"/>
        <w:rPr>
          <w:b/>
          <w:sz w:val="10"/>
        </w:rPr>
      </w:pPr>
    </w:p>
    <w:p w:rsidR="004E3FA6" w:rsidRPr="004E3FA6" w:rsidRDefault="004E3FA6" w:rsidP="004E3FA6">
      <w:pPr>
        <w:pStyle w:val="SingleTxt"/>
        <w:spacing w:after="0" w:line="120" w:lineRule="exact"/>
        <w:rPr>
          <w:b/>
          <w:sz w:val="10"/>
        </w:rPr>
      </w:pPr>
    </w:p>
    <w:p w:rsidR="003B5145" w:rsidRPr="003B5145" w:rsidRDefault="003B5145" w:rsidP="004E3F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5145">
        <w:tab/>
        <w:t>С.</w:t>
      </w:r>
      <w:r w:rsidRPr="003B5145">
        <w:tab/>
        <w:t>Европейская комиссия участвует в глобальных усилиях Организации Объединенных Наций по повышению безопасности дорожного движения</w:t>
      </w:r>
    </w:p>
    <w:p w:rsidR="004E3FA6" w:rsidRPr="004E3FA6" w:rsidRDefault="004E3FA6" w:rsidP="004E3FA6">
      <w:pPr>
        <w:pStyle w:val="SingleTxt"/>
        <w:spacing w:after="0" w:line="120" w:lineRule="exact"/>
        <w:rPr>
          <w:sz w:val="10"/>
        </w:rPr>
      </w:pPr>
    </w:p>
    <w:p w:rsidR="004E3FA6" w:rsidRPr="004E3FA6" w:rsidRDefault="004E3FA6" w:rsidP="004E3FA6">
      <w:pPr>
        <w:pStyle w:val="SingleTxt"/>
        <w:spacing w:after="0" w:line="120" w:lineRule="exact"/>
        <w:rPr>
          <w:sz w:val="10"/>
        </w:rPr>
      </w:pPr>
    </w:p>
    <w:p w:rsidR="003B5145" w:rsidRPr="003B5145" w:rsidRDefault="004E3FA6" w:rsidP="003B5145">
      <w:pPr>
        <w:pStyle w:val="SingleTxt"/>
        <w:spacing w:line="240" w:lineRule="atLeast"/>
      </w:pPr>
      <w:r w:rsidRPr="004E3FA6">
        <w:rPr>
          <w:noProof/>
          <w:lang w:val="en-US" w:eastAsia="en-US"/>
        </w:rPr>
        <mc:AlternateContent>
          <mc:Choice Requires="wps">
            <w:drawing>
              <wp:anchor distT="0" distB="0" distL="114300" distR="114300" simplePos="0" relativeHeight="251689984" behindDoc="0" locked="0" layoutInCell="1" allowOverlap="1" wp14:anchorId="29B25331" wp14:editId="392E4CCD">
                <wp:simplePos x="0" y="0"/>
                <wp:positionH relativeFrom="column">
                  <wp:posOffset>4299057</wp:posOffset>
                </wp:positionH>
                <wp:positionV relativeFrom="paragraph">
                  <wp:posOffset>72621</wp:posOffset>
                </wp:positionV>
                <wp:extent cx="1941830" cy="1128395"/>
                <wp:effectExtent l="0" t="0" r="0" b="0"/>
                <wp:wrapNone/>
                <wp:docPr id="10" name="Поле 14"/>
                <wp:cNvGraphicFramePr/>
                <a:graphic xmlns:a="http://schemas.openxmlformats.org/drawingml/2006/main">
                  <a:graphicData uri="http://schemas.microsoft.com/office/word/2010/wordprocessingShape">
                    <wps:wsp>
                      <wps:cNvSpPr txBox="1"/>
                      <wps:spPr>
                        <a:xfrm>
                          <a:off x="0" y="0"/>
                          <a:ext cx="1941830" cy="1128395"/>
                        </a:xfrm>
                        <a:prstGeom prst="rect">
                          <a:avLst/>
                        </a:prstGeom>
                        <a:noFill/>
                        <a:ln w="6350">
                          <a:noFill/>
                        </a:ln>
                        <a:effectLst/>
                      </wps:spPr>
                      <wps:txbx>
                        <w:txbxContent>
                          <w:p w:rsidR="00DB6825" w:rsidRDefault="00DB6825" w:rsidP="004E3FA6">
                            <w:pPr>
                              <w:jc w:val="center"/>
                              <w:rPr>
                                <w:color w:val="244061" w:themeColor="accent1" w:themeShade="80"/>
                              </w:rPr>
                            </w:pPr>
                          </w:p>
                          <w:p w:rsidR="00DB6825" w:rsidRDefault="00DB6825" w:rsidP="004E3FA6">
                            <w:pPr>
                              <w:jc w:val="center"/>
                              <w:rPr>
                                <w:color w:val="244061" w:themeColor="accent1" w:themeShade="80"/>
                              </w:rPr>
                            </w:pPr>
                          </w:p>
                          <w:p w:rsidR="00DB6825" w:rsidRPr="004E3FA6" w:rsidRDefault="00DB6825" w:rsidP="004E3FA6">
                            <w:pPr>
                              <w:jc w:val="center"/>
                              <w:rPr>
                                <w:color w:val="244061" w:themeColor="accent1" w:themeShade="80"/>
                              </w:rPr>
                            </w:pPr>
                          </w:p>
                          <w:p w:rsidR="00DB6825" w:rsidRPr="004E3FA6" w:rsidRDefault="00DB6825" w:rsidP="00E35895">
                            <w:pPr>
                              <w:ind w:left="-180"/>
                              <w:jc w:val="center"/>
                              <w:rPr>
                                <w:b/>
                                <w:bCs/>
                                <w:color w:val="244061" w:themeColor="accent1" w:themeShade="80"/>
                                <w:sz w:val="24"/>
                                <w:szCs w:val="24"/>
                              </w:rPr>
                            </w:pPr>
                            <w:r w:rsidRPr="004E3FA6">
                              <w:rPr>
                                <w:b/>
                                <w:bCs/>
                                <w:color w:val="244061" w:themeColor="accent1" w:themeShade="80"/>
                                <w:sz w:val="24"/>
                                <w:szCs w:val="24"/>
                              </w:rPr>
                              <w:t>ЕСТР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31" type="#_x0000_t202" style="position:absolute;left:0;text-align:left;margin-left:338.5pt;margin-top:5.7pt;width:152.9pt;height:88.8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" filled="f" stroked="f" strokeweight=".5pt">
                <v:textbox>
                  <w:txbxContent>
                    <w:p w:rsidR="00DB6825" w:rsidRDefault="00DB6825" w:rsidP="004E3FA6">
                      <w:pPr>
                        <w:jc w:val="center"/>
                        <w:rPr>
                          <w:color w:val="244061" w:themeColor="accent1" w:themeShade="80"/>
                        </w:rPr>
                      </w:pPr>
                    </w:p>
                    <w:p w:rsidR="00DB6825" w:rsidRDefault="00DB6825" w:rsidP="004E3FA6">
                      <w:pPr>
                        <w:jc w:val="center"/>
                        <w:rPr>
                          <w:color w:val="244061" w:themeColor="accent1" w:themeShade="80"/>
                        </w:rPr>
                      </w:pPr>
                    </w:p>
                    <w:p w:rsidR="00DB6825" w:rsidRPr="004E3FA6" w:rsidRDefault="00DB6825" w:rsidP="004E3FA6">
                      <w:pPr>
                        <w:jc w:val="center"/>
                        <w:rPr>
                          <w:color w:val="244061" w:themeColor="accent1" w:themeShade="80"/>
                        </w:rPr>
                      </w:pPr>
                    </w:p>
                    <w:p w:rsidR="00DB6825" w:rsidRPr="004E3FA6" w:rsidRDefault="00DB6825" w:rsidP="00E35895">
                      <w:pPr>
                        <w:ind w:left="-180"/>
                        <w:jc w:val="center"/>
                        <w:rPr>
                          <w:b/>
                          <w:bCs/>
                          <w:color w:val="244061" w:themeColor="accent1" w:themeShade="80"/>
                          <w:sz w:val="24"/>
                          <w:szCs w:val="24"/>
                        </w:rPr>
                      </w:pPr>
                      <w:r w:rsidRPr="004E3FA6">
                        <w:rPr>
                          <w:b/>
                          <w:bCs/>
                          <w:color w:val="244061" w:themeColor="accent1" w:themeShade="80"/>
                          <w:sz w:val="24"/>
                          <w:szCs w:val="24"/>
                        </w:rPr>
                        <w:t>ЕСТР</w:t>
                      </w:r>
                    </w:p>
                  </w:txbxContent>
                </v:textbox>
              </v:shape>
            </w:pict>
          </mc:Fallback>
        </mc:AlternateContent>
      </w:r>
      <w:r w:rsidRPr="003B5145">
        <w:rPr>
          <w:noProof/>
          <w:lang w:val="en-US" w:eastAsia="en-US"/>
        </w:rPr>
        <w:drawing>
          <wp:anchor distT="0" distB="0" distL="114300" distR="114300" simplePos="0" relativeHeight="251665408" behindDoc="0" locked="0" layoutInCell="1" allowOverlap="1" wp14:anchorId="4AC4C9A4" wp14:editId="7A786321">
            <wp:simplePos x="0" y="0"/>
            <wp:positionH relativeFrom="column">
              <wp:posOffset>4168140</wp:posOffset>
            </wp:positionH>
            <wp:positionV relativeFrom="paragraph">
              <wp:posOffset>25400</wp:posOffset>
            </wp:positionV>
            <wp:extent cx="2174875" cy="1278255"/>
            <wp:effectExtent l="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174875" cy="1278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5145" w:rsidRPr="003B5145">
        <w:t>28.</w:t>
      </w:r>
      <w:r w:rsidR="003B5145" w:rsidRPr="003B5145">
        <w:tab/>
        <w:t>Европейская комиссия приветствовала глобальное обязательство Организ</w:t>
      </w:r>
      <w:r w:rsidR="003B5145" w:rsidRPr="003B5145">
        <w:t>а</w:t>
      </w:r>
      <w:r w:rsidR="003B5145" w:rsidRPr="003B5145">
        <w:t>ции Объединенных Наций по обеспечению большей безопасности дорожного движ</w:t>
      </w:r>
      <w:r w:rsidR="003B5145" w:rsidRPr="003B5145">
        <w:t>е</w:t>
      </w:r>
      <w:r w:rsidR="003B5145" w:rsidRPr="003B5145">
        <w:t>ния во всем мире, которое было принято на состоя</w:t>
      </w:r>
      <w:r w:rsidR="003B5145" w:rsidRPr="003B5145">
        <w:t>в</w:t>
      </w:r>
      <w:r w:rsidR="003B5145" w:rsidRPr="003B5145">
        <w:t>шейся 18–19 ноября в Бразилии внеочередной межм</w:t>
      </w:r>
      <w:r w:rsidR="003B5145" w:rsidRPr="003B5145">
        <w:t>и</w:t>
      </w:r>
      <w:r w:rsidR="003B5145" w:rsidRPr="003B5145">
        <w:t>нистерской конференции. В принятой на второй Вс</w:t>
      </w:r>
      <w:r w:rsidR="003B5145" w:rsidRPr="003B5145">
        <w:t>е</w:t>
      </w:r>
      <w:r w:rsidR="003B5145" w:rsidRPr="003B5145">
        <w:t>мирной конференции высокого уровня по безопасности дорожного движения Бразильской декларации подче</w:t>
      </w:r>
      <w:r w:rsidR="003B5145" w:rsidRPr="003B5145">
        <w:t>р</w:t>
      </w:r>
      <w:r w:rsidR="003B5145" w:rsidRPr="003B5145">
        <w:t>кивается необходимость рассматривать безопасность дорожного движения в качестве глобального приоритета.</w:t>
      </w:r>
    </w:p>
    <w:p w:rsidR="003B5145" w:rsidRPr="003B5145" w:rsidRDefault="003B5145" w:rsidP="003B5145">
      <w:pPr>
        <w:pStyle w:val="SingleTxt"/>
        <w:spacing w:line="240" w:lineRule="atLeast"/>
      </w:pPr>
      <w:r w:rsidRPr="003B5145">
        <w:t>29.</w:t>
      </w:r>
      <w:r w:rsidRPr="003B5145">
        <w:tab/>
        <w:t>Комиссар по транспорту г-жа Виолета Балк заявила: «Европейская коми</w:t>
      </w:r>
      <w:r w:rsidRPr="003B5145">
        <w:t>с</w:t>
      </w:r>
      <w:r w:rsidRPr="003B5145">
        <w:t>сия привержена делу повышения безопасности дорожного движения. Мы полн</w:t>
      </w:r>
      <w:r w:rsidRPr="003B5145">
        <w:t>о</w:t>
      </w:r>
      <w:r w:rsidRPr="003B5145">
        <w:t>стью поддерживаем все инициативы Организации Объединенных Наций по д</w:t>
      </w:r>
      <w:r w:rsidRPr="003B5145">
        <w:t>о</w:t>
      </w:r>
      <w:r w:rsidRPr="003B5145">
        <w:t>стижению этой основной цели развития. Сегодня, по истечении половины Дес</w:t>
      </w:r>
      <w:r w:rsidRPr="003B5145">
        <w:t>я</w:t>
      </w:r>
      <w:r w:rsidRPr="003B5145">
        <w:t>тилетия действий по обеспечению безопасности дорожного движения, Организ</w:t>
      </w:r>
      <w:r w:rsidRPr="003B5145">
        <w:t>а</w:t>
      </w:r>
      <w:r w:rsidRPr="003B5145">
        <w:t>ция Объединенных Наций проведет оценку достигнутого к настоящему времени прогресса и подтвердить свое обязательство. ЕС готов оказывать поддержку и усиливать свою работу любыми возможными способами. ЕС накопил существе</w:t>
      </w:r>
      <w:r w:rsidRPr="003B5145">
        <w:t>н</w:t>
      </w:r>
      <w:r w:rsidRPr="003B5145">
        <w:t>ный опыт и располагает передовыми практиками, которыми он может поделиться с другими регионами. Я надеюсь, что извлеченные нами уроки могут помочь спасению жизни людей и за пределами границ ЕС. Комиссия гордится тем, что она также вносит свой вклад в реализацию всеобъемлющего глобального обяз</w:t>
      </w:r>
      <w:r w:rsidRPr="003B5145">
        <w:t>а</w:t>
      </w:r>
      <w:r w:rsidRPr="003B5145">
        <w:t>тельства по повышению безопасности дорожного движения».</w:t>
      </w:r>
    </w:p>
    <w:p w:rsidR="003B5145" w:rsidRPr="003B5145" w:rsidRDefault="003B5145" w:rsidP="004E3FA6">
      <w:pPr>
        <w:pStyle w:val="SingleTxt"/>
        <w:spacing w:line="240" w:lineRule="atLeast"/>
      </w:pPr>
      <w:r w:rsidRPr="003B5145">
        <w:t>30.</w:t>
      </w:r>
      <w:r w:rsidRPr="003B5145">
        <w:tab/>
        <w:t>Дороги ЕС в настоящее время действительно намного безопаснее, чем когда бы то ни было ранее, и ЕС является наиболее безопасным регионом мира. В</w:t>
      </w:r>
      <w:r w:rsidR="004E3FA6">
        <w:t> </w:t>
      </w:r>
      <w:r w:rsidRPr="003B5145">
        <w:t>2014</w:t>
      </w:r>
      <w:r w:rsidR="004E3FA6">
        <w:t> </w:t>
      </w:r>
      <w:r w:rsidRPr="003B5145">
        <w:t>году показатель смертности на дорогах ЕС составил 51 случай смертей на миллион человек по сравнению с 93 случаями смерти на миллион человек для всего Европейского региона (53 страны, включая Российскую Федерацию) и 159</w:t>
      </w:r>
      <w:r w:rsidR="004E3FA6">
        <w:t> </w:t>
      </w:r>
      <w:r w:rsidRPr="003B5145">
        <w:t>случаями смерти на миллион человек в американском регионе. В целом в мире общее количество погибших в результате дорожно-транспортных происш</w:t>
      </w:r>
      <w:r w:rsidRPr="003B5145">
        <w:t>е</w:t>
      </w:r>
      <w:r w:rsidRPr="003B5145">
        <w:t>ствий составляет около 1,2 млн. человек в год, из которых на ЕС приходится вс</w:t>
      </w:r>
      <w:r w:rsidRPr="003B5145">
        <w:t>е</w:t>
      </w:r>
      <w:r w:rsidRPr="003B5145">
        <w:t>го лишь около 25 900 случаев.</w:t>
      </w:r>
    </w:p>
    <w:p w:rsidR="003B5145" w:rsidRPr="003B5145" w:rsidRDefault="00DB6825" w:rsidP="003B5145">
      <w:pPr>
        <w:pStyle w:val="SingleTxt"/>
        <w:spacing w:line="240" w:lineRule="atLeast"/>
      </w:pPr>
      <w:r w:rsidRPr="004E3FA6">
        <w:rPr>
          <w:noProof/>
          <w:lang w:val="en-US" w:eastAsia="en-US"/>
        </w:rPr>
        <mc:AlternateContent>
          <mc:Choice Requires="wps">
            <w:drawing>
              <wp:anchor distT="0" distB="0" distL="114300" distR="114300" simplePos="0" relativeHeight="251692032" behindDoc="0" locked="0" layoutInCell="1" allowOverlap="1" wp14:anchorId="14905146" wp14:editId="7F8AAFBC">
                <wp:simplePos x="0" y="0"/>
                <wp:positionH relativeFrom="column">
                  <wp:posOffset>4297680</wp:posOffset>
                </wp:positionH>
                <wp:positionV relativeFrom="paragraph">
                  <wp:posOffset>779145</wp:posOffset>
                </wp:positionV>
                <wp:extent cx="1941830" cy="1128395"/>
                <wp:effectExtent l="0" t="0" r="0" b="0"/>
                <wp:wrapNone/>
                <wp:docPr id="11" name="Поле 14"/>
                <wp:cNvGraphicFramePr/>
                <a:graphic xmlns:a="http://schemas.openxmlformats.org/drawingml/2006/main">
                  <a:graphicData uri="http://schemas.microsoft.com/office/word/2010/wordprocessingShape">
                    <wps:wsp>
                      <wps:cNvSpPr txBox="1"/>
                      <wps:spPr>
                        <a:xfrm>
                          <a:off x="0" y="0"/>
                          <a:ext cx="1941830" cy="1128395"/>
                        </a:xfrm>
                        <a:prstGeom prst="rect">
                          <a:avLst/>
                        </a:prstGeom>
                        <a:noFill/>
                        <a:ln w="6350">
                          <a:noFill/>
                        </a:ln>
                        <a:effectLst/>
                      </wps:spPr>
                      <wps:txbx>
                        <w:txbxContent>
                          <w:p w:rsidR="00DB6825" w:rsidRDefault="00DB6825" w:rsidP="00DB6825">
                            <w:pPr>
                              <w:jc w:val="center"/>
                              <w:rPr>
                                <w:b/>
                                <w:bCs/>
                                <w:color w:val="244061" w:themeColor="accent1" w:themeShade="80"/>
                                <w:sz w:val="22"/>
                              </w:rPr>
                            </w:pPr>
                          </w:p>
                          <w:p w:rsidR="00DB6825" w:rsidRPr="00DB6825" w:rsidRDefault="005F4979" w:rsidP="00DB6825">
                            <w:pPr>
                              <w:jc w:val="center"/>
                              <w:rPr>
                                <w:b/>
                                <w:bCs/>
                                <w:color w:val="244061" w:themeColor="accent1" w:themeShade="80"/>
                                <w:sz w:val="22"/>
                              </w:rPr>
                            </w:pPr>
                            <w:r>
                              <w:rPr>
                                <w:b/>
                                <w:bCs/>
                                <w:color w:val="244061" w:themeColor="accent1" w:themeShade="80"/>
                                <w:sz w:val="22"/>
                              </w:rPr>
                              <w:t xml:space="preserve">• </w:t>
                            </w:r>
                            <w:r w:rsidR="00DB6825" w:rsidRPr="00DB6825">
                              <w:rPr>
                                <w:b/>
                                <w:bCs/>
                                <w:color w:val="244061" w:themeColor="accent1" w:themeShade="80"/>
                                <w:sz w:val="22"/>
                              </w:rPr>
                              <w:t xml:space="preserve">Конвенция </w:t>
                            </w:r>
                            <w:r w:rsidR="00DB6825">
                              <w:rPr>
                                <w:b/>
                                <w:bCs/>
                                <w:color w:val="244061" w:themeColor="accent1" w:themeShade="80"/>
                                <w:sz w:val="22"/>
                              </w:rPr>
                              <w:br/>
                            </w:r>
                            <w:r w:rsidR="00DB6825" w:rsidRPr="00DB6825">
                              <w:rPr>
                                <w:b/>
                                <w:bCs/>
                                <w:color w:val="244061" w:themeColor="accent1" w:themeShade="80"/>
                                <w:sz w:val="22"/>
                              </w:rPr>
                              <w:t>о согласовании</w:t>
                            </w:r>
                          </w:p>
                          <w:p w:rsidR="00DB6825" w:rsidRPr="00DB6825" w:rsidRDefault="00DB6825" w:rsidP="00DB6825">
                            <w:pPr>
                              <w:jc w:val="center"/>
                              <w:rPr>
                                <w:b/>
                                <w:bCs/>
                                <w:color w:val="244061" w:themeColor="accent1" w:themeShade="80"/>
                                <w:sz w:val="22"/>
                              </w:rPr>
                            </w:pPr>
                          </w:p>
                          <w:p w:rsidR="00DB6825" w:rsidRPr="00DB6825" w:rsidRDefault="005F4979" w:rsidP="00DB6825">
                            <w:pPr>
                              <w:jc w:val="center"/>
                              <w:rPr>
                                <w:b/>
                                <w:bCs/>
                                <w:color w:val="244061" w:themeColor="accent1" w:themeShade="80"/>
                                <w:sz w:val="22"/>
                              </w:rPr>
                            </w:pPr>
                            <w:r>
                              <w:rPr>
                                <w:b/>
                                <w:bCs/>
                                <w:color w:val="244061" w:themeColor="accent1" w:themeShade="80"/>
                                <w:sz w:val="22"/>
                              </w:rPr>
                              <w:t xml:space="preserve">• </w:t>
                            </w:r>
                            <w:r w:rsidR="00DB6825" w:rsidRPr="00DB6825">
                              <w:rPr>
                                <w:b/>
                                <w:bCs/>
                                <w:color w:val="244061" w:themeColor="accent1" w:themeShade="80"/>
                                <w:sz w:val="22"/>
                              </w:rPr>
                              <w:t xml:space="preserve">Международный </w:t>
                            </w:r>
                            <w:r w:rsidR="00DB6825">
                              <w:rPr>
                                <w:b/>
                                <w:bCs/>
                                <w:color w:val="244061" w:themeColor="accent1" w:themeShade="80"/>
                                <w:sz w:val="22"/>
                              </w:rPr>
                              <w:br/>
                            </w:r>
                            <w:r w:rsidR="00DB6825" w:rsidRPr="00DB6825">
                              <w:rPr>
                                <w:b/>
                                <w:bCs/>
                                <w:color w:val="244061" w:themeColor="accent1" w:themeShade="80"/>
                                <w:sz w:val="22"/>
                              </w:rPr>
                              <w:t>весовой сертификат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32" type="#_x0000_t202" style="position:absolute;left:0;text-align:left;margin-left:338.4pt;margin-top:61.35pt;width:152.9pt;height:88.8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" filled="f" stroked="f" strokeweight=".5pt">
                <v:textbox>
                  <w:txbxContent>
                    <w:p w:rsidR="00DB6825" w:rsidRDefault="00DB6825" w:rsidP="00DB6825">
                      <w:pPr>
                        <w:jc w:val="center"/>
                        <w:rPr>
                          <w:b/>
                          <w:bCs/>
                          <w:color w:val="244061" w:themeColor="accent1" w:themeShade="80"/>
                          <w:sz w:val="22"/>
                        </w:rPr>
                      </w:pPr>
                    </w:p>
                    <w:p w:rsidR="00DB6825" w:rsidRPr="00DB6825" w:rsidRDefault="005F4979" w:rsidP="00DB6825">
                      <w:pPr>
                        <w:jc w:val="center"/>
                        <w:rPr>
                          <w:b/>
                          <w:bCs/>
                          <w:color w:val="244061" w:themeColor="accent1" w:themeShade="80"/>
                          <w:sz w:val="22"/>
                        </w:rPr>
                      </w:pPr>
                      <w:r>
                        <w:rPr>
                          <w:b/>
                          <w:bCs/>
                          <w:color w:val="244061" w:themeColor="accent1" w:themeShade="80"/>
                          <w:sz w:val="22"/>
                        </w:rPr>
                        <w:t xml:space="preserve">• </w:t>
                      </w:r>
                      <w:r w:rsidR="00DB6825" w:rsidRPr="00DB6825">
                        <w:rPr>
                          <w:b/>
                          <w:bCs/>
                          <w:color w:val="244061" w:themeColor="accent1" w:themeShade="80"/>
                          <w:sz w:val="22"/>
                        </w:rPr>
                        <w:t xml:space="preserve">Конвенция </w:t>
                      </w:r>
                      <w:r w:rsidR="00DB6825">
                        <w:rPr>
                          <w:b/>
                          <w:bCs/>
                          <w:color w:val="244061" w:themeColor="accent1" w:themeShade="80"/>
                          <w:sz w:val="22"/>
                        </w:rPr>
                        <w:br/>
                      </w:r>
                      <w:r w:rsidR="00DB6825" w:rsidRPr="00DB6825">
                        <w:rPr>
                          <w:b/>
                          <w:bCs/>
                          <w:color w:val="244061" w:themeColor="accent1" w:themeShade="80"/>
                          <w:sz w:val="22"/>
                        </w:rPr>
                        <w:t>о согл</w:t>
                      </w:r>
                      <w:r w:rsidR="00DB6825" w:rsidRPr="00DB6825">
                        <w:rPr>
                          <w:b/>
                          <w:bCs/>
                          <w:color w:val="244061" w:themeColor="accent1" w:themeShade="80"/>
                          <w:sz w:val="22"/>
                        </w:rPr>
                        <w:t>а</w:t>
                      </w:r>
                      <w:r w:rsidR="00DB6825" w:rsidRPr="00DB6825">
                        <w:rPr>
                          <w:b/>
                          <w:bCs/>
                          <w:color w:val="244061" w:themeColor="accent1" w:themeShade="80"/>
                          <w:sz w:val="22"/>
                        </w:rPr>
                        <w:t>совании</w:t>
                      </w:r>
                    </w:p>
                    <w:p w:rsidR="00DB6825" w:rsidRPr="00DB6825" w:rsidRDefault="00DB6825" w:rsidP="00DB6825">
                      <w:pPr>
                        <w:jc w:val="center"/>
                        <w:rPr>
                          <w:b/>
                          <w:bCs/>
                          <w:color w:val="244061" w:themeColor="accent1" w:themeShade="80"/>
                          <w:sz w:val="22"/>
                        </w:rPr>
                      </w:pPr>
                    </w:p>
                    <w:p w:rsidR="00DB6825" w:rsidRPr="00DB6825" w:rsidRDefault="005F4979" w:rsidP="00DB6825">
                      <w:pPr>
                        <w:jc w:val="center"/>
                        <w:rPr>
                          <w:b/>
                          <w:bCs/>
                          <w:color w:val="244061" w:themeColor="accent1" w:themeShade="80"/>
                          <w:sz w:val="22"/>
                        </w:rPr>
                      </w:pPr>
                      <w:r>
                        <w:rPr>
                          <w:b/>
                          <w:bCs/>
                          <w:color w:val="244061" w:themeColor="accent1" w:themeShade="80"/>
                          <w:sz w:val="22"/>
                        </w:rPr>
                        <w:t xml:space="preserve">• </w:t>
                      </w:r>
                      <w:r w:rsidR="00DB6825" w:rsidRPr="00DB6825">
                        <w:rPr>
                          <w:b/>
                          <w:bCs/>
                          <w:color w:val="244061" w:themeColor="accent1" w:themeShade="80"/>
                          <w:sz w:val="22"/>
                        </w:rPr>
                        <w:t xml:space="preserve">Международный </w:t>
                      </w:r>
                      <w:r w:rsidR="00DB6825">
                        <w:rPr>
                          <w:b/>
                          <w:bCs/>
                          <w:color w:val="244061" w:themeColor="accent1" w:themeShade="80"/>
                          <w:sz w:val="22"/>
                        </w:rPr>
                        <w:br/>
                      </w:r>
                      <w:r w:rsidR="00DB6825" w:rsidRPr="00DB6825">
                        <w:rPr>
                          <w:b/>
                          <w:bCs/>
                          <w:color w:val="244061" w:themeColor="accent1" w:themeShade="80"/>
                          <w:sz w:val="22"/>
                        </w:rPr>
                        <w:t>в</w:t>
                      </w:r>
                      <w:r w:rsidR="00DB6825" w:rsidRPr="00DB6825">
                        <w:rPr>
                          <w:b/>
                          <w:bCs/>
                          <w:color w:val="244061" w:themeColor="accent1" w:themeShade="80"/>
                          <w:sz w:val="22"/>
                        </w:rPr>
                        <w:t>е</w:t>
                      </w:r>
                      <w:r w:rsidR="00DB6825" w:rsidRPr="00DB6825">
                        <w:rPr>
                          <w:b/>
                          <w:bCs/>
                          <w:color w:val="244061" w:themeColor="accent1" w:themeShade="80"/>
                          <w:sz w:val="22"/>
                        </w:rPr>
                        <w:t>совой сертификат</w:t>
                      </w:r>
                    </w:p>
                  </w:txbxContent>
                </v:textbox>
              </v:shape>
            </w:pict>
          </mc:Fallback>
        </mc:AlternateContent>
      </w:r>
      <w:r w:rsidRPr="003B5145">
        <w:rPr>
          <w:noProof/>
          <w:lang w:val="en-US" w:eastAsia="en-US"/>
        </w:rPr>
        <w:drawing>
          <wp:anchor distT="0" distB="0" distL="114300" distR="114300" simplePos="0" relativeHeight="251667456" behindDoc="0" locked="0" layoutInCell="1" allowOverlap="1" wp14:anchorId="0D7F8CCA" wp14:editId="7148E544">
            <wp:simplePos x="0" y="0"/>
            <wp:positionH relativeFrom="column">
              <wp:posOffset>4187190</wp:posOffset>
            </wp:positionH>
            <wp:positionV relativeFrom="paragraph">
              <wp:posOffset>727075</wp:posOffset>
            </wp:positionV>
            <wp:extent cx="2174875" cy="1278255"/>
            <wp:effectExtent l="0" t="0" r="0" b="0"/>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174875" cy="1278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5145" w:rsidRPr="003B5145">
        <w:t>31.</w:t>
      </w:r>
      <w:r w:rsidR="003B5145" w:rsidRPr="003B5145">
        <w:tab/>
        <w:t>Успешным результатам ЕС способствовали многие факторы. ЕС рассматр</w:t>
      </w:r>
      <w:r w:rsidR="003B5145" w:rsidRPr="003B5145">
        <w:t>и</w:t>
      </w:r>
      <w:r w:rsidR="003B5145" w:rsidRPr="003B5145">
        <w:t>вает безопасность дорожного движения в качестве приоритетного направления политики, приступив к налаживанию широкого трансграничного сотрудничества в области безопасности дорожного движения в масштабах ЕС. К числу основных достижений в законодательной работе относятся обяз</w:t>
      </w:r>
      <w:r w:rsidR="003B5145" w:rsidRPr="003B5145">
        <w:t>а</w:t>
      </w:r>
      <w:r w:rsidR="003B5145" w:rsidRPr="003B5145">
        <w:t>тельное использование ремней безопасности и надл</w:t>
      </w:r>
      <w:r w:rsidR="003B5145" w:rsidRPr="003B5145">
        <w:t>е</w:t>
      </w:r>
      <w:r w:rsidR="003B5145" w:rsidRPr="003B5145">
        <w:t>жащих детских сидений, юридически обязывающие принципы управления безопасностью инфраструктуры, а также общие правила утверждения типа конструкции и проведение технических инспекций транспортных средств. Собранная Европейским информационным центром по безопасн</w:t>
      </w:r>
      <w:r w:rsidR="003B5145" w:rsidRPr="003B5145">
        <w:t>о</w:t>
      </w:r>
      <w:r w:rsidR="003B5145" w:rsidRPr="003B5145">
        <w:t xml:space="preserve">сти дорожного движения и базой данной </w:t>
      </w:r>
      <w:r w:rsidR="003B5145" w:rsidRPr="003B5145">
        <w:rPr>
          <w:lang w:val="en-US"/>
        </w:rPr>
        <w:t>CARE</w:t>
      </w:r>
      <w:r w:rsidR="003B5145" w:rsidRPr="003B5145">
        <w:t xml:space="preserve"> информация о дорожно-транспортных </w:t>
      </w:r>
      <w:r w:rsidR="003B5145" w:rsidRPr="003B5145">
        <w:lastRenderedPageBreak/>
        <w:t>происшествиях позволяет создать прочную базу знаний для пр</w:t>
      </w:r>
      <w:r w:rsidR="003B5145" w:rsidRPr="003B5145">
        <w:t>и</w:t>
      </w:r>
      <w:r w:rsidR="003B5145" w:rsidRPr="003B5145">
        <w:t>нятия решений и разработки наиболее эффективных мер по обеспечению бе</w:t>
      </w:r>
      <w:r w:rsidR="003B5145" w:rsidRPr="003B5145">
        <w:t>з</w:t>
      </w:r>
      <w:r w:rsidR="003B5145" w:rsidRPr="003B5145">
        <w:t>опасности дорожного движения.</w:t>
      </w:r>
    </w:p>
    <w:p w:rsidR="003B5145" w:rsidRPr="003B5145" w:rsidRDefault="003B5145" w:rsidP="003B5145">
      <w:pPr>
        <w:pStyle w:val="SingleTxt"/>
        <w:spacing w:line="240" w:lineRule="atLeast"/>
      </w:pPr>
      <w:r w:rsidRPr="003B5145">
        <w:t>32.</w:t>
      </w:r>
      <w:r w:rsidRPr="003B5145">
        <w:tab/>
        <w:t>Во второй Конференции Организации Объединенных Наций высокого уровня по безопасности дорожного движения приняли участие министры и главы делегаций со всего мира, а также представители международных и региональных организаций и субъекты гражданского общества, научных кругов и частного се</w:t>
      </w:r>
      <w:r w:rsidRPr="003B5145">
        <w:t>к</w:t>
      </w:r>
      <w:r w:rsidRPr="003B5145">
        <w:t>тора. Конференция вновь подтвердила обязательство международного сообщ</w:t>
      </w:r>
      <w:r w:rsidRPr="003B5145">
        <w:t>е</w:t>
      </w:r>
      <w:r w:rsidRPr="003B5145">
        <w:t>ства в отношении политики, законодательства, мер и действий, которые могут устранить причины, ежегодно приводящие во всем мире к гибели 1,2 млн. чел</w:t>
      </w:r>
      <w:r w:rsidRPr="003B5145">
        <w:t>о</w:t>
      </w:r>
      <w:r w:rsidRPr="003B5145">
        <w:t>век и телесным повреждениям еще 30–50 млн. человек, в первую очередь детей и молодежи; связанные с этим глобальные ежегодные издержки составляют по оценкам около 500</w:t>
      </w:r>
      <w:r w:rsidR="00AA108E">
        <w:t> млрд. </w:t>
      </w:r>
      <w:r w:rsidRPr="003B5145">
        <w:t>долл. США.</w:t>
      </w:r>
    </w:p>
    <w:p w:rsidR="00DB6825" w:rsidRPr="00DB6825" w:rsidRDefault="00DB6825" w:rsidP="00DB6825">
      <w:pPr>
        <w:pStyle w:val="SingleTxt"/>
        <w:spacing w:after="0" w:line="120" w:lineRule="exact"/>
        <w:rPr>
          <w:b/>
          <w:sz w:val="10"/>
        </w:rPr>
      </w:pPr>
    </w:p>
    <w:p w:rsidR="00DB6825" w:rsidRPr="00DB6825" w:rsidRDefault="00DB6825" w:rsidP="00DB6825">
      <w:pPr>
        <w:pStyle w:val="SingleTxt"/>
        <w:spacing w:after="0" w:line="120" w:lineRule="exact"/>
        <w:rPr>
          <w:b/>
          <w:sz w:val="10"/>
        </w:rPr>
      </w:pPr>
    </w:p>
    <w:p w:rsidR="003B5145" w:rsidRPr="003B5145" w:rsidRDefault="003B5145" w:rsidP="00DB682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5145">
        <w:tab/>
        <w:t>IV.</w:t>
      </w:r>
      <w:r w:rsidRPr="003B5145">
        <w:tab/>
        <w:t>Железнодорожный транспорт</w:t>
      </w:r>
    </w:p>
    <w:p w:rsidR="00DB6825" w:rsidRPr="00DB6825" w:rsidRDefault="00DB6825" w:rsidP="00DB6825">
      <w:pPr>
        <w:pStyle w:val="SingleTxt"/>
        <w:spacing w:after="0" w:line="120" w:lineRule="exact"/>
        <w:rPr>
          <w:b/>
          <w:sz w:val="10"/>
        </w:rPr>
      </w:pPr>
    </w:p>
    <w:p w:rsidR="00DB6825" w:rsidRPr="00DB6825" w:rsidRDefault="00DB6825" w:rsidP="00DB6825">
      <w:pPr>
        <w:pStyle w:val="SingleTxt"/>
        <w:spacing w:after="0" w:line="120" w:lineRule="exact"/>
        <w:rPr>
          <w:b/>
          <w:sz w:val="10"/>
        </w:rPr>
      </w:pPr>
    </w:p>
    <w:p w:rsidR="003B5145" w:rsidRPr="003B5145" w:rsidRDefault="003B5145" w:rsidP="00DB682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5145">
        <w:tab/>
        <w:t>А.</w:t>
      </w:r>
      <w:r w:rsidRPr="003B5145">
        <w:tab/>
        <w:t>Европейская система управления железнодорожным движением (ЕРТМС)</w:t>
      </w:r>
    </w:p>
    <w:p w:rsidR="00DB6825" w:rsidRPr="00DB6825" w:rsidRDefault="00DB6825" w:rsidP="00DB6825">
      <w:pPr>
        <w:pStyle w:val="SingleTxt"/>
        <w:spacing w:after="0" w:line="120" w:lineRule="exact"/>
        <w:rPr>
          <w:sz w:val="10"/>
        </w:rPr>
      </w:pPr>
    </w:p>
    <w:p w:rsidR="00DB6825" w:rsidRPr="00DB6825" w:rsidRDefault="00DB6825" w:rsidP="00DB6825">
      <w:pPr>
        <w:pStyle w:val="SingleTxt"/>
        <w:spacing w:after="0" w:line="120" w:lineRule="exact"/>
        <w:rPr>
          <w:sz w:val="10"/>
        </w:rPr>
      </w:pPr>
    </w:p>
    <w:p w:rsidR="003B5145" w:rsidRPr="003B5145" w:rsidRDefault="003B5145" w:rsidP="003B5145">
      <w:pPr>
        <w:pStyle w:val="SingleTxt"/>
        <w:spacing w:line="240" w:lineRule="atLeast"/>
      </w:pPr>
      <w:r w:rsidRPr="003B5145">
        <w:t>33.</w:t>
      </w:r>
      <w:r w:rsidRPr="003B5145">
        <w:tab/>
        <w:t>В январе Европейская комиссия приняла усовершенствованный набор те</w:t>
      </w:r>
      <w:r w:rsidRPr="003B5145">
        <w:t>х</w:t>
      </w:r>
      <w:r w:rsidRPr="003B5145">
        <w:t>нических требований для ЕРТМС, который стал итогом двухлетнего сотруднич</w:t>
      </w:r>
      <w:r w:rsidRPr="003B5145">
        <w:t>е</w:t>
      </w:r>
      <w:r w:rsidRPr="003B5145">
        <w:t>ства между экспертами в области железнодорожного сообщения. Эти новые те</w:t>
      </w:r>
      <w:r w:rsidRPr="003B5145">
        <w:t>х</w:t>
      </w:r>
      <w:r w:rsidRPr="003B5145">
        <w:t>нические требования (Технические требования к эксплуатационной совместим</w:t>
      </w:r>
      <w:r w:rsidRPr="003B5145">
        <w:t>о</w:t>
      </w:r>
      <w:r w:rsidRPr="003B5145">
        <w:t>сти – ТТЭС) вступили в силу после уведомления государств-членов и стали пр</w:t>
      </w:r>
      <w:r w:rsidRPr="003B5145">
        <w:t>и</w:t>
      </w:r>
      <w:r w:rsidRPr="003B5145">
        <w:t>меняться с июля 2015 года в рамках всей европейской железнодорожной сети.</w:t>
      </w:r>
    </w:p>
    <w:p w:rsidR="003B5145" w:rsidRPr="003B5145" w:rsidRDefault="003B5145" w:rsidP="00DB6825">
      <w:pPr>
        <w:pStyle w:val="SingleTxt"/>
        <w:spacing w:line="240" w:lineRule="atLeast"/>
      </w:pPr>
      <w:r w:rsidRPr="003B5145">
        <w:t>34.</w:t>
      </w:r>
      <w:r w:rsidRPr="003B5145">
        <w:tab/>
        <w:t>В соответствующем решении содержится рекомендованный Европейским железнодорожным агентством (</w:t>
      </w:r>
      <w:r w:rsidR="00DB6825">
        <w:t>«</w:t>
      </w:r>
      <w:r w:rsidRPr="003B5145">
        <w:t>руководящим органом ЕРТМС</w:t>
      </w:r>
      <w:r w:rsidR="00DB6825">
        <w:t>»</w:t>
      </w:r>
      <w:r w:rsidRPr="003B5145">
        <w:t>) набор усове</w:t>
      </w:r>
      <w:r w:rsidRPr="003B5145">
        <w:t>р</w:t>
      </w:r>
      <w:r w:rsidRPr="003B5145">
        <w:t>шенствованных подробных технических требований к системе; его подготовка проводилась в рамках работы, обязательство о проведении которой совместно с Европейским железнодорожным агентством заинтересованные стороны приняли на себя в подписанном ими и Комиссией в Копенгагене в 2012 году меморандуме о взаимопонимании, посвященном реализации положений решения 2012/696/</w:t>
      </w:r>
      <w:r w:rsidRPr="003B5145">
        <w:rPr>
          <w:lang w:val="en-US"/>
        </w:rPr>
        <w:t>EU</w:t>
      </w:r>
      <w:r w:rsidRPr="003B5145">
        <w:t xml:space="preserve">. В этом решении также разъясняются технические требования, предъявляемые ко всей железнодорожной системе ЕС, как это уже было в отношении других ТТЭС (см. </w:t>
      </w:r>
      <w:r w:rsidRPr="003B5145">
        <w:rPr>
          <w:lang w:val="en-US"/>
        </w:rPr>
        <w:t>Rail</w:t>
      </w:r>
      <w:r w:rsidRPr="003B5145">
        <w:t xml:space="preserve"> </w:t>
      </w:r>
      <w:r w:rsidRPr="003B5145">
        <w:rPr>
          <w:lang w:val="en-US"/>
        </w:rPr>
        <w:t>news</w:t>
      </w:r>
      <w:r w:rsidRPr="003B5145">
        <w:t xml:space="preserve"> от 18 ноября 2014 года).</w:t>
      </w:r>
    </w:p>
    <w:p w:rsidR="003B5145" w:rsidRPr="003B5145" w:rsidRDefault="003B5145" w:rsidP="003B5145">
      <w:pPr>
        <w:pStyle w:val="SingleTxt"/>
        <w:spacing w:line="240" w:lineRule="atLeast"/>
      </w:pPr>
      <w:r w:rsidRPr="003B5145">
        <w:t>35.</w:t>
      </w:r>
      <w:r w:rsidRPr="003B5145">
        <w:tab/>
        <w:t>Технические требования к эксплуатационной совместимости (ТТЭС) пр</w:t>
      </w:r>
      <w:r w:rsidRPr="003B5145">
        <w:t>и</w:t>
      </w:r>
      <w:r w:rsidRPr="003B5145">
        <w:t>няты в соответствии с правилами эксплуатац</w:t>
      </w:r>
      <w:r w:rsidR="00FA0173">
        <w:t>ионной совместимости (директ</w:t>
      </w:r>
      <w:r w:rsidR="00FA0173">
        <w:t>и</w:t>
      </w:r>
      <w:r w:rsidR="00FA0173">
        <w:t>ва </w:t>
      </w:r>
      <w:r w:rsidRPr="003B5145">
        <w:t>2008/57/EC); они определяют технические и эксплуатационные нормы, кот</w:t>
      </w:r>
      <w:r w:rsidRPr="003B5145">
        <w:t>о</w:t>
      </w:r>
      <w:r w:rsidRPr="003B5145">
        <w:t>рые должны соблюдаться для обеспечения движения поездов на территории Е</w:t>
      </w:r>
      <w:r w:rsidRPr="003B5145">
        <w:t>в</w:t>
      </w:r>
      <w:r w:rsidRPr="003B5145">
        <w:t>ропы без технических проблем и в соответствии с основными требованиями (по эксплуатационной безопасности, надежности и работоспособности, а также с</w:t>
      </w:r>
      <w:r w:rsidRPr="003B5145">
        <w:t>о</w:t>
      </w:r>
      <w:r w:rsidRPr="003B5145">
        <w:t>блюдению санитарных норм, норм охраны окружающей среды, технической со</w:t>
      </w:r>
      <w:r w:rsidRPr="003B5145">
        <w:t>в</w:t>
      </w:r>
      <w:r w:rsidRPr="003B5145">
        <w:t>местимости и доступности). ТТЭС охватывают все аспекты железнодорожных систем, например инфраструктуру, энергоснабжение, подвижной состав, сигн</w:t>
      </w:r>
      <w:r w:rsidRPr="003B5145">
        <w:t>а</w:t>
      </w:r>
      <w:r w:rsidRPr="003B5145">
        <w:t>лизацию, управление железнодорожными перевозками, организацию движения, приложения для управления дорожным движением и телематические прилож</w:t>
      </w:r>
      <w:r w:rsidRPr="003B5145">
        <w:t>е</w:t>
      </w:r>
      <w:r w:rsidRPr="003B5145">
        <w:t xml:space="preserve">ния для пассажирских и грузовых перевозок. </w:t>
      </w:r>
    </w:p>
    <w:p w:rsidR="00DB6825" w:rsidRPr="00DB6825" w:rsidRDefault="00DB6825" w:rsidP="00DB6825">
      <w:pPr>
        <w:pStyle w:val="SingleTxt"/>
        <w:spacing w:after="0" w:line="120" w:lineRule="exact"/>
        <w:rPr>
          <w:b/>
          <w:sz w:val="10"/>
        </w:rPr>
      </w:pPr>
    </w:p>
    <w:p w:rsidR="00DB6825" w:rsidRPr="00DB6825" w:rsidRDefault="00DB6825" w:rsidP="00DB6825">
      <w:pPr>
        <w:pStyle w:val="SingleTxt"/>
        <w:spacing w:after="0" w:line="120" w:lineRule="exact"/>
        <w:rPr>
          <w:b/>
          <w:sz w:val="10"/>
        </w:rPr>
      </w:pPr>
    </w:p>
    <w:p w:rsidR="003B5145" w:rsidRPr="003B5145" w:rsidRDefault="003B5145" w:rsidP="00DB6825">
      <w:pPr>
        <w:pStyle w:val="H1"/>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5145">
        <w:lastRenderedPageBreak/>
        <w:tab/>
        <w:t>В.</w:t>
      </w:r>
      <w:r w:rsidRPr="003B5145">
        <w:tab/>
        <w:t>Права железнодорожных пассажиров</w:t>
      </w:r>
    </w:p>
    <w:p w:rsidR="00DB6825" w:rsidRPr="00DB6825" w:rsidRDefault="00DB6825" w:rsidP="00DB6825">
      <w:pPr>
        <w:pStyle w:val="SingleTxt"/>
        <w:keepNext/>
        <w:spacing w:after="0" w:line="120" w:lineRule="exact"/>
        <w:rPr>
          <w:sz w:val="10"/>
        </w:rPr>
      </w:pPr>
    </w:p>
    <w:p w:rsidR="00DB6825" w:rsidRPr="00DB6825" w:rsidRDefault="00DB6825" w:rsidP="00DB6825">
      <w:pPr>
        <w:pStyle w:val="SingleTxt"/>
        <w:keepNext/>
        <w:spacing w:after="0" w:line="120" w:lineRule="exact"/>
        <w:rPr>
          <w:sz w:val="10"/>
        </w:rPr>
      </w:pPr>
    </w:p>
    <w:p w:rsidR="003B5145" w:rsidRPr="003B5145" w:rsidRDefault="003B5145" w:rsidP="00DB6825">
      <w:pPr>
        <w:pStyle w:val="SingleTxt"/>
        <w:keepNext/>
        <w:spacing w:line="240" w:lineRule="atLeast"/>
      </w:pPr>
      <w:r w:rsidRPr="003B5145">
        <w:t>36.</w:t>
      </w:r>
      <w:r w:rsidRPr="003B5145">
        <w:tab/>
        <w:t>В марте Комиссия выпустила доклад о правах железнодорожных пассаж</w:t>
      </w:r>
      <w:r w:rsidRPr="003B5145">
        <w:t>и</w:t>
      </w:r>
      <w:r w:rsidRPr="003B5145">
        <w:t xml:space="preserve">ров. </w:t>
      </w:r>
    </w:p>
    <w:p w:rsidR="003B5145" w:rsidRPr="003B5145" w:rsidRDefault="003B5145" w:rsidP="003B5145">
      <w:pPr>
        <w:pStyle w:val="SingleTxt"/>
        <w:spacing w:line="240" w:lineRule="atLeast"/>
      </w:pPr>
      <w:r w:rsidRPr="003B5145">
        <w:t>37.</w:t>
      </w:r>
      <w:r w:rsidRPr="003B5145">
        <w:tab/>
        <w:t>В докладе содержится фактологический обзор положения дел с применен</w:t>
      </w:r>
      <w:r w:rsidRPr="003B5145">
        <w:t>и</w:t>
      </w:r>
      <w:r w:rsidRPr="003B5145">
        <w:t>ем на национальном уровне исключений в отношении установленных ЕС прав пассажиров железнодорожного транспорта за последние пять лет, т.е. со времени вступления в силу соответствующего Регламента 3 декабря 2009 года. Прогноз о применении соответствующих правил в будущем, т.е. о возобновлении действия исключений, основан на информации государств-членов и может быть изменен в будущем.</w:t>
      </w:r>
    </w:p>
    <w:p w:rsidR="003B5145" w:rsidRPr="003B5145" w:rsidRDefault="003B5145" w:rsidP="003B5145">
      <w:pPr>
        <w:pStyle w:val="SingleTxt"/>
        <w:spacing w:line="240" w:lineRule="atLeast"/>
      </w:pPr>
      <w:r w:rsidRPr="003B5145">
        <w:t>38.</w:t>
      </w:r>
      <w:r w:rsidRPr="003B5145">
        <w:tab/>
        <w:t>За прошедшие пять лет Регламент о правах железнодорожных пассажиров в полном объеме применяли только четыре государства-члена, в то время как 22</w:t>
      </w:r>
      <w:r>
        <w:rPr>
          <w:lang w:val="en-US"/>
        </w:rPr>
        <w:t> </w:t>
      </w:r>
      <w:r w:rsidRPr="003B5145">
        <w:t>государства в той или иной степени предоставляли исключения. В докладе также подчеркивается, что слишком широкие исключения стали причиной пр</w:t>
      </w:r>
      <w:r w:rsidRPr="003B5145">
        <w:t>а</w:t>
      </w:r>
      <w:r w:rsidRPr="003B5145">
        <w:t>вовой незащищенности как пассажиров, так и железнодорожной отрасли в целом. В отношении дальнейших перспектив в этой связи в докладе сделан вывод о том, что в ближайшем будущем эти правила будут применяться в полном объеме только еще одним государством-членом. Следовательно, создание одинаковых условий для железнодорожных предприятий и обеспечение высокого уровня з</w:t>
      </w:r>
      <w:r w:rsidRPr="003B5145">
        <w:t>а</w:t>
      </w:r>
      <w:r w:rsidRPr="003B5145">
        <w:t>щиты пассажиров в ЕС еще далеки от практической реализации.</w:t>
      </w:r>
    </w:p>
    <w:p w:rsidR="003B5145" w:rsidRPr="003B5145" w:rsidRDefault="003B5145" w:rsidP="003B5145">
      <w:pPr>
        <w:pStyle w:val="SingleTxt"/>
        <w:spacing w:line="240" w:lineRule="atLeast"/>
      </w:pPr>
      <w:r w:rsidRPr="003B5145">
        <w:t>39.</w:t>
      </w:r>
      <w:r w:rsidRPr="003B5145">
        <w:tab/>
        <w:t>Правила, касающиеся прав пассажиров, в принципе применяются ко всем предоставляемым в ЕС услугам железнодорожной перевозки пассажиров. Вместе с тем Регламент предоставляет государствам-членам возможность делать искл</w:t>
      </w:r>
      <w:r w:rsidRPr="003B5145">
        <w:t>ю</w:t>
      </w:r>
      <w:r w:rsidRPr="003B5145">
        <w:t>чения для некоторых национальных служб</w:t>
      </w:r>
      <w:r w:rsidRPr="003B5145">
        <w:rPr>
          <w:vertAlign w:val="superscript"/>
        </w:rPr>
        <w:footnoteReference w:id="2"/>
      </w:r>
      <w:r w:rsidRPr="003B5145">
        <w:t xml:space="preserve"> либо в целях облегчения постепенн</w:t>
      </w:r>
      <w:r w:rsidRPr="003B5145">
        <w:t>о</w:t>
      </w:r>
      <w:r w:rsidRPr="003B5145">
        <w:t>го перехода на применение Регламента, либо для учета конкретных условий предоставления некоторых видов услуг, в первую очередь на городском, приг</w:t>
      </w:r>
      <w:r w:rsidRPr="003B5145">
        <w:t>о</w:t>
      </w:r>
      <w:r w:rsidRPr="003B5145">
        <w:t>родном и региональном уровнях. К числу железнодорожных услуг, в отношении которых могут быть сделаны исключения, относятся:</w:t>
      </w:r>
    </w:p>
    <w:p w:rsidR="003B5145" w:rsidRPr="003B5145" w:rsidRDefault="003B5145" w:rsidP="003B5145">
      <w:pPr>
        <w:pStyle w:val="SingleTxt"/>
        <w:spacing w:line="240" w:lineRule="atLeast"/>
      </w:pPr>
      <w:r w:rsidRPr="003B5145">
        <w:tab/>
        <w:t>а)</w:t>
      </w:r>
      <w:r w:rsidRPr="003B5145">
        <w:tab/>
        <w:t>услуги, предоставляемые внутри страны, не более чем на 5-летний п</w:t>
      </w:r>
      <w:r w:rsidRPr="003B5145">
        <w:t>е</w:t>
      </w:r>
      <w:r w:rsidRPr="003B5145">
        <w:t>риод, который может быть продлен дважды;</w:t>
      </w:r>
    </w:p>
    <w:p w:rsidR="003B5145" w:rsidRPr="003B5145" w:rsidRDefault="003B5145" w:rsidP="003B5145">
      <w:pPr>
        <w:pStyle w:val="SingleTxt"/>
        <w:spacing w:line="240" w:lineRule="atLeast"/>
      </w:pPr>
      <w:r w:rsidRPr="003B5145">
        <w:tab/>
      </w:r>
      <w:r w:rsidRPr="003B5145">
        <w:rPr>
          <w:lang w:val="en-US"/>
        </w:rPr>
        <w:t>b</w:t>
      </w:r>
      <w:r w:rsidRPr="003B5145">
        <w:t>)</w:t>
      </w:r>
      <w:r w:rsidRPr="003B5145">
        <w:tab/>
        <w:t>городские, пригородные и региональные услуги;</w:t>
      </w:r>
    </w:p>
    <w:p w:rsidR="003B5145" w:rsidRPr="003B5145" w:rsidRDefault="003B5145" w:rsidP="003B5145">
      <w:pPr>
        <w:pStyle w:val="SingleTxt"/>
        <w:spacing w:line="240" w:lineRule="atLeast"/>
      </w:pPr>
      <w:r w:rsidRPr="003B5145">
        <w:tab/>
        <w:t>с)</w:t>
      </w:r>
      <w:r w:rsidRPr="003B5145">
        <w:tab/>
        <w:t>услуги или поездки, значительная часть которых приходится на терр</w:t>
      </w:r>
      <w:r w:rsidRPr="003B5145">
        <w:t>и</w:t>
      </w:r>
      <w:r w:rsidRPr="003B5145">
        <w:t>торию за пределами ЕС, не более чем на 5-летний период. Действие этого и</w:t>
      </w:r>
      <w:r w:rsidRPr="003B5145">
        <w:t>с</w:t>
      </w:r>
      <w:r w:rsidRPr="003B5145">
        <w:t xml:space="preserve">ключения может быть продлено. </w:t>
      </w:r>
    </w:p>
    <w:p w:rsidR="003B5145" w:rsidRPr="003B5145" w:rsidRDefault="003B5145" w:rsidP="003B5145">
      <w:pPr>
        <w:pStyle w:val="SingleTxt"/>
        <w:spacing w:line="240" w:lineRule="atLeast"/>
      </w:pPr>
      <w:r w:rsidRPr="003B5145">
        <w:t>40.</w:t>
      </w:r>
      <w:r w:rsidRPr="003B5145">
        <w:tab/>
        <w:t>3 июля 2015 года Комиссия приняла Руководящие принципы с толкованием регламента 1371/2007 (</w:t>
      </w:r>
      <w:r w:rsidRPr="003B5145">
        <w:rPr>
          <w:lang w:val="en-US"/>
        </w:rPr>
        <w:t>JO</w:t>
      </w:r>
      <w:r w:rsidRPr="003B5145">
        <w:t xml:space="preserve"> С 220, 4 июля 2015 года, стр. 1) для внесения ясности и усиления работы по применению и обеспечению применения в Европейском союзе прав железнодорожных пассажиров. В основу Руководящих принципов положена подробная оценка применения Регламента и соответствующей практ</w:t>
      </w:r>
      <w:r w:rsidRPr="003B5145">
        <w:t>и</w:t>
      </w:r>
      <w:r w:rsidRPr="003B5145">
        <w:t>ки его применения. Их целью является облегчение железнодорожных поездок в интересах пассажиров, включая инвалидов и лиц с ограниченной мобильностью, и оказание в этой</w:t>
      </w:r>
      <w:r w:rsidR="00951E2D">
        <w:t xml:space="preserve"> связи помощи железнодорожным ко</w:t>
      </w:r>
      <w:r w:rsidRPr="003B5145">
        <w:t>мпаниям и руководству ж</w:t>
      </w:r>
      <w:r w:rsidRPr="003B5145">
        <w:t>е</w:t>
      </w:r>
      <w:r w:rsidRPr="003B5145">
        <w:t>лезнодорожных станций в целях совершенствования практики применения Р</w:t>
      </w:r>
      <w:r w:rsidRPr="003B5145">
        <w:t>е</w:t>
      </w:r>
      <w:r w:rsidRPr="003B5145">
        <w:t>гламента. Они также направлены на совершенствование правоприменительной деятельности национальных органов.</w:t>
      </w:r>
    </w:p>
    <w:p w:rsidR="003B5145" w:rsidRPr="003B5145" w:rsidRDefault="003B5145" w:rsidP="00DB6825">
      <w:pPr>
        <w:pStyle w:val="SingleTxt"/>
        <w:keepNext/>
        <w:spacing w:line="240" w:lineRule="atLeast"/>
      </w:pPr>
      <w:r w:rsidRPr="003B5145">
        <w:lastRenderedPageBreak/>
        <w:t>41.</w:t>
      </w:r>
      <w:r w:rsidRPr="003B5145">
        <w:tab/>
        <w:t>Руководящие принципы вносят ясность в такие положения Регламента, как:</w:t>
      </w:r>
    </w:p>
    <w:p w:rsidR="00DB6825" w:rsidRPr="00DB6825" w:rsidRDefault="00DB6825" w:rsidP="00DB6825">
      <w:pPr>
        <w:pStyle w:val="SingleTxt"/>
        <w:keepNext/>
        <w:spacing w:after="0" w:line="120" w:lineRule="exact"/>
        <w:rPr>
          <w:b/>
          <w:sz w:val="10"/>
        </w:rPr>
      </w:pPr>
    </w:p>
    <w:p w:rsidR="003B5145" w:rsidRPr="003B5145" w:rsidRDefault="003B5145" w:rsidP="00DB68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5145">
        <w:tab/>
        <w:t>1.</w:t>
      </w:r>
      <w:r w:rsidRPr="003B5145">
        <w:tab/>
        <w:t>Сфера применения Регламента и исключений, предоставляемых государствами-членами</w:t>
      </w:r>
    </w:p>
    <w:p w:rsidR="00DB6825" w:rsidRPr="00DB6825" w:rsidRDefault="00DB6825" w:rsidP="00DB6825">
      <w:pPr>
        <w:pStyle w:val="SingleTxt"/>
        <w:spacing w:after="0" w:line="120" w:lineRule="exact"/>
        <w:rPr>
          <w:sz w:val="10"/>
        </w:rPr>
      </w:pPr>
    </w:p>
    <w:p w:rsidR="003B5145" w:rsidRPr="003B5145" w:rsidRDefault="003B5145" w:rsidP="003B5145">
      <w:pPr>
        <w:pStyle w:val="SingleTxt"/>
        <w:spacing w:line="240" w:lineRule="atLeast"/>
      </w:pPr>
      <w:r w:rsidRPr="003B5145">
        <w:t>42.</w:t>
      </w:r>
      <w:r w:rsidRPr="003B5145">
        <w:tab/>
        <w:t xml:space="preserve">Для обеспечения единообразного подхода к защите прав железнодорожных пассажиров во всех странах ЕС Комиссия рекомендует делать исключения только в течение того периода времени, который необходим для постепенного перехода к применению Регламента в полном объеме и лишь в связи с предоставлением некоторых конкретных услуг. </w:t>
      </w:r>
    </w:p>
    <w:p w:rsidR="00DB6825" w:rsidRPr="00DB6825" w:rsidRDefault="00DB6825" w:rsidP="00DB6825">
      <w:pPr>
        <w:pStyle w:val="SingleTxt"/>
        <w:spacing w:after="0" w:line="120" w:lineRule="exact"/>
        <w:rPr>
          <w:b/>
          <w:sz w:val="10"/>
        </w:rPr>
      </w:pPr>
    </w:p>
    <w:p w:rsidR="003B5145" w:rsidRPr="003B5145" w:rsidRDefault="003B5145" w:rsidP="00DB68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5145">
        <w:tab/>
        <w:t>2.</w:t>
      </w:r>
      <w:r w:rsidRPr="003B5145">
        <w:tab/>
        <w:t>Вопросы, касающиеся договора перевозки, информации и билетов</w:t>
      </w:r>
    </w:p>
    <w:p w:rsidR="00DB6825" w:rsidRPr="00DB6825" w:rsidRDefault="00DB6825" w:rsidP="00DB6825">
      <w:pPr>
        <w:pStyle w:val="SingleTxt"/>
        <w:spacing w:after="0" w:line="120" w:lineRule="exact"/>
        <w:rPr>
          <w:sz w:val="10"/>
        </w:rPr>
      </w:pPr>
    </w:p>
    <w:p w:rsidR="003B5145" w:rsidRPr="003B5145" w:rsidRDefault="003B5145" w:rsidP="003B5145">
      <w:pPr>
        <w:pStyle w:val="SingleTxt"/>
        <w:spacing w:line="240" w:lineRule="atLeast"/>
      </w:pPr>
      <w:r w:rsidRPr="003B5145">
        <w:t>43.</w:t>
      </w:r>
      <w:r w:rsidRPr="003B5145">
        <w:tab/>
        <w:t>В Руководящих принципах подчеркнута важность предоставления пассаж</w:t>
      </w:r>
      <w:r w:rsidRPr="003B5145">
        <w:t>и</w:t>
      </w:r>
      <w:r w:rsidRPr="003B5145">
        <w:t>рам всеми сторонами информации о поездке, тарифах и порядке приобретения билетов, включая альтернативные варианты для инвалидов. Предоставление ш</w:t>
      </w:r>
      <w:r w:rsidRPr="003B5145">
        <w:t>и</w:t>
      </w:r>
      <w:r w:rsidRPr="003B5145">
        <w:t>роких возможностей для приобретения билетов через различные каналы продажи должно обеспечить пассажирам всех категорий возможность приобретения бил</w:t>
      </w:r>
      <w:r w:rsidRPr="003B5145">
        <w:t>е</w:t>
      </w:r>
      <w:r w:rsidRPr="003B5145">
        <w:t xml:space="preserve">тов по низким тарифам. </w:t>
      </w:r>
    </w:p>
    <w:p w:rsidR="00DB6825" w:rsidRPr="00DB6825" w:rsidRDefault="00DB6825" w:rsidP="00DB6825">
      <w:pPr>
        <w:pStyle w:val="SingleTxt"/>
        <w:spacing w:after="0" w:line="120" w:lineRule="exact"/>
        <w:rPr>
          <w:b/>
          <w:sz w:val="10"/>
        </w:rPr>
      </w:pPr>
    </w:p>
    <w:p w:rsidR="003B5145" w:rsidRPr="003B5145" w:rsidRDefault="003B5145" w:rsidP="00DB68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5145">
        <w:tab/>
        <w:t>3.</w:t>
      </w:r>
      <w:r w:rsidRPr="003B5145">
        <w:tab/>
        <w:t>Задержки, аннулирование рейсов и опоздание на пересадку</w:t>
      </w:r>
    </w:p>
    <w:p w:rsidR="00DB6825" w:rsidRPr="00DB6825" w:rsidRDefault="00DB6825" w:rsidP="00DB6825">
      <w:pPr>
        <w:pStyle w:val="SingleTxt"/>
        <w:spacing w:after="0" w:line="120" w:lineRule="exact"/>
        <w:rPr>
          <w:sz w:val="10"/>
        </w:rPr>
      </w:pPr>
    </w:p>
    <w:p w:rsidR="003B5145" w:rsidRPr="003B5145" w:rsidRDefault="003B5145" w:rsidP="003B5145">
      <w:pPr>
        <w:pStyle w:val="SingleTxt"/>
        <w:spacing w:line="240" w:lineRule="atLeast"/>
      </w:pPr>
      <w:r w:rsidRPr="003B5145">
        <w:t>44.</w:t>
      </w:r>
      <w:r w:rsidRPr="003B5145">
        <w:tab/>
        <w:t>В Руководящих принципах разъяснены права пассажиров в случае возни</w:t>
      </w:r>
      <w:r w:rsidRPr="003B5145">
        <w:t>к</w:t>
      </w:r>
      <w:r w:rsidRPr="003B5145">
        <w:t>новения затруднений с поездкой. В отношении поездок с пересадками Комиссия напоминает железнодорожным компаниям о необходимости предлагать сквозные билеты, хотя такие сквозные билеты могут также предоставляться в форме бил</w:t>
      </w:r>
      <w:r w:rsidRPr="003B5145">
        <w:t>е</w:t>
      </w:r>
      <w:r w:rsidRPr="003B5145">
        <w:t>тов на отдельные рейсы. Таким образом, в случае задержки прибытия к конечн</w:t>
      </w:r>
      <w:r w:rsidRPr="003B5145">
        <w:t>о</w:t>
      </w:r>
      <w:r w:rsidRPr="003B5145">
        <w:t xml:space="preserve">му пункту назначения более чем на 60 минут, пассажиры, приобретшие билеты на отдельные рейсы в рамках одного договора перевозки, имеют равные права на информацию, помощь, изменение маршрута, возмещение или компенсацию, что и пассажиры с разовым билетом. </w:t>
      </w:r>
    </w:p>
    <w:p w:rsidR="00DB6825" w:rsidRPr="00DB6825" w:rsidRDefault="00DB6825" w:rsidP="00DB6825">
      <w:pPr>
        <w:pStyle w:val="SingleTxt"/>
        <w:spacing w:after="0" w:line="120" w:lineRule="exact"/>
        <w:rPr>
          <w:b/>
          <w:sz w:val="10"/>
        </w:rPr>
      </w:pPr>
    </w:p>
    <w:p w:rsidR="003B5145" w:rsidRPr="003B5145" w:rsidRDefault="003B5145" w:rsidP="00DB68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5145">
        <w:tab/>
        <w:t>4.</w:t>
      </w:r>
      <w:r w:rsidRPr="003B5145">
        <w:tab/>
        <w:t>Права инвалидов или лиц с ограниченной мобильностью</w:t>
      </w:r>
    </w:p>
    <w:p w:rsidR="00DB6825" w:rsidRPr="00DB6825" w:rsidRDefault="00DB6825" w:rsidP="00DB6825">
      <w:pPr>
        <w:pStyle w:val="SingleTxt"/>
        <w:spacing w:after="0" w:line="120" w:lineRule="exact"/>
        <w:rPr>
          <w:sz w:val="10"/>
        </w:rPr>
      </w:pPr>
    </w:p>
    <w:p w:rsidR="003B5145" w:rsidRPr="003B5145" w:rsidRDefault="003B5145" w:rsidP="003B5145">
      <w:pPr>
        <w:pStyle w:val="SingleTxt"/>
        <w:spacing w:line="240" w:lineRule="atLeast"/>
      </w:pPr>
      <w:r w:rsidRPr="003B5145">
        <w:t>45.</w:t>
      </w:r>
      <w:r w:rsidRPr="003B5145">
        <w:tab/>
        <w:t xml:space="preserve">В </w:t>
      </w:r>
      <w:r w:rsidR="00951E2D" w:rsidRPr="003B5145">
        <w:t xml:space="preserve">Руководящих </w:t>
      </w:r>
      <w:r w:rsidRPr="003B5145">
        <w:t>принципах разъяснено, что железнодорожные компании не имеют права требовать предоставления медицинских свидетельств в качестве предварительного условия для продажи билета или допуска инвалидов или лиц с ограниченной мобильностью к использованию железнодорожных услуг либо для обоснования просьбы в оказании помощи. Комиссия также настаивает на пров</w:t>
      </w:r>
      <w:r w:rsidRPr="003B5145">
        <w:t>е</w:t>
      </w:r>
      <w:r w:rsidRPr="003B5145">
        <w:t xml:space="preserve">дении достаточной подготовки персонала в целях его информирования о правах инвалидов. </w:t>
      </w:r>
    </w:p>
    <w:p w:rsidR="00DB6825" w:rsidRPr="00DB6825" w:rsidRDefault="00DB6825" w:rsidP="00DB6825">
      <w:pPr>
        <w:pStyle w:val="SingleTxt"/>
        <w:spacing w:after="0" w:line="120" w:lineRule="exact"/>
        <w:rPr>
          <w:b/>
          <w:sz w:val="10"/>
        </w:rPr>
      </w:pPr>
    </w:p>
    <w:p w:rsidR="003B5145" w:rsidRPr="003B5145" w:rsidRDefault="003B5145" w:rsidP="00DB68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5145">
        <w:tab/>
        <w:t>5.</w:t>
      </w:r>
      <w:r w:rsidRPr="003B5145">
        <w:tab/>
        <w:t>Рассмотрение жалоб, обеспечение применения и сотрудничество между национальными органами</w:t>
      </w:r>
    </w:p>
    <w:p w:rsidR="00DB6825" w:rsidRPr="00DB6825" w:rsidRDefault="00DB6825" w:rsidP="00DB6825">
      <w:pPr>
        <w:pStyle w:val="SingleTxt"/>
        <w:spacing w:after="0" w:line="120" w:lineRule="exact"/>
        <w:rPr>
          <w:sz w:val="10"/>
        </w:rPr>
      </w:pPr>
    </w:p>
    <w:p w:rsidR="003B5145" w:rsidRPr="003B5145" w:rsidRDefault="003B5145" w:rsidP="003B5145">
      <w:pPr>
        <w:pStyle w:val="SingleTxt"/>
        <w:spacing w:line="240" w:lineRule="atLeast"/>
      </w:pPr>
      <w:r w:rsidRPr="003B5145">
        <w:t>46.</w:t>
      </w:r>
      <w:r w:rsidRPr="003B5145">
        <w:tab/>
        <w:t>Компании создали надлежащие механизмы по рассмотрению жалоб и ре</w:t>
      </w:r>
      <w:r w:rsidRPr="003B5145">
        <w:t>а</w:t>
      </w:r>
      <w:r w:rsidRPr="003B5145">
        <w:t>гируют на жалобы пассажиров в пределах жестко установленных сроков. Наци</w:t>
      </w:r>
      <w:r w:rsidRPr="003B5145">
        <w:t>о</w:t>
      </w:r>
      <w:r w:rsidRPr="003B5145">
        <w:t>нальные органы должны иметь достаточное оснащение и персонал для получ</w:t>
      </w:r>
      <w:r w:rsidRPr="003B5145">
        <w:t>е</w:t>
      </w:r>
      <w:r w:rsidRPr="003B5145">
        <w:t>ния и рассмотрения жалоб граждан и осуществления сотрудничества в случае жалоб пассажиров трансграничного сообщения. У них также должны быть д</w:t>
      </w:r>
      <w:r w:rsidRPr="003B5145">
        <w:t>о</w:t>
      </w:r>
      <w:r w:rsidRPr="003B5145">
        <w:t>статочные средства для обеспечения соблюдения Регламента и, при необходим</w:t>
      </w:r>
      <w:r w:rsidRPr="003B5145">
        <w:t>о</w:t>
      </w:r>
      <w:r w:rsidRPr="003B5145">
        <w:t xml:space="preserve">сти, применения санкций за его нарушение. </w:t>
      </w:r>
    </w:p>
    <w:p w:rsidR="003B5145" w:rsidRPr="003B5145" w:rsidRDefault="003B5145" w:rsidP="003B5145">
      <w:pPr>
        <w:pStyle w:val="SingleTxt"/>
        <w:spacing w:line="240" w:lineRule="atLeast"/>
      </w:pPr>
      <w:r w:rsidRPr="003B5145">
        <w:t>47.</w:t>
      </w:r>
      <w:r w:rsidRPr="003B5145">
        <w:tab/>
        <w:t>В 2015 году Комиссия выпустила дополнительное исследование, посвяще</w:t>
      </w:r>
      <w:r w:rsidRPr="003B5145">
        <w:t>н</w:t>
      </w:r>
      <w:r w:rsidRPr="003B5145">
        <w:t xml:space="preserve">ное издержкам и вкладу железнодорожного сектора. </w:t>
      </w:r>
    </w:p>
    <w:p w:rsidR="003B5145" w:rsidRPr="003B5145" w:rsidRDefault="003B5145" w:rsidP="00951E2D">
      <w:pPr>
        <w:pStyle w:val="SingleTxt"/>
        <w:keepLines/>
        <w:spacing w:line="240" w:lineRule="atLeast"/>
      </w:pPr>
      <w:r w:rsidRPr="003B5145">
        <w:lastRenderedPageBreak/>
        <w:t>48.</w:t>
      </w:r>
      <w:r w:rsidRPr="003B5145">
        <w:tab/>
        <w:t>Железнодорожный сектор вносит существенный вклад в экономику ЕС; к</w:t>
      </w:r>
      <w:r w:rsidRPr="003B5145">
        <w:t>о</w:t>
      </w:r>
      <w:r w:rsidRPr="003B5145">
        <w:t>личество непосредственно занятых в этом секторе работников для обслуживания пассажирских и грузовых перевозок, а также путевого и станционного хозяйства составляет 577 000 человек. Согласно некоторым оценкам в случае полного учета всей цепочки поставок для обслуживания железнодорожных перевозок (напр</w:t>
      </w:r>
      <w:r w:rsidRPr="003B5145">
        <w:t>и</w:t>
      </w:r>
      <w:r w:rsidRPr="003B5145">
        <w:t>мер, включая изготовление поездов, услуги питания и т.д.) вклад железнодоро</w:t>
      </w:r>
      <w:r w:rsidRPr="003B5145">
        <w:t>ж</w:t>
      </w:r>
      <w:r w:rsidRPr="003B5145">
        <w:t>ного сектора в экономику Европы равнозначен 2,3 млн. занятых и 143</w:t>
      </w:r>
      <w:r w:rsidR="00AA108E">
        <w:t> млрд. </w:t>
      </w:r>
      <w:r w:rsidRPr="003B5145">
        <w:t>евро валовой добавленной стоимости (около 1,1% от общего показателя). Кроме того, он имеет крайне важное значение для стратегий ЕС по укреплению социально-экономической сплоченности и взаимодействия в пределах государств-участников и между ними.</w:t>
      </w:r>
    </w:p>
    <w:p w:rsidR="003B5145" w:rsidRPr="003B5145" w:rsidRDefault="003B5145" w:rsidP="003B5145">
      <w:pPr>
        <w:pStyle w:val="SingleTxt"/>
        <w:spacing w:line="240" w:lineRule="atLeast"/>
      </w:pPr>
      <w:r w:rsidRPr="003B5145">
        <w:t>49.</w:t>
      </w:r>
      <w:r w:rsidRPr="003B5145">
        <w:tab/>
        <w:t>В этом исследовании содержатся следующие ключевые выводы:</w:t>
      </w:r>
    </w:p>
    <w:p w:rsidR="003B5145" w:rsidRPr="003B5145" w:rsidRDefault="00791E5D" w:rsidP="00951E2D">
      <w:pPr>
        <w:pStyle w:val="SingleTxt"/>
        <w:tabs>
          <w:tab w:val="right" w:pos="1685"/>
        </w:tabs>
        <w:spacing w:line="240" w:lineRule="atLeast"/>
        <w:ind w:left="1742" w:hanging="475"/>
      </w:pPr>
      <w:r w:rsidRPr="00DB6825">
        <w:rPr>
          <w:noProof/>
          <w:lang w:val="en-US" w:eastAsia="en-US"/>
        </w:rPr>
        <mc:AlternateContent>
          <mc:Choice Requires="wps">
            <w:drawing>
              <wp:anchor distT="0" distB="0" distL="114300" distR="114300" simplePos="0" relativeHeight="251694080" behindDoc="0" locked="0" layoutInCell="1" allowOverlap="1" wp14:anchorId="1B838139" wp14:editId="1F011A5C">
                <wp:simplePos x="0" y="0"/>
                <wp:positionH relativeFrom="column">
                  <wp:posOffset>4363085</wp:posOffset>
                </wp:positionH>
                <wp:positionV relativeFrom="paragraph">
                  <wp:posOffset>752475</wp:posOffset>
                </wp:positionV>
                <wp:extent cx="1941830" cy="1169670"/>
                <wp:effectExtent l="0" t="0" r="0" b="0"/>
                <wp:wrapNone/>
                <wp:docPr id="17" name="Поле 14"/>
                <wp:cNvGraphicFramePr/>
                <a:graphic xmlns:a="http://schemas.openxmlformats.org/drawingml/2006/main">
                  <a:graphicData uri="http://schemas.microsoft.com/office/word/2010/wordprocessingShape">
                    <wps:wsp>
                      <wps:cNvSpPr txBox="1"/>
                      <wps:spPr>
                        <a:xfrm>
                          <a:off x="0" y="0"/>
                          <a:ext cx="1941830" cy="1169670"/>
                        </a:xfrm>
                        <a:prstGeom prst="rect">
                          <a:avLst/>
                        </a:prstGeom>
                        <a:noFill/>
                        <a:ln w="6350">
                          <a:noFill/>
                        </a:ln>
                        <a:effectLst/>
                      </wps:spPr>
                      <wps:txbx>
                        <w:txbxContent>
                          <w:p w:rsidR="00DB6825" w:rsidRPr="00DB6825" w:rsidRDefault="00791E5D" w:rsidP="00DB6825">
                            <w:pPr>
                              <w:jc w:val="center"/>
                              <w:rPr>
                                <w:b/>
                                <w:bCs/>
                                <w:color w:val="244061" w:themeColor="accent1" w:themeShade="80"/>
                                <w:sz w:val="22"/>
                              </w:rPr>
                            </w:pPr>
                            <w:r>
                              <w:rPr>
                                <w:b/>
                                <w:bCs/>
                                <w:color w:val="244061" w:themeColor="accent1" w:themeShade="80"/>
                                <w:sz w:val="22"/>
                              </w:rPr>
                              <w:t>Единое железнодорожное право</w:t>
                            </w:r>
                          </w:p>
                          <w:p w:rsidR="00DB6825" w:rsidRDefault="00791E5D" w:rsidP="00DB6825">
                            <w:pPr>
                              <w:jc w:val="center"/>
                              <w:rPr>
                                <w:b/>
                                <w:bCs/>
                                <w:color w:val="244061" w:themeColor="accent1" w:themeShade="80"/>
                                <w:sz w:val="22"/>
                              </w:rPr>
                            </w:pPr>
                            <w:r>
                              <w:rPr>
                                <w:b/>
                                <w:bCs/>
                                <w:color w:val="244061" w:themeColor="accent1" w:themeShade="80"/>
                                <w:sz w:val="22"/>
                              </w:rPr>
                              <w:t xml:space="preserve">Безопасность </w:t>
                            </w:r>
                            <w:r>
                              <w:rPr>
                                <w:b/>
                                <w:bCs/>
                                <w:color w:val="244061" w:themeColor="accent1" w:themeShade="80"/>
                                <w:sz w:val="22"/>
                              </w:rPr>
                              <w:br/>
                              <w:t xml:space="preserve">железнодорожных </w:t>
                            </w:r>
                            <w:r>
                              <w:rPr>
                                <w:b/>
                                <w:bCs/>
                                <w:color w:val="244061" w:themeColor="accent1" w:themeShade="80"/>
                                <w:sz w:val="22"/>
                              </w:rPr>
                              <w:br/>
                              <w:t>перевозок</w:t>
                            </w:r>
                          </w:p>
                          <w:p w:rsidR="00791E5D" w:rsidRPr="00DB6825" w:rsidRDefault="00791E5D" w:rsidP="00DB6825">
                            <w:pPr>
                              <w:jc w:val="center"/>
                              <w:rPr>
                                <w:b/>
                                <w:bCs/>
                                <w:color w:val="244061" w:themeColor="accent1" w:themeShade="80"/>
                                <w:sz w:val="22"/>
                              </w:rPr>
                            </w:pPr>
                            <w:r>
                              <w:rPr>
                                <w:b/>
                                <w:bCs/>
                                <w:color w:val="244061" w:themeColor="accent1" w:themeShade="80"/>
                                <w:sz w:val="22"/>
                              </w:rPr>
                              <w:t xml:space="preserve">Высокоскоростные </w:t>
                            </w:r>
                            <w:r>
                              <w:rPr>
                                <w:b/>
                                <w:bCs/>
                                <w:color w:val="244061" w:themeColor="accent1" w:themeShade="80"/>
                                <w:sz w:val="22"/>
                              </w:rPr>
                              <w:br/>
                              <w:t>поезда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3" type="#_x0000_t202" style="position:absolute;left:0;text-align:left;margin-left:343.55pt;margin-top:59.25pt;width:152.9pt;height:92.1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" filled="f" stroked="f" strokeweight=".5pt">
                <v:textbox>
                  <w:txbxContent>
                    <w:p w:rsidR="00DB6825" w:rsidRPr="00DB6825" w:rsidRDefault="00791E5D" w:rsidP="00DB6825">
                      <w:pPr>
                        <w:jc w:val="center"/>
                        <w:rPr>
                          <w:b/>
                          <w:bCs/>
                          <w:color w:val="244061" w:themeColor="accent1" w:themeShade="80"/>
                          <w:sz w:val="22"/>
                        </w:rPr>
                      </w:pPr>
                      <w:r>
                        <w:rPr>
                          <w:b/>
                          <w:bCs/>
                          <w:color w:val="244061" w:themeColor="accent1" w:themeShade="80"/>
                          <w:sz w:val="22"/>
                        </w:rPr>
                        <w:t>Единое железнодорожное право</w:t>
                      </w:r>
                    </w:p>
                    <w:p w:rsidR="00DB6825" w:rsidRDefault="00791E5D" w:rsidP="00DB6825">
                      <w:pPr>
                        <w:jc w:val="center"/>
                        <w:rPr>
                          <w:b/>
                          <w:bCs/>
                          <w:color w:val="244061" w:themeColor="accent1" w:themeShade="80"/>
                          <w:sz w:val="22"/>
                        </w:rPr>
                      </w:pPr>
                      <w:r>
                        <w:rPr>
                          <w:b/>
                          <w:bCs/>
                          <w:color w:val="244061" w:themeColor="accent1" w:themeShade="80"/>
                          <w:sz w:val="22"/>
                        </w:rPr>
                        <w:t xml:space="preserve">Безопасность </w:t>
                      </w:r>
                      <w:r>
                        <w:rPr>
                          <w:b/>
                          <w:bCs/>
                          <w:color w:val="244061" w:themeColor="accent1" w:themeShade="80"/>
                          <w:sz w:val="22"/>
                        </w:rPr>
                        <w:br/>
                        <w:t xml:space="preserve">железнодорожных </w:t>
                      </w:r>
                      <w:r>
                        <w:rPr>
                          <w:b/>
                          <w:bCs/>
                          <w:color w:val="244061" w:themeColor="accent1" w:themeShade="80"/>
                          <w:sz w:val="22"/>
                        </w:rPr>
                        <w:br/>
                        <w:t>пер</w:t>
                      </w:r>
                      <w:r>
                        <w:rPr>
                          <w:b/>
                          <w:bCs/>
                          <w:color w:val="244061" w:themeColor="accent1" w:themeShade="80"/>
                          <w:sz w:val="22"/>
                        </w:rPr>
                        <w:t>е</w:t>
                      </w:r>
                      <w:r>
                        <w:rPr>
                          <w:b/>
                          <w:bCs/>
                          <w:color w:val="244061" w:themeColor="accent1" w:themeShade="80"/>
                          <w:sz w:val="22"/>
                        </w:rPr>
                        <w:t>возок</w:t>
                      </w:r>
                    </w:p>
                    <w:p w:rsidR="00791E5D" w:rsidRPr="00DB6825" w:rsidRDefault="00791E5D" w:rsidP="00DB6825">
                      <w:pPr>
                        <w:jc w:val="center"/>
                        <w:rPr>
                          <w:b/>
                          <w:bCs/>
                          <w:color w:val="244061" w:themeColor="accent1" w:themeShade="80"/>
                          <w:sz w:val="22"/>
                        </w:rPr>
                      </w:pPr>
                      <w:r>
                        <w:rPr>
                          <w:b/>
                          <w:bCs/>
                          <w:color w:val="244061" w:themeColor="accent1" w:themeShade="80"/>
                          <w:sz w:val="22"/>
                        </w:rPr>
                        <w:t xml:space="preserve">Высокоскоростные </w:t>
                      </w:r>
                      <w:r>
                        <w:rPr>
                          <w:b/>
                          <w:bCs/>
                          <w:color w:val="244061" w:themeColor="accent1" w:themeShade="80"/>
                          <w:sz w:val="22"/>
                        </w:rPr>
                        <w:br/>
                        <w:t>пое</w:t>
                      </w:r>
                      <w:r>
                        <w:rPr>
                          <w:b/>
                          <w:bCs/>
                          <w:color w:val="244061" w:themeColor="accent1" w:themeShade="80"/>
                          <w:sz w:val="22"/>
                        </w:rPr>
                        <w:t>з</w:t>
                      </w:r>
                      <w:r>
                        <w:rPr>
                          <w:b/>
                          <w:bCs/>
                          <w:color w:val="244061" w:themeColor="accent1" w:themeShade="80"/>
                          <w:sz w:val="22"/>
                        </w:rPr>
                        <w:t>да</w:t>
                      </w:r>
                    </w:p>
                  </w:txbxContent>
                </v:textbox>
              </v:shape>
            </w:pict>
          </mc:Fallback>
        </mc:AlternateContent>
      </w:r>
      <w:r w:rsidRPr="003B5145">
        <w:rPr>
          <w:noProof/>
          <w:lang w:val="en-US" w:eastAsia="en-US"/>
        </w:rPr>
        <w:drawing>
          <wp:anchor distT="0" distB="0" distL="114300" distR="114300" simplePos="0" relativeHeight="251669504" behindDoc="0" locked="0" layoutInCell="1" allowOverlap="1" wp14:anchorId="085D0D2C" wp14:editId="74CF0AFA">
            <wp:simplePos x="0" y="0"/>
            <wp:positionH relativeFrom="column">
              <wp:posOffset>4243705</wp:posOffset>
            </wp:positionH>
            <wp:positionV relativeFrom="paragraph">
              <wp:posOffset>704850</wp:posOffset>
            </wp:positionV>
            <wp:extent cx="2174875" cy="1278255"/>
            <wp:effectExtent l="0" t="0" r="0" b="0"/>
            <wp:wrapSquare wrapText="bothSides"/>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174875" cy="1278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t>•</w:t>
      </w:r>
      <w:r>
        <w:tab/>
      </w:r>
      <w:r w:rsidR="003B5145" w:rsidRPr="003B5145">
        <w:t>несмотря на неблагоприятную экономическую ситуацию в большинстве стран ЕС в период 2007–2012 годов, на железнодорожном транспорте пр</w:t>
      </w:r>
      <w:r w:rsidR="003B5145" w:rsidRPr="003B5145">
        <w:t>о</w:t>
      </w:r>
      <w:r w:rsidR="003B5145" w:rsidRPr="003B5145">
        <w:t>изошло увеличение показателя пассажиро-километров, хотя отмечено сущ</w:t>
      </w:r>
      <w:r w:rsidR="003B5145" w:rsidRPr="003B5145">
        <w:t>е</w:t>
      </w:r>
      <w:r w:rsidR="003B5145" w:rsidRPr="003B5145">
        <w:t>ственное снижение показателя железнодорожных перевозок, оцениваемого в тонно-километрах;</w:t>
      </w:r>
    </w:p>
    <w:p w:rsidR="003B5145" w:rsidRPr="003B5145" w:rsidRDefault="00791E5D" w:rsidP="00791E5D">
      <w:pPr>
        <w:pStyle w:val="SingleTxt"/>
        <w:tabs>
          <w:tab w:val="right" w:pos="1685"/>
        </w:tabs>
        <w:spacing w:line="240" w:lineRule="atLeast"/>
        <w:ind w:left="1742" w:hanging="475"/>
      </w:pPr>
      <w:r>
        <w:tab/>
        <w:t>•</w:t>
      </w:r>
      <w:r>
        <w:tab/>
      </w:r>
      <w:r w:rsidR="003B5145" w:rsidRPr="003B5145">
        <w:t>общие расходы железнодорожной отрасли ЕС с</w:t>
      </w:r>
      <w:r w:rsidR="003B5145" w:rsidRPr="003B5145">
        <w:t>о</w:t>
      </w:r>
      <w:r w:rsidR="003B5145" w:rsidRPr="003B5145">
        <w:t>ставляют 110</w:t>
      </w:r>
      <w:r w:rsidR="00AA108E">
        <w:t> млрд. </w:t>
      </w:r>
      <w:r w:rsidR="003B5145" w:rsidRPr="003B5145">
        <w:t>евро, 60% из которых покр</w:t>
      </w:r>
      <w:r w:rsidR="003B5145" w:rsidRPr="003B5145">
        <w:t>ы</w:t>
      </w:r>
      <w:r w:rsidR="003B5145" w:rsidRPr="003B5145">
        <w:t>ваются доходами от пассажирских и грузовых п</w:t>
      </w:r>
      <w:r w:rsidR="003B5145" w:rsidRPr="003B5145">
        <w:t>е</w:t>
      </w:r>
      <w:r w:rsidR="003B5145" w:rsidRPr="003B5145">
        <w:t>ревозок, 30% – за счет государственных субсидий, а остальная часть – из других источников дохода;</w:t>
      </w:r>
    </w:p>
    <w:p w:rsidR="003B5145" w:rsidRPr="003B5145" w:rsidRDefault="00791E5D" w:rsidP="00791E5D">
      <w:pPr>
        <w:pStyle w:val="SingleTxt"/>
        <w:tabs>
          <w:tab w:val="right" w:pos="1685"/>
        </w:tabs>
        <w:spacing w:line="240" w:lineRule="atLeast"/>
        <w:ind w:left="1742" w:hanging="475"/>
      </w:pPr>
      <w:r>
        <w:tab/>
        <w:t>•</w:t>
      </w:r>
      <w:r>
        <w:tab/>
      </w:r>
      <w:r w:rsidR="003B5145" w:rsidRPr="003B5145">
        <w:t>между разными государствами-членами существует значительные различия в железнодорожных пер</w:t>
      </w:r>
      <w:r w:rsidR="003B5145" w:rsidRPr="003B5145">
        <w:t>е</w:t>
      </w:r>
      <w:r w:rsidR="003B5145" w:rsidRPr="003B5145">
        <w:t>возках с точки зрения их национальных характер</w:t>
      </w:r>
      <w:r w:rsidR="003B5145" w:rsidRPr="003B5145">
        <w:t>и</w:t>
      </w:r>
      <w:r w:rsidR="003B5145" w:rsidRPr="003B5145">
        <w:t>стик, и в случае проведения любого сопоставительного анализа их уровня эффективности необходимо учитывать влияние географических, демогр</w:t>
      </w:r>
      <w:r w:rsidR="003B5145" w:rsidRPr="003B5145">
        <w:t>а</w:t>
      </w:r>
      <w:r w:rsidR="003B5145" w:rsidRPr="003B5145">
        <w:t>фических и других внешних факторов.</w:t>
      </w:r>
    </w:p>
    <w:p w:rsidR="003B5145" w:rsidRPr="003B5145" w:rsidRDefault="00791E5D" w:rsidP="00791E5D">
      <w:pPr>
        <w:pStyle w:val="SingleTxt"/>
        <w:tabs>
          <w:tab w:val="right" w:pos="1685"/>
        </w:tabs>
        <w:spacing w:line="240" w:lineRule="atLeast"/>
        <w:ind w:left="1742" w:hanging="475"/>
      </w:pPr>
      <w:r>
        <w:tab/>
        <w:t>•</w:t>
      </w:r>
      <w:r>
        <w:tab/>
      </w:r>
      <w:r w:rsidR="003B5145" w:rsidRPr="003B5145">
        <w:t>на уровни эффективности в железнодорожном секторе также влияет эффект масштаба: некоторые государства-члены, которые, как представляется, м</w:t>
      </w:r>
      <w:r w:rsidR="003B5145" w:rsidRPr="003B5145">
        <w:t>е</w:t>
      </w:r>
      <w:r w:rsidR="003B5145" w:rsidRPr="003B5145">
        <w:t>нее результативны в своей деятельности, в действительности достигают о</w:t>
      </w:r>
      <w:r w:rsidR="003B5145" w:rsidRPr="003B5145">
        <w:t>т</w:t>
      </w:r>
      <w:r w:rsidR="003B5145" w:rsidRPr="003B5145">
        <w:t>носительно высоких результатов с учетом ограниченных размеров их сетей;</w:t>
      </w:r>
    </w:p>
    <w:p w:rsidR="003B5145" w:rsidRPr="003B5145" w:rsidRDefault="00791E5D" w:rsidP="00791E5D">
      <w:pPr>
        <w:pStyle w:val="SingleTxt"/>
        <w:tabs>
          <w:tab w:val="right" w:pos="1685"/>
        </w:tabs>
        <w:spacing w:line="240" w:lineRule="atLeast"/>
        <w:ind w:left="1742" w:hanging="475"/>
      </w:pPr>
      <w:r>
        <w:tab/>
        <w:t>•</w:t>
      </w:r>
      <w:r>
        <w:tab/>
      </w:r>
      <w:r w:rsidR="003B5145" w:rsidRPr="003B5145">
        <w:t>вместе с тем у некоторых государств-членов, в частности Болгарии, Ве</w:t>
      </w:r>
      <w:r w:rsidR="003B5145" w:rsidRPr="003B5145">
        <w:t>н</w:t>
      </w:r>
      <w:r w:rsidR="003B5145" w:rsidRPr="003B5145">
        <w:t>грии, Румынии и Чешской Республики, имеются существенные возможн</w:t>
      </w:r>
      <w:r w:rsidR="003B5145" w:rsidRPr="003B5145">
        <w:t>о</w:t>
      </w:r>
      <w:r w:rsidR="003B5145" w:rsidRPr="003B5145">
        <w:t>сти для повышения фондоотдачи их железных дорог;</w:t>
      </w:r>
    </w:p>
    <w:p w:rsidR="003B5145" w:rsidRPr="003B5145" w:rsidRDefault="00791E5D" w:rsidP="00791E5D">
      <w:pPr>
        <w:pStyle w:val="SingleTxt"/>
        <w:tabs>
          <w:tab w:val="right" w:pos="1685"/>
        </w:tabs>
        <w:spacing w:line="240" w:lineRule="atLeast"/>
        <w:ind w:left="1742" w:hanging="475"/>
      </w:pPr>
      <w:r>
        <w:tab/>
        <w:t>•</w:t>
      </w:r>
      <w:r>
        <w:tab/>
      </w:r>
      <w:r w:rsidR="003B5145" w:rsidRPr="003B5145">
        <w:t>если бы все государства-члены достигли уровней эффективности, эквив</w:t>
      </w:r>
      <w:r w:rsidR="003B5145" w:rsidRPr="003B5145">
        <w:t>а</w:t>
      </w:r>
      <w:r w:rsidR="003B5145" w:rsidRPr="003B5145">
        <w:t>лентных наиболее высоким показателям результативности в их секторе, то ЧПС полученного роста в прямой валовой добавленной стоимости (ВДС) в период 2015–2030 годов могла бы составить 32</w:t>
      </w:r>
      <w:r w:rsidR="00AA108E">
        <w:t> млрд. </w:t>
      </w:r>
      <w:r w:rsidR="003B5145" w:rsidRPr="003B5145">
        <w:t>евро; с учетом ко</w:t>
      </w:r>
      <w:r w:rsidR="003B5145" w:rsidRPr="003B5145">
        <w:t>с</w:t>
      </w:r>
      <w:r w:rsidR="003B5145" w:rsidRPr="003B5145">
        <w:t>венной ВДС, генерируемой обслуживающими секторами, прибыли могли бы вырасти до 64</w:t>
      </w:r>
      <w:r w:rsidR="00AA108E">
        <w:t> млрд. </w:t>
      </w:r>
      <w:r w:rsidR="003B5145" w:rsidRPr="003B5145">
        <w:t>евро;</w:t>
      </w:r>
    </w:p>
    <w:p w:rsidR="003B5145" w:rsidRPr="003B5145" w:rsidRDefault="00791E5D" w:rsidP="00791E5D">
      <w:pPr>
        <w:pStyle w:val="SingleTxt"/>
        <w:tabs>
          <w:tab w:val="right" w:pos="1685"/>
        </w:tabs>
        <w:spacing w:line="240" w:lineRule="atLeast"/>
        <w:ind w:left="1742" w:hanging="475"/>
      </w:pPr>
      <w:r>
        <w:tab/>
        <w:t>•</w:t>
      </w:r>
      <w:r>
        <w:tab/>
      </w:r>
      <w:r w:rsidR="003B5145" w:rsidRPr="003B5145">
        <w:t>повышение активности железнодорожных перевозок за счет реинвестир</w:t>
      </w:r>
      <w:r w:rsidR="003B5145" w:rsidRPr="003B5145">
        <w:t>о</w:t>
      </w:r>
      <w:r w:rsidR="003B5145" w:rsidRPr="003B5145">
        <w:t>вания прибыли от операционной деятельности позволило бы создать в п</w:t>
      </w:r>
      <w:r w:rsidR="003B5145" w:rsidRPr="003B5145">
        <w:t>е</w:t>
      </w:r>
      <w:r w:rsidR="003B5145" w:rsidRPr="003B5145">
        <w:t>риод 2015–2030 годов 1 600 рабочих мест непосредственно в секторе и примерно такое же количество рабочих мест за его пределами;</w:t>
      </w:r>
    </w:p>
    <w:p w:rsidR="003B5145" w:rsidRPr="003B5145" w:rsidRDefault="00791E5D" w:rsidP="00791E5D">
      <w:pPr>
        <w:pStyle w:val="SingleTxt"/>
        <w:tabs>
          <w:tab w:val="right" w:pos="1685"/>
        </w:tabs>
        <w:spacing w:line="240" w:lineRule="atLeast"/>
        <w:ind w:left="1742" w:hanging="475"/>
      </w:pPr>
      <w:r>
        <w:tab/>
        <w:t>•</w:t>
      </w:r>
      <w:r>
        <w:tab/>
      </w:r>
      <w:r w:rsidR="003B5145" w:rsidRPr="003B5145">
        <w:t>различные недостатки в данных ограничивают возможности для проведения анализа и в силу этого сужают возможности для подготовки информации, необходимой для формулирования политики на национальном уровне и уровне ЕС.</w:t>
      </w:r>
    </w:p>
    <w:p w:rsidR="00791E5D" w:rsidRPr="00791E5D" w:rsidRDefault="00791E5D" w:rsidP="00791E5D">
      <w:pPr>
        <w:pStyle w:val="SingleTxt"/>
        <w:spacing w:after="0" w:line="120" w:lineRule="exact"/>
        <w:rPr>
          <w:b/>
          <w:sz w:val="10"/>
        </w:rPr>
      </w:pPr>
    </w:p>
    <w:p w:rsidR="00791E5D" w:rsidRPr="00791E5D" w:rsidRDefault="00791E5D" w:rsidP="00791E5D">
      <w:pPr>
        <w:pStyle w:val="SingleTxt"/>
        <w:spacing w:after="0" w:line="120" w:lineRule="exact"/>
        <w:rPr>
          <w:b/>
          <w:sz w:val="10"/>
        </w:rPr>
      </w:pPr>
    </w:p>
    <w:p w:rsidR="003B5145" w:rsidRPr="003B5145" w:rsidRDefault="003B5145" w:rsidP="00791E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5145">
        <w:lastRenderedPageBreak/>
        <w:tab/>
        <w:t>С.</w:t>
      </w:r>
      <w:r w:rsidRPr="003B5145">
        <w:tab/>
        <w:t>Завершение создания конкурентоспособной грузоориентированной европейской сети железных дорог: созданы и эксплуатируются еще три грузовых железнодорожных транспортных коридора ЕС</w:t>
      </w:r>
    </w:p>
    <w:p w:rsidR="00791E5D" w:rsidRPr="00791E5D" w:rsidRDefault="00791E5D" w:rsidP="00791E5D">
      <w:pPr>
        <w:pStyle w:val="SingleTxt"/>
        <w:spacing w:after="0" w:line="120" w:lineRule="exact"/>
        <w:rPr>
          <w:sz w:val="10"/>
        </w:rPr>
      </w:pPr>
    </w:p>
    <w:p w:rsidR="00791E5D" w:rsidRPr="00791E5D" w:rsidRDefault="00791E5D" w:rsidP="00791E5D">
      <w:pPr>
        <w:pStyle w:val="SingleTxt"/>
        <w:spacing w:after="0" w:line="120" w:lineRule="exact"/>
        <w:rPr>
          <w:sz w:val="10"/>
        </w:rPr>
      </w:pPr>
    </w:p>
    <w:p w:rsidR="003B5145" w:rsidRPr="003B5145" w:rsidRDefault="003B5145" w:rsidP="003B5145">
      <w:pPr>
        <w:pStyle w:val="SingleTxt"/>
        <w:spacing w:line="240" w:lineRule="atLeast"/>
      </w:pPr>
      <w:r w:rsidRPr="003B5145">
        <w:t>50.</w:t>
      </w:r>
      <w:r w:rsidRPr="003B5145">
        <w:tab/>
        <w:t>В ноябре 2015 года введены в эксплуатацию три железнодорожных груз</w:t>
      </w:r>
      <w:r w:rsidRPr="003B5145">
        <w:t>о</w:t>
      </w:r>
      <w:r w:rsidRPr="003B5145">
        <w:t>вых коридора (ЖГК) ЕС: скандинавско-средиземноморский ЖГК, балтийско-адриатический ЖКГ и североморско-балтийский ЖГК, которые позволили з</w:t>
      </w:r>
      <w:r w:rsidRPr="003B5145">
        <w:t>а</w:t>
      </w:r>
      <w:r w:rsidRPr="003B5145">
        <w:t>вершить работу по созданию грузоориентированной европейской железнодоро</w:t>
      </w:r>
      <w:r w:rsidRPr="003B5145">
        <w:t>ж</w:t>
      </w:r>
      <w:r w:rsidRPr="003B5145">
        <w:t>ной сети, насчитывающей в своем составе девять коридоров. Шесть других ЖГК были введены в эксплуатацию еще в ноябре 2013 года.</w:t>
      </w:r>
    </w:p>
    <w:p w:rsidR="003B5145" w:rsidRPr="003B5145" w:rsidRDefault="003B5145" w:rsidP="003B5145">
      <w:pPr>
        <w:pStyle w:val="SingleTxt"/>
        <w:spacing w:line="240" w:lineRule="atLeast"/>
      </w:pPr>
      <w:r w:rsidRPr="003B5145">
        <w:t>51.</w:t>
      </w:r>
      <w:r w:rsidRPr="003B5145">
        <w:tab/>
        <w:t>ЖГК образуют железнодорожную грузовую сеть мультимодальной базовой сети коридоров ЕС. Их создание является ключевой инициативой комиссии по формированию по-настоящему единого европейского железнодорожного пр</w:t>
      </w:r>
      <w:r w:rsidRPr="003B5145">
        <w:t>о</w:t>
      </w:r>
      <w:r w:rsidRPr="003B5145">
        <w:t>странства для грузовых железнодорожных перевозок; на осуществление их де</w:t>
      </w:r>
      <w:r w:rsidRPr="003B5145">
        <w:t>я</w:t>
      </w:r>
      <w:r w:rsidRPr="003B5145">
        <w:t>тельности комиссия предоставляет софинансирование по линии ФСЕ. ЖГК сп</w:t>
      </w:r>
      <w:r w:rsidRPr="003B5145">
        <w:t>о</w:t>
      </w:r>
      <w:r w:rsidRPr="003B5145">
        <w:t>собствуют трансграничному сотрудничеству на уровне государств-членов и р</w:t>
      </w:r>
      <w:r w:rsidRPr="003B5145">
        <w:t>у</w:t>
      </w:r>
      <w:r w:rsidRPr="003B5145">
        <w:t>ководителей железнодорожной инфраструктуры, а также более активному вовл</w:t>
      </w:r>
      <w:r w:rsidRPr="003B5145">
        <w:t>е</w:t>
      </w:r>
      <w:r w:rsidRPr="003B5145">
        <w:t>чению пользователей в развитие европейской грузовой железнодорожной сист</w:t>
      </w:r>
      <w:r w:rsidRPr="003B5145">
        <w:t>е</w:t>
      </w:r>
      <w:r w:rsidRPr="003B5145">
        <w:t>мы, главным образом в рамках консультативных групп для железнодорожных предприятий и терминалов. Цель концепции ЖГК заключается в предоставлении качественного потенциала для международных грузовых поездов путем коорд</w:t>
      </w:r>
      <w:r w:rsidRPr="003B5145">
        <w:t>и</w:t>
      </w:r>
      <w:r w:rsidRPr="003B5145">
        <w:t>нирования работы по планированию потенциала, управлению движением и и</w:t>
      </w:r>
      <w:r w:rsidRPr="003B5145">
        <w:t>н</w:t>
      </w:r>
      <w:r w:rsidRPr="003B5145">
        <w:t>фраструктурой, а также создания коридора с обслуживанием по принципу «одн</w:t>
      </w:r>
      <w:r w:rsidRPr="003B5145">
        <w:t>о</w:t>
      </w:r>
      <w:r w:rsidRPr="003B5145">
        <w:t>го окна», позволяющего сконцентрировать оказание любых услуг клиентам в о</w:t>
      </w:r>
      <w:r w:rsidRPr="003B5145">
        <w:t>д</w:t>
      </w:r>
      <w:r w:rsidRPr="003B5145">
        <w:t>ном месте.</w:t>
      </w:r>
    </w:p>
    <w:p w:rsidR="00791E5D" w:rsidRPr="00791E5D" w:rsidRDefault="00791E5D" w:rsidP="00791E5D">
      <w:pPr>
        <w:pStyle w:val="SingleTxt"/>
        <w:spacing w:after="0" w:line="120" w:lineRule="exact"/>
        <w:rPr>
          <w:b/>
          <w:sz w:val="10"/>
        </w:rPr>
      </w:pPr>
    </w:p>
    <w:p w:rsidR="00791E5D" w:rsidRPr="00791E5D" w:rsidRDefault="00791E5D" w:rsidP="00791E5D">
      <w:pPr>
        <w:pStyle w:val="SingleTxt"/>
        <w:spacing w:after="0" w:line="120" w:lineRule="exact"/>
        <w:rPr>
          <w:b/>
          <w:sz w:val="10"/>
        </w:rPr>
      </w:pPr>
    </w:p>
    <w:p w:rsidR="003B5145" w:rsidRPr="003B5145" w:rsidRDefault="003B5145" w:rsidP="00791E5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5145">
        <w:tab/>
        <w:t>V.</w:t>
      </w:r>
      <w:r w:rsidRPr="003B5145">
        <w:tab/>
        <w:t>Внутренние водные пути</w:t>
      </w:r>
    </w:p>
    <w:p w:rsidR="00791E5D" w:rsidRPr="00791E5D" w:rsidRDefault="00791E5D" w:rsidP="00791E5D">
      <w:pPr>
        <w:pStyle w:val="SingleTxt"/>
        <w:spacing w:after="0" w:line="120" w:lineRule="exact"/>
        <w:rPr>
          <w:b/>
          <w:sz w:val="10"/>
        </w:rPr>
      </w:pPr>
    </w:p>
    <w:p w:rsidR="00791E5D" w:rsidRPr="00791E5D" w:rsidRDefault="00791E5D" w:rsidP="00791E5D">
      <w:pPr>
        <w:pStyle w:val="SingleTxt"/>
        <w:spacing w:after="0" w:line="120" w:lineRule="exact"/>
        <w:rPr>
          <w:b/>
          <w:sz w:val="10"/>
        </w:rPr>
      </w:pPr>
    </w:p>
    <w:p w:rsidR="003B5145" w:rsidRPr="003B5145" w:rsidRDefault="003B5145" w:rsidP="00791E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5145">
        <w:tab/>
        <w:t>А.</w:t>
      </w:r>
      <w:r w:rsidRPr="003B5145">
        <w:tab/>
        <w:t>Европейский комитет по разработке стандартов в области внутреннего судоходства (КЕСНИ)</w:t>
      </w:r>
    </w:p>
    <w:p w:rsidR="00791E5D" w:rsidRPr="00791E5D" w:rsidRDefault="00791E5D" w:rsidP="00791E5D">
      <w:pPr>
        <w:pStyle w:val="SingleTxt"/>
        <w:spacing w:after="0" w:line="120" w:lineRule="exact"/>
        <w:rPr>
          <w:sz w:val="10"/>
        </w:rPr>
      </w:pPr>
    </w:p>
    <w:p w:rsidR="00791E5D" w:rsidRPr="00791E5D" w:rsidRDefault="00791E5D" w:rsidP="00791E5D">
      <w:pPr>
        <w:pStyle w:val="SingleTxt"/>
        <w:spacing w:after="0" w:line="120" w:lineRule="exact"/>
        <w:rPr>
          <w:sz w:val="10"/>
        </w:rPr>
      </w:pPr>
    </w:p>
    <w:p w:rsidR="003B5145" w:rsidRPr="003B5145" w:rsidRDefault="003B5145" w:rsidP="003B5145">
      <w:pPr>
        <w:pStyle w:val="SingleTxt"/>
        <w:spacing w:line="240" w:lineRule="atLeast"/>
      </w:pPr>
      <w:r w:rsidRPr="003B5145">
        <w:t>52.</w:t>
      </w:r>
      <w:r w:rsidRPr="003B5145">
        <w:tab/>
        <w:t>На своей весенней пленарной сессии 3 июня 2015 года ЦКСР приняла Рез</w:t>
      </w:r>
      <w:r w:rsidRPr="003B5145">
        <w:t>о</w:t>
      </w:r>
      <w:r w:rsidRPr="003B5145">
        <w:t>люцию ЦКСР 2015-1-3 о создании и порядке функционирования Европейского комитета по разработке стандартов в области внутреннего судоходства (КЕСНИ). К числу его задач относятся принятие технических стандартов в различных о</w:t>
      </w:r>
      <w:r w:rsidRPr="003B5145">
        <w:t>б</w:t>
      </w:r>
      <w:r w:rsidRPr="003B5145">
        <w:t>ластях, в частности в том, что касается судов, информационной технологии и экипажа, единообразного толкования стандартов и соответствующих процедур, а также обсуждение вопросов безопасности судоходства, охраны окружающей ср</w:t>
      </w:r>
      <w:r w:rsidRPr="003B5145">
        <w:t>е</w:t>
      </w:r>
      <w:r w:rsidRPr="003B5145">
        <w:t>ды или других областей судоходства.</w:t>
      </w:r>
    </w:p>
    <w:p w:rsidR="003B5145" w:rsidRPr="003B5145" w:rsidRDefault="00791E5D" w:rsidP="00951E2D">
      <w:pPr>
        <w:pStyle w:val="SingleTxt"/>
        <w:spacing w:line="240" w:lineRule="atLeast"/>
      </w:pPr>
      <w:r w:rsidRPr="00791E5D">
        <w:rPr>
          <w:noProof/>
          <w:lang w:val="en-US" w:eastAsia="en-US"/>
        </w:rPr>
        <mc:AlternateContent>
          <mc:Choice Requires="wps">
            <w:drawing>
              <wp:anchor distT="0" distB="0" distL="114300" distR="114300" simplePos="0" relativeHeight="251696128" behindDoc="0" locked="0" layoutInCell="1" allowOverlap="1" wp14:anchorId="3D05FC4D" wp14:editId="29ACFB34">
                <wp:simplePos x="0" y="0"/>
                <wp:positionH relativeFrom="column">
                  <wp:posOffset>4318635</wp:posOffset>
                </wp:positionH>
                <wp:positionV relativeFrom="paragraph">
                  <wp:posOffset>697865</wp:posOffset>
                </wp:positionV>
                <wp:extent cx="1941830" cy="1169670"/>
                <wp:effectExtent l="0" t="0" r="0" b="0"/>
                <wp:wrapNone/>
                <wp:docPr id="19" name="Поле 14"/>
                <wp:cNvGraphicFramePr/>
                <a:graphic xmlns:a="http://schemas.openxmlformats.org/drawingml/2006/main">
                  <a:graphicData uri="http://schemas.microsoft.com/office/word/2010/wordprocessingShape">
                    <wps:wsp>
                      <wps:cNvSpPr txBox="1"/>
                      <wps:spPr>
                        <a:xfrm>
                          <a:off x="0" y="0"/>
                          <a:ext cx="1941830" cy="1169670"/>
                        </a:xfrm>
                        <a:prstGeom prst="rect">
                          <a:avLst/>
                        </a:prstGeom>
                        <a:noFill/>
                        <a:ln w="6350">
                          <a:noFill/>
                        </a:ln>
                        <a:effectLst/>
                      </wps:spPr>
                      <wps:txbx>
                        <w:txbxContent>
                          <w:p w:rsidR="00791E5D" w:rsidRDefault="00791E5D" w:rsidP="00791E5D">
                            <w:pPr>
                              <w:jc w:val="center"/>
                              <w:rPr>
                                <w:b/>
                                <w:bCs/>
                                <w:color w:val="244061" w:themeColor="accent1" w:themeShade="80"/>
                                <w:sz w:val="22"/>
                              </w:rPr>
                            </w:pPr>
                          </w:p>
                          <w:p w:rsidR="00791E5D" w:rsidRPr="00DB6825" w:rsidRDefault="00791E5D" w:rsidP="00791E5D">
                            <w:pPr>
                              <w:jc w:val="center"/>
                              <w:rPr>
                                <w:b/>
                                <w:bCs/>
                                <w:color w:val="244061" w:themeColor="accent1" w:themeShade="80"/>
                                <w:sz w:val="22"/>
                              </w:rPr>
                            </w:pPr>
                            <w:r>
                              <w:rPr>
                                <w:b/>
                                <w:bCs/>
                                <w:color w:val="244061" w:themeColor="accent1" w:themeShade="80"/>
                                <w:sz w:val="22"/>
                              </w:rPr>
                              <w:t xml:space="preserve">ЕПСВВП – Европейские правила судоходства </w:t>
                            </w:r>
                            <w:r>
                              <w:rPr>
                                <w:b/>
                                <w:bCs/>
                                <w:color w:val="244061" w:themeColor="accent1" w:themeShade="80"/>
                                <w:sz w:val="22"/>
                              </w:rPr>
                              <w:br/>
                              <w:t>по внутренним водным путям (пересмотр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4" type="#_x0000_t202" style="position:absolute;left:0;text-align:left;margin-left:340.05pt;margin-top:54.95pt;width:152.9pt;height:92.1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" filled="f" stroked="f" strokeweight=".5pt">
                <v:textbox>
                  <w:txbxContent>
                    <w:p w:rsidR="00791E5D" w:rsidRDefault="00791E5D" w:rsidP="00791E5D">
                      <w:pPr>
                        <w:jc w:val="center"/>
                        <w:rPr>
                          <w:b/>
                          <w:bCs/>
                          <w:color w:val="244061" w:themeColor="accent1" w:themeShade="80"/>
                          <w:sz w:val="22"/>
                        </w:rPr>
                      </w:pPr>
                    </w:p>
                    <w:p w:rsidR="00791E5D" w:rsidRPr="00DB6825" w:rsidRDefault="00791E5D" w:rsidP="00791E5D">
                      <w:pPr>
                        <w:jc w:val="center"/>
                        <w:rPr>
                          <w:b/>
                          <w:bCs/>
                          <w:color w:val="244061" w:themeColor="accent1" w:themeShade="80"/>
                          <w:sz w:val="22"/>
                        </w:rPr>
                      </w:pPr>
                      <w:r>
                        <w:rPr>
                          <w:b/>
                          <w:bCs/>
                          <w:color w:val="244061" w:themeColor="accent1" w:themeShade="80"/>
                          <w:sz w:val="22"/>
                        </w:rPr>
                        <w:t>Е</w:t>
                      </w:r>
                      <w:r>
                        <w:rPr>
                          <w:b/>
                          <w:bCs/>
                          <w:color w:val="244061" w:themeColor="accent1" w:themeShade="80"/>
                          <w:sz w:val="22"/>
                        </w:rPr>
                        <w:t xml:space="preserve">ПСВВП – Европейские правила судоходства </w:t>
                      </w:r>
                      <w:r>
                        <w:rPr>
                          <w:b/>
                          <w:bCs/>
                          <w:color w:val="244061" w:themeColor="accent1" w:themeShade="80"/>
                          <w:sz w:val="22"/>
                        </w:rPr>
                        <w:br/>
                        <w:t>по внутренним водным п</w:t>
                      </w:r>
                      <w:r>
                        <w:rPr>
                          <w:b/>
                          <w:bCs/>
                          <w:color w:val="244061" w:themeColor="accent1" w:themeShade="80"/>
                          <w:sz w:val="22"/>
                        </w:rPr>
                        <w:t>у</w:t>
                      </w:r>
                      <w:r>
                        <w:rPr>
                          <w:b/>
                          <w:bCs/>
                          <w:color w:val="244061" w:themeColor="accent1" w:themeShade="80"/>
                          <w:sz w:val="22"/>
                        </w:rPr>
                        <w:t>тям (пересмотр 5)</w:t>
                      </w:r>
                    </w:p>
                  </w:txbxContent>
                </v:textbox>
              </v:shape>
            </w:pict>
          </mc:Fallback>
        </mc:AlternateContent>
      </w:r>
      <w:r w:rsidRPr="003B5145">
        <w:rPr>
          <w:noProof/>
          <w:lang w:val="en-US" w:eastAsia="en-US"/>
        </w:rPr>
        <w:drawing>
          <wp:anchor distT="0" distB="0" distL="114300" distR="114300" simplePos="0" relativeHeight="251671552" behindDoc="0" locked="0" layoutInCell="1" allowOverlap="1" wp14:anchorId="6C2DBC93" wp14:editId="31A84691">
            <wp:simplePos x="0" y="0"/>
            <wp:positionH relativeFrom="column">
              <wp:posOffset>4202430</wp:posOffset>
            </wp:positionH>
            <wp:positionV relativeFrom="paragraph">
              <wp:posOffset>652780</wp:posOffset>
            </wp:positionV>
            <wp:extent cx="2174875" cy="1278255"/>
            <wp:effectExtent l="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174875" cy="1278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5145" w:rsidRPr="003B5145">
        <w:t>53.</w:t>
      </w:r>
      <w:r w:rsidR="003B5145" w:rsidRPr="003B5145">
        <w:tab/>
        <w:t>В состав КЕСНИ входят эксперты, представляющие государства</w:t>
      </w:r>
      <w:r w:rsidR="00951E2D">
        <w:t xml:space="preserve"> – </w:t>
      </w:r>
      <w:r w:rsidR="003B5145" w:rsidRPr="003B5145">
        <w:t>члены ЦКСР и ЕС. Стороны ЦКСР (Бельгия, Германия, Нидерланды, Франция и Шве</w:t>
      </w:r>
      <w:r w:rsidR="003B5145" w:rsidRPr="003B5145">
        <w:t>й</w:t>
      </w:r>
      <w:r w:rsidR="003B5145" w:rsidRPr="003B5145">
        <w:t>цария), а также остальные государства – члены ЕС наделены правом голоса по принципу «одно государство – один голос». ЕС не является Стороной ЦКСР или КЕСНИ. Вместе с тем он может принимать участие в работе КЕСНИ без права голоса наряду с другими ме</w:t>
      </w:r>
      <w:r w:rsidR="003B5145" w:rsidRPr="003B5145">
        <w:t>ж</w:t>
      </w:r>
      <w:r w:rsidR="003B5145" w:rsidRPr="003B5145">
        <w:t>дународными организациями, цели которых имеют о</w:t>
      </w:r>
      <w:r w:rsidR="003B5145" w:rsidRPr="003B5145">
        <w:t>т</w:t>
      </w:r>
      <w:r w:rsidR="003B5145" w:rsidRPr="003B5145">
        <w:t xml:space="preserve">ношение к областям, представляющим интерес для КЕСНИ. </w:t>
      </w:r>
    </w:p>
    <w:p w:rsidR="003B5145" w:rsidRPr="003B5145" w:rsidRDefault="003B5145" w:rsidP="00951E2D">
      <w:pPr>
        <w:pStyle w:val="SingleTxt"/>
        <w:spacing w:line="240" w:lineRule="atLeast"/>
      </w:pPr>
      <w:r w:rsidRPr="003B5145">
        <w:t>54.</w:t>
      </w:r>
      <w:r w:rsidRPr="003B5145">
        <w:tab/>
        <w:t>Комитет КЕСНИ принимает стандарты на основе единогласного голосования присутствующих гос</w:t>
      </w:r>
      <w:r w:rsidRPr="003B5145">
        <w:t>у</w:t>
      </w:r>
      <w:r w:rsidRPr="003B5145">
        <w:t>дарств</w:t>
      </w:r>
      <w:r w:rsidR="00951E2D">
        <w:t xml:space="preserve"> – </w:t>
      </w:r>
      <w:r w:rsidRPr="003B5145">
        <w:t xml:space="preserve">членов ЦКСР и ЕС. В отсутствие консенсуса </w:t>
      </w:r>
      <w:r w:rsidRPr="003B5145">
        <w:lastRenderedPageBreak/>
        <w:t>при принятии решения о включении вопроса об утверждении стандартов в п</w:t>
      </w:r>
      <w:r w:rsidRPr="003B5145">
        <w:t>о</w:t>
      </w:r>
      <w:r w:rsidRPr="003B5145">
        <w:t>вестку дня КЕСНИ принимает решение двумя третями голосов присутствующих на совещании государств-членов. На втором этапе КЕСНИ принимает стандарты путем единогласного голосования присутствующих государств</w:t>
      </w:r>
      <w:r w:rsidR="00951E2D">
        <w:t xml:space="preserve"> – </w:t>
      </w:r>
      <w:r w:rsidRPr="003B5145">
        <w:t>членов ЦКСР и ЕС. После утверждения стандартам присваивается собственный идентификац</w:t>
      </w:r>
      <w:r w:rsidRPr="003B5145">
        <w:t>и</w:t>
      </w:r>
      <w:r w:rsidRPr="003B5145">
        <w:t>онный номер, после чего они публикуются.</w:t>
      </w:r>
    </w:p>
    <w:p w:rsidR="003B5145" w:rsidRPr="003B5145" w:rsidRDefault="003B5145" w:rsidP="003B5145">
      <w:pPr>
        <w:pStyle w:val="SingleTxt"/>
        <w:spacing w:line="240" w:lineRule="atLeast"/>
      </w:pPr>
      <w:r w:rsidRPr="003B5145">
        <w:t>55.</w:t>
      </w:r>
      <w:r w:rsidRPr="003B5145">
        <w:tab/>
        <w:t>ЦКСР накопила значительный опыт в принятии технических требований для судов внутреннего плавания. Таким образом, созданная в рамках ЦКСР с участием всех государств – членов ЕС КЕСНИ обладает необходимыми экспер</w:t>
      </w:r>
      <w:r w:rsidRPr="003B5145">
        <w:t>т</w:t>
      </w:r>
      <w:r w:rsidRPr="003B5145">
        <w:t>ными знаниями и географической представленностью для разработки единых стандартов для всей сети внутренних водных путей Европейского союза.</w:t>
      </w:r>
    </w:p>
    <w:p w:rsidR="003B5145" w:rsidRPr="003B5145" w:rsidRDefault="003B5145" w:rsidP="003B5145">
      <w:pPr>
        <w:pStyle w:val="SingleTxt"/>
        <w:spacing w:line="240" w:lineRule="atLeast"/>
      </w:pPr>
      <w:r w:rsidRPr="003B5145">
        <w:t>56.</w:t>
      </w:r>
      <w:r w:rsidRPr="003B5145">
        <w:tab/>
        <w:t>Подготовительная работа по разработке единого технического стандарта на суда вн</w:t>
      </w:r>
      <w:r w:rsidR="00951E2D">
        <w:t>утреннего плавания, который буде</w:t>
      </w:r>
      <w:r w:rsidRPr="003B5145">
        <w:t>т применяться в рамках ЕС и ЦКСР, началась в рамках существующей Совместной рабочей группы, которая оказыв</w:t>
      </w:r>
      <w:r w:rsidRPr="003B5145">
        <w:t>а</w:t>
      </w:r>
      <w:r w:rsidRPr="003B5145">
        <w:t>ет поддержку осуществлению директивы Европейского парламента и Союза 2006/87/EC, устанавливающей технические требования к судам внутреннего пл</w:t>
      </w:r>
      <w:r w:rsidRPr="003B5145">
        <w:t>а</w:t>
      </w:r>
      <w:r w:rsidRPr="003B5145">
        <w:t>вания и отменяющей директиву Совета 82/714/EEC.</w:t>
      </w:r>
    </w:p>
    <w:p w:rsidR="003B5145" w:rsidRPr="003B5145" w:rsidRDefault="003B5145" w:rsidP="0096173B">
      <w:pPr>
        <w:pStyle w:val="SingleTxt"/>
        <w:spacing w:line="240" w:lineRule="atLeast"/>
      </w:pPr>
      <w:r w:rsidRPr="003B5145">
        <w:t>57.</w:t>
      </w:r>
      <w:r w:rsidRPr="003B5145">
        <w:tab/>
        <w:t>Совместная рабочая группа сопоставила действующие технические треб</w:t>
      </w:r>
      <w:r w:rsidRPr="003B5145">
        <w:t>о</w:t>
      </w:r>
      <w:r w:rsidRPr="003B5145">
        <w:t>вания, применимые в соответствии с законодательством ЕС и в рамках ЦКСР, и разработала единые требования в тех областях, в которых имеются различия. В</w:t>
      </w:r>
      <w:r w:rsidR="0096173B">
        <w:t> </w:t>
      </w:r>
      <w:r w:rsidRPr="003B5145">
        <w:t>продолжение работы Совместной рабочей группы КЕСНИ планирует принять стандарт в отношении технических требований к судам внутреннего плавания.</w:t>
      </w:r>
    </w:p>
    <w:p w:rsidR="00791E5D" w:rsidRPr="00791E5D" w:rsidRDefault="00791E5D" w:rsidP="00791E5D">
      <w:pPr>
        <w:pStyle w:val="SingleTxt"/>
        <w:spacing w:after="0" w:line="120" w:lineRule="exact"/>
        <w:rPr>
          <w:b/>
          <w:sz w:val="10"/>
        </w:rPr>
      </w:pPr>
    </w:p>
    <w:p w:rsidR="00791E5D" w:rsidRPr="00791E5D" w:rsidRDefault="00791E5D" w:rsidP="00791E5D">
      <w:pPr>
        <w:pStyle w:val="SingleTxt"/>
        <w:spacing w:after="0" w:line="120" w:lineRule="exact"/>
        <w:rPr>
          <w:b/>
          <w:sz w:val="10"/>
        </w:rPr>
      </w:pPr>
    </w:p>
    <w:p w:rsidR="003B5145" w:rsidRPr="003B5145" w:rsidRDefault="003B5145" w:rsidP="009617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5145">
        <w:tab/>
        <w:t>B.</w:t>
      </w:r>
      <w:r w:rsidRPr="003B5145">
        <w:tab/>
        <w:t>Внутренние водные пути в Трансъевропейской транспортной сети (TEС-T)</w:t>
      </w:r>
    </w:p>
    <w:p w:rsidR="00791E5D" w:rsidRPr="00791E5D" w:rsidRDefault="00791E5D" w:rsidP="00791E5D">
      <w:pPr>
        <w:pStyle w:val="SingleTxt"/>
        <w:spacing w:after="0" w:line="120" w:lineRule="exact"/>
        <w:rPr>
          <w:sz w:val="10"/>
        </w:rPr>
      </w:pPr>
    </w:p>
    <w:p w:rsidR="00791E5D" w:rsidRPr="00791E5D" w:rsidRDefault="00791E5D" w:rsidP="00791E5D">
      <w:pPr>
        <w:pStyle w:val="SingleTxt"/>
        <w:spacing w:after="0" w:line="120" w:lineRule="exact"/>
        <w:rPr>
          <w:sz w:val="10"/>
        </w:rPr>
      </w:pPr>
    </w:p>
    <w:p w:rsidR="003B5145" w:rsidRPr="003B5145" w:rsidRDefault="0096173B" w:rsidP="003B5145">
      <w:pPr>
        <w:pStyle w:val="SingleTxt"/>
        <w:spacing w:line="240" w:lineRule="atLeast"/>
      </w:pPr>
      <w:r w:rsidRPr="0096173B">
        <w:rPr>
          <w:noProof/>
          <w:lang w:val="en-US" w:eastAsia="en-US"/>
        </w:rPr>
        <mc:AlternateContent>
          <mc:Choice Requires="wps">
            <w:drawing>
              <wp:anchor distT="0" distB="0" distL="114300" distR="114300" simplePos="0" relativeHeight="251698176" behindDoc="0" locked="0" layoutInCell="1" allowOverlap="1" wp14:anchorId="0F688C0D" wp14:editId="38D19980">
                <wp:simplePos x="0" y="0"/>
                <wp:positionH relativeFrom="column">
                  <wp:posOffset>4333875</wp:posOffset>
                </wp:positionH>
                <wp:positionV relativeFrom="paragraph">
                  <wp:posOffset>73660</wp:posOffset>
                </wp:positionV>
                <wp:extent cx="1941830" cy="1169670"/>
                <wp:effectExtent l="0" t="0" r="0" b="0"/>
                <wp:wrapNone/>
                <wp:docPr id="23" name="Поле 14"/>
                <wp:cNvGraphicFramePr/>
                <a:graphic xmlns:a="http://schemas.openxmlformats.org/drawingml/2006/main">
                  <a:graphicData uri="http://schemas.microsoft.com/office/word/2010/wordprocessingShape">
                    <wps:wsp>
                      <wps:cNvSpPr txBox="1"/>
                      <wps:spPr>
                        <a:xfrm>
                          <a:off x="0" y="0"/>
                          <a:ext cx="1941830" cy="1169670"/>
                        </a:xfrm>
                        <a:prstGeom prst="rect">
                          <a:avLst/>
                        </a:prstGeom>
                        <a:noFill/>
                        <a:ln w="6350">
                          <a:noFill/>
                        </a:ln>
                        <a:effectLst/>
                      </wps:spPr>
                      <wps:txbx>
                        <w:txbxContent>
                          <w:p w:rsidR="0096173B" w:rsidRPr="0096173B" w:rsidRDefault="0096173B" w:rsidP="0096173B">
                            <w:pPr>
                              <w:jc w:val="center"/>
                              <w:rPr>
                                <w:b/>
                                <w:bCs/>
                                <w:color w:val="244061" w:themeColor="accent1" w:themeShade="80"/>
                                <w:sz w:val="24"/>
                                <w:szCs w:val="24"/>
                              </w:rPr>
                            </w:pPr>
                          </w:p>
                          <w:p w:rsidR="0096173B" w:rsidRPr="0096173B" w:rsidRDefault="0096173B" w:rsidP="0096173B">
                            <w:pPr>
                              <w:jc w:val="center"/>
                              <w:rPr>
                                <w:b/>
                                <w:bCs/>
                                <w:color w:val="244061" w:themeColor="accent1" w:themeShade="80"/>
                                <w:sz w:val="24"/>
                                <w:szCs w:val="24"/>
                              </w:rPr>
                            </w:pPr>
                          </w:p>
                          <w:p w:rsidR="0096173B" w:rsidRPr="0096173B" w:rsidRDefault="0096173B" w:rsidP="0096173B">
                            <w:pPr>
                              <w:jc w:val="center"/>
                              <w:rPr>
                                <w:b/>
                                <w:bCs/>
                                <w:color w:val="244061" w:themeColor="accent1" w:themeShade="80"/>
                                <w:sz w:val="24"/>
                                <w:szCs w:val="24"/>
                              </w:rPr>
                            </w:pPr>
                            <w:r w:rsidRPr="0096173B">
                              <w:rPr>
                                <w:b/>
                                <w:bCs/>
                                <w:color w:val="244061" w:themeColor="accent1" w:themeShade="80"/>
                                <w:sz w:val="24"/>
                                <w:szCs w:val="24"/>
                              </w:rPr>
                              <w:t>ВВТ</w:t>
                            </w:r>
                          </w:p>
                          <w:p w:rsidR="0096173B" w:rsidRPr="0096173B" w:rsidRDefault="0096173B" w:rsidP="0096173B">
                            <w:pPr>
                              <w:jc w:val="center"/>
                              <w:rPr>
                                <w:b/>
                                <w:bCs/>
                                <w:color w:val="244061" w:themeColor="accent1" w:themeShade="80"/>
                                <w:sz w:val="24"/>
                                <w:szCs w:val="24"/>
                              </w:rPr>
                            </w:pPr>
                          </w:p>
                          <w:p w:rsidR="0096173B" w:rsidRPr="0096173B" w:rsidRDefault="0096173B" w:rsidP="0096173B">
                            <w:pPr>
                              <w:jc w:val="center"/>
                              <w:rPr>
                                <w:b/>
                                <w:bCs/>
                                <w:color w:val="244061" w:themeColor="accent1" w:themeShade="80"/>
                                <w:sz w:val="24"/>
                                <w:szCs w:val="24"/>
                              </w:rPr>
                            </w:pPr>
                            <w:r w:rsidRPr="0096173B">
                              <w:rPr>
                                <w:b/>
                                <w:bCs/>
                                <w:color w:val="244061" w:themeColor="accent1" w:themeShade="80"/>
                                <w:sz w:val="24"/>
                                <w:szCs w:val="24"/>
                              </w:rPr>
                              <w:t>Белая книга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5" type="#_x0000_t202" style="position:absolute;left:0;text-align:left;margin-left:341.25pt;margin-top:5.8pt;width:152.9pt;height:92.1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" filled="f" stroked="f" strokeweight=".5pt">
                <v:textbox>
                  <w:txbxContent>
                    <w:p w:rsidR="0096173B" w:rsidRPr="0096173B" w:rsidRDefault="0096173B" w:rsidP="0096173B">
                      <w:pPr>
                        <w:jc w:val="center"/>
                        <w:rPr>
                          <w:b/>
                          <w:bCs/>
                          <w:color w:val="244061" w:themeColor="accent1" w:themeShade="80"/>
                          <w:sz w:val="24"/>
                          <w:szCs w:val="24"/>
                        </w:rPr>
                      </w:pPr>
                    </w:p>
                    <w:p w:rsidR="0096173B" w:rsidRPr="0096173B" w:rsidRDefault="0096173B" w:rsidP="0096173B">
                      <w:pPr>
                        <w:jc w:val="center"/>
                        <w:rPr>
                          <w:b/>
                          <w:bCs/>
                          <w:color w:val="244061" w:themeColor="accent1" w:themeShade="80"/>
                          <w:sz w:val="24"/>
                          <w:szCs w:val="24"/>
                        </w:rPr>
                      </w:pPr>
                    </w:p>
                    <w:p w:rsidR="0096173B" w:rsidRPr="0096173B" w:rsidRDefault="0096173B" w:rsidP="0096173B">
                      <w:pPr>
                        <w:jc w:val="center"/>
                        <w:rPr>
                          <w:b/>
                          <w:bCs/>
                          <w:color w:val="244061" w:themeColor="accent1" w:themeShade="80"/>
                          <w:sz w:val="24"/>
                          <w:szCs w:val="24"/>
                        </w:rPr>
                      </w:pPr>
                      <w:r w:rsidRPr="0096173B">
                        <w:rPr>
                          <w:b/>
                          <w:bCs/>
                          <w:color w:val="244061" w:themeColor="accent1" w:themeShade="80"/>
                          <w:sz w:val="24"/>
                          <w:szCs w:val="24"/>
                        </w:rPr>
                        <w:t>ВВТ</w:t>
                      </w:r>
                    </w:p>
                    <w:p w:rsidR="0096173B" w:rsidRPr="0096173B" w:rsidRDefault="0096173B" w:rsidP="0096173B">
                      <w:pPr>
                        <w:jc w:val="center"/>
                        <w:rPr>
                          <w:b/>
                          <w:bCs/>
                          <w:color w:val="244061" w:themeColor="accent1" w:themeShade="80"/>
                          <w:sz w:val="24"/>
                          <w:szCs w:val="24"/>
                        </w:rPr>
                      </w:pPr>
                    </w:p>
                    <w:p w:rsidR="0096173B" w:rsidRPr="0096173B" w:rsidRDefault="0096173B" w:rsidP="0096173B">
                      <w:pPr>
                        <w:jc w:val="center"/>
                        <w:rPr>
                          <w:b/>
                          <w:bCs/>
                          <w:color w:val="244061" w:themeColor="accent1" w:themeShade="80"/>
                          <w:sz w:val="24"/>
                          <w:szCs w:val="24"/>
                        </w:rPr>
                      </w:pPr>
                      <w:r w:rsidRPr="0096173B">
                        <w:rPr>
                          <w:b/>
                          <w:bCs/>
                          <w:color w:val="244061" w:themeColor="accent1" w:themeShade="80"/>
                          <w:sz w:val="24"/>
                          <w:szCs w:val="24"/>
                        </w:rPr>
                        <w:t>Белая книга</w:t>
                      </w:r>
                    </w:p>
                  </w:txbxContent>
                </v:textbox>
              </v:shape>
            </w:pict>
          </mc:Fallback>
        </mc:AlternateContent>
      </w:r>
      <w:r w:rsidRPr="003B5145">
        <w:rPr>
          <w:noProof/>
          <w:lang w:val="en-US" w:eastAsia="en-US"/>
        </w:rPr>
        <w:drawing>
          <wp:anchor distT="0" distB="0" distL="114300" distR="114300" simplePos="0" relativeHeight="251673600" behindDoc="0" locked="0" layoutInCell="1" allowOverlap="1" wp14:anchorId="7A8B771E" wp14:editId="5365B11C">
            <wp:simplePos x="0" y="0"/>
            <wp:positionH relativeFrom="column">
              <wp:posOffset>4232910</wp:posOffset>
            </wp:positionH>
            <wp:positionV relativeFrom="paragraph">
              <wp:posOffset>43815</wp:posOffset>
            </wp:positionV>
            <wp:extent cx="2174875" cy="1278255"/>
            <wp:effectExtent l="0" t="0" r="0" b="0"/>
            <wp:wrapSquare wrapText="bothSides"/>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174875" cy="1278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5145" w:rsidRPr="003B5145">
        <w:t>58.</w:t>
      </w:r>
      <w:r w:rsidR="003B5145" w:rsidRPr="003B5145">
        <w:tab/>
        <w:t>В июле 2015 года в связи с первым призывом ФСЕ о подаче заявок ЕС утвердил предоставление грантов на общую сумму 1,33</w:t>
      </w:r>
      <w:r w:rsidR="00AA108E">
        <w:t> млрд. </w:t>
      </w:r>
      <w:r w:rsidR="003B5145" w:rsidRPr="003B5145">
        <w:t>евро для инфраструктуры внутренних водных путей. Утвержденные проекты по</w:t>
      </w:r>
      <w:r w:rsidR="003B5145" w:rsidRPr="003B5145">
        <w:t>з</w:t>
      </w:r>
      <w:r w:rsidR="003B5145" w:rsidRPr="003B5145">
        <w:t>волят усовершенствовать соединения промышленных регионов и городских районов и связать их с портами. Приоритетное значение уделяется проектам по увелич</w:t>
      </w:r>
      <w:r w:rsidR="003B5145" w:rsidRPr="003B5145">
        <w:t>е</w:t>
      </w:r>
      <w:r w:rsidR="003B5145" w:rsidRPr="003B5145">
        <w:t>нию количества точек взаимодействия между водным транспортом и другими видами транспорта. Этот пр</w:t>
      </w:r>
      <w:r w:rsidR="003B5145" w:rsidRPr="003B5145">
        <w:t>и</w:t>
      </w:r>
      <w:r w:rsidR="003B5145" w:rsidRPr="003B5145">
        <w:t>зыв также способствовал появлению нового поколения пр</w:t>
      </w:r>
      <w:r w:rsidR="003B5145" w:rsidRPr="003B5145">
        <w:t>о</w:t>
      </w:r>
      <w:r w:rsidR="003B5145" w:rsidRPr="003B5145">
        <w:t>ектов в рамках речных информационных служб и проведению таких исследов</w:t>
      </w:r>
      <w:r w:rsidR="003B5145" w:rsidRPr="003B5145">
        <w:t>а</w:t>
      </w:r>
      <w:r w:rsidR="003B5145" w:rsidRPr="003B5145">
        <w:t>ний, как проект FAIRway (семь мероприятий в Австрии, Болгарии, Венгрии, Румынии, Словакии и Хорв</w:t>
      </w:r>
      <w:r w:rsidR="003B5145" w:rsidRPr="003B5145">
        <w:t>а</w:t>
      </w:r>
      <w:r w:rsidR="003B5145" w:rsidRPr="003B5145">
        <w:t>тии), предусматривающий ускорение работы по устранению узких мест и созд</w:t>
      </w:r>
      <w:r w:rsidR="003B5145" w:rsidRPr="003B5145">
        <w:t>а</w:t>
      </w:r>
      <w:r w:rsidR="003B5145" w:rsidRPr="003B5145">
        <w:t>нию условий для устойчивой навигации на Дунае (часть Генерального плана для Дуная).</w:t>
      </w:r>
    </w:p>
    <w:p w:rsidR="003B5145" w:rsidRPr="003B5145" w:rsidRDefault="003B5145" w:rsidP="003B5145">
      <w:pPr>
        <w:pStyle w:val="SingleTxt"/>
        <w:spacing w:line="240" w:lineRule="atLeast"/>
      </w:pPr>
      <w:r w:rsidRPr="003B5145">
        <w:t>59.</w:t>
      </w:r>
      <w:r w:rsidRPr="003B5145">
        <w:tab/>
        <w:t>Кроме того, в рамках ФСЕ в ноябре и декабре 2015 года ЕС утвердил две меры в поддержку программы (МПП) в интересах ЦКСР и Комиссии по реке Д</w:t>
      </w:r>
      <w:r w:rsidRPr="003B5145">
        <w:t>у</w:t>
      </w:r>
      <w:r w:rsidRPr="003B5145">
        <w:t>най. МПП направлены на укрепление обеих речных комиссий в вопросах, отн</w:t>
      </w:r>
      <w:r w:rsidRPr="003B5145">
        <w:t>о</w:t>
      </w:r>
      <w:r w:rsidRPr="003B5145">
        <w:t>сящихся к техническим стандартам и рекомендациям (сравнить КЕСНИ), набл</w:t>
      </w:r>
      <w:r w:rsidRPr="003B5145">
        <w:t>ю</w:t>
      </w:r>
      <w:r w:rsidRPr="003B5145">
        <w:t>дению за рынком, экспертным группам и консультациям с общественностью и т.д. МПП также должны способствовать обеспечению должного учета большого опыта и технических знаний, накопленных ЦКСР и ДК при создании коридоров ТЕС-Т, реализации Плана действий «Наяды II», обеспечению надлежащего с</w:t>
      </w:r>
      <w:r w:rsidRPr="003B5145">
        <w:t>о</w:t>
      </w:r>
      <w:r w:rsidRPr="003B5145">
        <w:t>стояния судоходства на всех коридорах TEС-T для ВТТ до 2030 года, развертыв</w:t>
      </w:r>
      <w:r w:rsidRPr="003B5145">
        <w:t>а</w:t>
      </w:r>
      <w:r w:rsidRPr="003B5145">
        <w:t>ния РИС и т.д.</w:t>
      </w:r>
    </w:p>
    <w:p w:rsidR="003B5145" w:rsidRPr="003B5145" w:rsidRDefault="003B5145" w:rsidP="0096173B">
      <w:pPr>
        <w:pStyle w:val="SingleTxt"/>
        <w:spacing w:line="240" w:lineRule="atLeast"/>
      </w:pPr>
      <w:r w:rsidRPr="003B5145">
        <w:lastRenderedPageBreak/>
        <w:t>60.</w:t>
      </w:r>
      <w:r w:rsidRPr="003B5145">
        <w:tab/>
        <w:t>В заключение следует отметить, что в течение 2015 года ЕС работал в те</w:t>
      </w:r>
      <w:r w:rsidRPr="003B5145">
        <w:t>с</w:t>
      </w:r>
      <w:r w:rsidRPr="003B5145">
        <w:t>ной связи с портами и операторами ВВТ в рамках обсуждения вопросов ос</w:t>
      </w:r>
      <w:r w:rsidRPr="003B5145">
        <w:t>у</w:t>
      </w:r>
      <w:r w:rsidRPr="003B5145">
        <w:t>ществления, связанных с ЕС мер, в частности по созданию возможностей для использования чистых видов топлива на основных коридорах ВВТ (например, в</w:t>
      </w:r>
      <w:r w:rsidR="0096173B">
        <w:t> </w:t>
      </w:r>
      <w:r w:rsidRPr="003B5145">
        <w:t>связи с Генеральным планом по использованию СПГ), поддержки Европейского фонда для стратегических инвестиций (ЕФСИ) в целях инвестирования в инфр</w:t>
      </w:r>
      <w:r w:rsidRPr="003B5145">
        <w:t>а</w:t>
      </w:r>
      <w:r w:rsidRPr="003B5145">
        <w:t xml:space="preserve">структуру ВВТ, обследованию финансовых потребностей операторов ВВТ или по внедрению инноваций и интеллектуальных транспортных систем в этом секторе. </w:t>
      </w:r>
    </w:p>
    <w:p w:rsidR="003B5145" w:rsidRPr="003B5145" w:rsidRDefault="003B5145" w:rsidP="003B5145">
      <w:pPr>
        <w:pStyle w:val="SingleTxt"/>
        <w:spacing w:line="240" w:lineRule="atLeast"/>
      </w:pPr>
      <w:r w:rsidRPr="003B5145">
        <w:t>61.</w:t>
      </w:r>
      <w:r w:rsidRPr="003B5145">
        <w:tab/>
        <w:t>В сфере законодательной деятельности Европейский парламент и Совет д</w:t>
      </w:r>
      <w:r w:rsidRPr="003B5145">
        <w:t>о</w:t>
      </w:r>
      <w:r w:rsidRPr="003B5145">
        <w:t>стигли устойчивого прогресса в связи с завершением пересмотра директ</w:t>
      </w:r>
      <w:r w:rsidRPr="003B5145">
        <w:t>и</w:t>
      </w:r>
      <w:r w:rsidRPr="003B5145">
        <w:t>в</w:t>
      </w:r>
      <w:r w:rsidR="00165402">
        <w:t>ы </w:t>
      </w:r>
      <w:r w:rsidRPr="003B5145">
        <w:t>2006/87, касающейся технических предписаний, применимых к судам вну</w:t>
      </w:r>
      <w:r w:rsidRPr="003B5145">
        <w:t>т</w:t>
      </w:r>
      <w:r w:rsidRPr="003B5145">
        <w:t>реннего плавания. Комиссия также провела полную оценку последствий возмо</w:t>
      </w:r>
      <w:r w:rsidRPr="003B5145">
        <w:t>ж</w:t>
      </w:r>
      <w:r w:rsidRPr="003B5145">
        <w:t>ных вариантов расширения взаимного признания квалификационных свидетел</w:t>
      </w:r>
      <w:r w:rsidRPr="003B5145">
        <w:t>ь</w:t>
      </w:r>
      <w:r w:rsidRPr="003B5145">
        <w:t>ств судоводителей и членов экипажа на ВВТ. В 2016 году планируется предст</w:t>
      </w:r>
      <w:r w:rsidRPr="003B5145">
        <w:t>а</w:t>
      </w:r>
      <w:r w:rsidRPr="003B5145">
        <w:t xml:space="preserve">вить Парламенту и Совету новое законодательное предложение. </w:t>
      </w:r>
    </w:p>
    <w:p w:rsidR="0096173B" w:rsidRPr="0096173B" w:rsidRDefault="0096173B" w:rsidP="0096173B">
      <w:pPr>
        <w:pStyle w:val="SingleTxt"/>
        <w:spacing w:after="0" w:line="120" w:lineRule="exact"/>
        <w:rPr>
          <w:b/>
          <w:sz w:val="10"/>
        </w:rPr>
      </w:pPr>
    </w:p>
    <w:p w:rsidR="0096173B" w:rsidRPr="0096173B" w:rsidRDefault="0096173B" w:rsidP="0096173B">
      <w:pPr>
        <w:pStyle w:val="SingleTxt"/>
        <w:spacing w:after="0" w:line="120" w:lineRule="exact"/>
        <w:rPr>
          <w:b/>
          <w:sz w:val="10"/>
        </w:rPr>
      </w:pPr>
    </w:p>
    <w:p w:rsidR="003B5145" w:rsidRPr="003B5145" w:rsidRDefault="003B5145" w:rsidP="0096173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5145">
        <w:tab/>
      </w:r>
      <w:r w:rsidRPr="003B5145">
        <w:rPr>
          <w:lang w:val="en-US"/>
        </w:rPr>
        <w:t>VI</w:t>
      </w:r>
      <w:r w:rsidRPr="003B5145">
        <w:t>.</w:t>
      </w:r>
      <w:r w:rsidRPr="003B5145">
        <w:tab/>
        <w:t>Обеспечение непрерывной мобильности пассажиров в</w:t>
      </w:r>
      <w:r w:rsidR="0096173B">
        <w:t> </w:t>
      </w:r>
      <w:r w:rsidRPr="003B5145">
        <w:t>случае сбоев в транспортной системе</w:t>
      </w:r>
    </w:p>
    <w:p w:rsidR="0096173B" w:rsidRPr="0096173B" w:rsidRDefault="0096173B" w:rsidP="0096173B">
      <w:pPr>
        <w:pStyle w:val="SingleTxt"/>
        <w:spacing w:after="0" w:line="120" w:lineRule="exact"/>
        <w:rPr>
          <w:b/>
          <w:sz w:val="10"/>
        </w:rPr>
      </w:pPr>
    </w:p>
    <w:p w:rsidR="0096173B" w:rsidRPr="0096173B" w:rsidRDefault="0096173B" w:rsidP="0096173B">
      <w:pPr>
        <w:pStyle w:val="SingleTxt"/>
        <w:spacing w:after="0" w:line="120" w:lineRule="exact"/>
        <w:rPr>
          <w:b/>
          <w:sz w:val="10"/>
        </w:rPr>
      </w:pPr>
    </w:p>
    <w:p w:rsidR="003B5145" w:rsidRPr="003B5145" w:rsidRDefault="003B5145" w:rsidP="009617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5145">
        <w:tab/>
        <w:t>А.</w:t>
      </w:r>
      <w:r w:rsidRPr="003B5145">
        <w:tab/>
        <w:t>Бремен и Эстерсунд были объявлены лидерами в области городской мобильности в Европе</w:t>
      </w:r>
    </w:p>
    <w:p w:rsidR="0096173B" w:rsidRPr="0096173B" w:rsidRDefault="0096173B" w:rsidP="0096173B">
      <w:pPr>
        <w:pStyle w:val="SingleTxt"/>
        <w:spacing w:after="0" w:line="120" w:lineRule="exact"/>
        <w:rPr>
          <w:sz w:val="10"/>
        </w:rPr>
      </w:pPr>
    </w:p>
    <w:p w:rsidR="0096173B" w:rsidRPr="0096173B" w:rsidRDefault="0096173B" w:rsidP="0096173B">
      <w:pPr>
        <w:pStyle w:val="SingleTxt"/>
        <w:spacing w:after="0" w:line="120" w:lineRule="exact"/>
        <w:rPr>
          <w:sz w:val="10"/>
        </w:rPr>
      </w:pPr>
    </w:p>
    <w:p w:rsidR="003B5145" w:rsidRPr="003B5145" w:rsidRDefault="003B5145" w:rsidP="003B5145">
      <w:pPr>
        <w:pStyle w:val="SingleTxt"/>
        <w:spacing w:line="240" w:lineRule="atLeast"/>
      </w:pPr>
      <w:r w:rsidRPr="003B5145">
        <w:t>62.</w:t>
      </w:r>
      <w:r w:rsidRPr="003B5145">
        <w:tab/>
        <w:t>23 марта на состоявшейся в Брюсселе церемонии Европейский комиссар по транспорту Виолетта Балк вручила Бремену (Германия) премию за реализацию Плана по устойчивой городской мобильности (ПУГМ). Генеральный директор Генерального директората Европейской комиссии по окружающей среде Карл Фалькенберг вручил премию городу Эстерсунду (Швеция), который стал побед</w:t>
      </w:r>
      <w:r w:rsidRPr="003B5145">
        <w:t>и</w:t>
      </w:r>
      <w:r w:rsidRPr="003B5145">
        <w:t>телем в рамках Европейской недели мобильности.</w:t>
      </w:r>
    </w:p>
    <w:p w:rsidR="003B5145" w:rsidRPr="003B5145" w:rsidRDefault="003B5145" w:rsidP="003B5145">
      <w:pPr>
        <w:pStyle w:val="SingleTxt"/>
        <w:spacing w:line="240" w:lineRule="atLeast"/>
      </w:pPr>
      <w:r w:rsidRPr="003B5145">
        <w:t>63.</w:t>
      </w:r>
      <w:r w:rsidRPr="003B5145">
        <w:tab/>
        <w:t>Комиссар Балк заявила: «Эти города изыскали креативные и инновацио</w:t>
      </w:r>
      <w:r w:rsidRPr="003B5145">
        <w:t>н</w:t>
      </w:r>
      <w:r w:rsidRPr="003B5145">
        <w:t>ные пути улучшения состояния городской среды благодаря использованию эк</w:t>
      </w:r>
      <w:r w:rsidRPr="003B5145">
        <w:t>о</w:t>
      </w:r>
      <w:r w:rsidRPr="003B5145">
        <w:t>логически более чистых решений на транспорте. Я хотела бы поздравить все вышедшие в финал города за проявленные ими целеустремленность и решимость в решении стоящих перед ними конкретных проблем. Бремен подал прекрасный пример в налаживании взаимодействия с его жителями в деле разработки планов городской мобильности на основе уроков, извлеченных из накопленного ранее опыта, и координации своей деятельности с равными по масштабам городами и партнерами. Эстерсунд получает признание в ходе Европейской недели мобил</w:t>
      </w:r>
      <w:r w:rsidRPr="003B5145">
        <w:t>ь</w:t>
      </w:r>
      <w:r w:rsidRPr="003B5145">
        <w:t xml:space="preserve">ности 2014 года в связи с проведением им амбициозной кампании по реализации программы, предусматривающей разнообразные варианты создания устойчивых транспортных связей». </w:t>
      </w:r>
    </w:p>
    <w:p w:rsidR="003B5145" w:rsidRPr="003B5145" w:rsidRDefault="003B5145" w:rsidP="003B5145">
      <w:pPr>
        <w:pStyle w:val="SingleTxt"/>
        <w:spacing w:line="240" w:lineRule="atLeast"/>
      </w:pPr>
      <w:r w:rsidRPr="003B5145">
        <w:t>64.</w:t>
      </w:r>
      <w:r w:rsidRPr="003B5145">
        <w:tab/>
        <w:t>Генеральный директор ГД по окружающей среде Карл Фалькенберг заметил: «Возможность дышать чистым воздухом не кажется непомерным требованием, но загрязнение воздуха по-прежнему является причиной необоснованного с</w:t>
      </w:r>
      <w:r w:rsidRPr="003B5145">
        <w:t>о</w:t>
      </w:r>
      <w:r w:rsidRPr="003B5145">
        <w:t>кращения продолжительности жизни слишком многих европейцев на всем нашем континенте. Значительная доля загрязнения приходится на частные транспор</w:t>
      </w:r>
      <w:r w:rsidRPr="003B5145">
        <w:t>т</w:t>
      </w:r>
      <w:r w:rsidRPr="003B5145">
        <w:t>ные средства, в связи с чем весьма обнадеживает применение экологически ч</w:t>
      </w:r>
      <w:r w:rsidRPr="003B5145">
        <w:t>и</w:t>
      </w:r>
      <w:r w:rsidRPr="003B5145">
        <w:t>стых «зеленых» решений в области городской мобильности. Повышение мобил</w:t>
      </w:r>
      <w:r w:rsidRPr="003B5145">
        <w:t>ь</w:t>
      </w:r>
      <w:r w:rsidRPr="003B5145">
        <w:t xml:space="preserve">ности позволяет не только повысить качество воздуха, но и сократить выбросы и создать менее шумную и более здоровую городскую среду для всех». </w:t>
      </w:r>
    </w:p>
    <w:p w:rsidR="003B5145" w:rsidRPr="003B5145" w:rsidRDefault="003B5145" w:rsidP="0096173B">
      <w:pPr>
        <w:pStyle w:val="SingleTxt"/>
        <w:keepLines/>
        <w:spacing w:line="240" w:lineRule="atLeast"/>
      </w:pPr>
      <w:r w:rsidRPr="003B5145">
        <w:lastRenderedPageBreak/>
        <w:t>65.</w:t>
      </w:r>
      <w:r w:rsidRPr="003B5145">
        <w:tab/>
        <w:t>Конкурсное жюри выразило особое признание Салоникам (Греция) за пр</w:t>
      </w:r>
      <w:r w:rsidRPr="003B5145">
        <w:t>о</w:t>
      </w:r>
      <w:r w:rsidRPr="003B5145">
        <w:t>явленную этим городом твердую решимость и его усилия по реализации ПУГМ. Это первый греческий город, который уже в феврале 2014 года принял первый ПУГМ и приложил огромные усилия в сложных для работы условиях по созд</w:t>
      </w:r>
      <w:r w:rsidRPr="003B5145">
        <w:t>а</w:t>
      </w:r>
      <w:r w:rsidRPr="003B5145">
        <w:t>нию принципиально новых процедур осуществления, мониторинга и оценки св</w:t>
      </w:r>
      <w:r w:rsidRPr="003B5145">
        <w:t>о</w:t>
      </w:r>
      <w:r w:rsidRPr="003B5145">
        <w:t xml:space="preserve">его плана мобильности. </w:t>
      </w:r>
    </w:p>
    <w:p w:rsidR="003B5145" w:rsidRPr="003B5145" w:rsidRDefault="003B5145" w:rsidP="00165402">
      <w:pPr>
        <w:pStyle w:val="SingleTxt"/>
        <w:spacing w:line="240" w:lineRule="atLeast"/>
      </w:pPr>
      <w:r w:rsidRPr="003B5145">
        <w:t>66.</w:t>
      </w:r>
      <w:r w:rsidRPr="003B5145">
        <w:tab/>
        <w:t>Премия в размере 10 000 евро вручена Бремену за проявленный им творч</w:t>
      </w:r>
      <w:r w:rsidRPr="003B5145">
        <w:t>е</w:t>
      </w:r>
      <w:r w:rsidRPr="003B5145">
        <w:t xml:space="preserve">ский и системный подход к мониторингу и оценке. Для сбора откликов жителей использовалась интерактивная веб-платформа. На основе этих откликов и других данных был проведен анализ сильных и слабых </w:t>
      </w:r>
      <w:r w:rsidR="00165402">
        <w:t>сторон, возможностей и угроз </w:t>
      </w:r>
      <w:r w:rsidRPr="003B5145">
        <w:t>(ССВУ). Было рассмотрено пять разных сценариев, отражающих после</w:t>
      </w:r>
      <w:r w:rsidRPr="003B5145">
        <w:t>д</w:t>
      </w:r>
      <w:r w:rsidRPr="003B5145">
        <w:t>ствия разных мер, например осуществления крупных инвестиций в обществе</w:t>
      </w:r>
      <w:r w:rsidRPr="003B5145">
        <w:t>н</w:t>
      </w:r>
      <w:r w:rsidRPr="003B5145">
        <w:t>ны</w:t>
      </w:r>
      <w:r w:rsidR="00165402">
        <w:t>й</w:t>
      </w:r>
      <w:r w:rsidRPr="003B5145">
        <w:t xml:space="preserve"> транспорт или принятия малозатратных мер по поощрению пешеходного и велосипедного движения. Эти сценарии показали, что поощрение активной м</w:t>
      </w:r>
      <w:r w:rsidRPr="003B5145">
        <w:t>о</w:t>
      </w:r>
      <w:r w:rsidRPr="003B5145">
        <w:t xml:space="preserve">бильности является наиболее эффективной стратегией для Бремена. Наконец, под руководством внешних экспертов был проведен анализ затрат и выгод. </w:t>
      </w:r>
    </w:p>
    <w:p w:rsidR="003B5145" w:rsidRPr="003B5145" w:rsidRDefault="003B5145" w:rsidP="003B5145">
      <w:pPr>
        <w:pStyle w:val="SingleTxt"/>
        <w:spacing w:line="240" w:lineRule="atLeast"/>
      </w:pPr>
      <w:r w:rsidRPr="003B5145">
        <w:t>67.</w:t>
      </w:r>
      <w:r w:rsidRPr="003B5145">
        <w:tab/>
        <w:t>На членов жюри особое впечатление произвела эффективность принятых Бременом стратегий мониторинга и оценки, которые явились основным факт</w:t>
      </w:r>
      <w:r w:rsidRPr="003B5145">
        <w:t>о</w:t>
      </w:r>
      <w:r w:rsidRPr="003B5145">
        <w:t>ром, повлиявшим на выбор победителя. В частности, члены жюри позитивно о</w:t>
      </w:r>
      <w:r w:rsidRPr="003B5145">
        <w:t>т</w:t>
      </w:r>
      <w:r w:rsidRPr="003B5145">
        <w:t>метили способность Бремена извлекать уроки и эффективно доводить их до з</w:t>
      </w:r>
      <w:r w:rsidRPr="003B5145">
        <w:t>а</w:t>
      </w:r>
      <w:r w:rsidRPr="003B5145">
        <w:t>интересованных сторон. Для повышения информированности населения испол</w:t>
      </w:r>
      <w:r w:rsidRPr="003B5145">
        <w:t>ь</w:t>
      </w:r>
      <w:r w:rsidRPr="003B5145">
        <w:t xml:space="preserve">зовались такие формы работы, как проведение общих собраний и использование информационных киосков. </w:t>
      </w:r>
    </w:p>
    <w:p w:rsidR="003B5145" w:rsidRPr="003B5145" w:rsidRDefault="003B5145" w:rsidP="003B5145">
      <w:pPr>
        <w:pStyle w:val="SingleTxt"/>
        <w:spacing w:line="240" w:lineRule="atLeast"/>
      </w:pPr>
      <w:r w:rsidRPr="003B5145">
        <w:t>68.</w:t>
      </w:r>
      <w:r w:rsidRPr="003B5145">
        <w:tab/>
        <w:t>В число других финалистов вошли Дрезден (Германия) и Гент (Бельгия). Эстерсунд участвовал в Европейской неделе мобильности 12 лет подряд, и его успех за последний год, отмеченный 3-минутным пропагандистским видеомат</w:t>
      </w:r>
      <w:r w:rsidRPr="003B5145">
        <w:t>е</w:t>
      </w:r>
      <w:r w:rsidRPr="003B5145">
        <w:t>риалом, последовал за его отбором в число финалистов в 2012 году. С учетом т</w:t>
      </w:r>
      <w:r w:rsidRPr="003B5145">
        <w:t>о</w:t>
      </w:r>
      <w:r w:rsidRPr="003B5145">
        <w:t>го, что в Эстерсунде насчитывается более 7 000 студентов, этот город работает в тесном сотрудничестве со Средне-шведским университетом, с тем чтобы поб</w:t>
      </w:r>
      <w:r w:rsidRPr="003B5145">
        <w:t>у</w:t>
      </w:r>
      <w:r w:rsidRPr="003B5145">
        <w:t>дить студентов к использованию устойчивых вариантов передвижения. В пр</w:t>
      </w:r>
      <w:r w:rsidRPr="003B5145">
        <w:t>о</w:t>
      </w:r>
      <w:r w:rsidRPr="003B5145">
        <w:t>шлом году город сосредоточил свои усилия на сотрудничестве и обеспечении и</w:t>
      </w:r>
      <w:r w:rsidRPr="003B5145">
        <w:t>н</w:t>
      </w:r>
      <w:r w:rsidRPr="003B5145">
        <w:t>клюзивности, например, путем организации трехдневных курсов по обучению велосипедной езде молодых мигрантов. Эстерсунд также является ведущим партнером проекта «Зеленая магистраль», целью которого является создание а</w:t>
      </w:r>
      <w:r w:rsidRPr="003B5145">
        <w:t>в</w:t>
      </w:r>
      <w:r w:rsidRPr="003B5145">
        <w:t xml:space="preserve">тодорожной магистрали в Швеции и Норвегии протяженностью 440 километров, на которой не должны использоваться ископаемые виды топлива. </w:t>
      </w:r>
    </w:p>
    <w:p w:rsidR="003B5145" w:rsidRPr="003B5145" w:rsidRDefault="003B5145" w:rsidP="003B5145">
      <w:pPr>
        <w:pStyle w:val="SingleTxt"/>
        <w:spacing w:line="240" w:lineRule="atLeast"/>
      </w:pPr>
      <w:r w:rsidRPr="003B5145">
        <w:t>69.</w:t>
      </w:r>
      <w:r w:rsidRPr="003B5145">
        <w:tab/>
        <w:t>Кроме того, городом принят целый ряд постоянно действующих мер, вкл</w:t>
      </w:r>
      <w:r w:rsidRPr="003B5145">
        <w:t>ю</w:t>
      </w:r>
      <w:r w:rsidRPr="003B5145">
        <w:t>чая создание улучшенной инфраструктуры для велосипедного и пешеходного движения, строительство новых крытых автобусных остановок, а также обесп</w:t>
      </w:r>
      <w:r w:rsidRPr="003B5145">
        <w:t>е</w:t>
      </w:r>
      <w:r w:rsidRPr="003B5145">
        <w:t>чение информирования пассажиров общественного транспорта в реальном вр</w:t>
      </w:r>
      <w:r w:rsidRPr="003B5145">
        <w:t>е</w:t>
      </w:r>
      <w:r w:rsidRPr="003B5145">
        <w:t xml:space="preserve">мени с использованием мобильного приложения и создание инфраструктуры для зарядки электромобилей. </w:t>
      </w:r>
    </w:p>
    <w:p w:rsidR="003B5145" w:rsidRPr="003B5145" w:rsidRDefault="003B5145" w:rsidP="003B5145">
      <w:pPr>
        <w:pStyle w:val="SingleTxt"/>
        <w:spacing w:line="240" w:lineRule="atLeast"/>
      </w:pPr>
      <w:r w:rsidRPr="003B5145">
        <w:t>70.</w:t>
      </w:r>
      <w:r w:rsidRPr="003B5145">
        <w:tab/>
        <w:t xml:space="preserve">Двумя другими финалистами являются Мурсия (Испания) и Вена (Австрия). </w:t>
      </w:r>
    </w:p>
    <w:p w:rsidR="0096173B" w:rsidRPr="0096173B" w:rsidRDefault="0096173B" w:rsidP="0096173B">
      <w:pPr>
        <w:pStyle w:val="SingleTxt"/>
        <w:spacing w:after="0" w:line="120" w:lineRule="exact"/>
        <w:rPr>
          <w:i/>
          <w:sz w:val="10"/>
        </w:rPr>
      </w:pPr>
    </w:p>
    <w:p w:rsidR="003B5145" w:rsidRPr="003B5145" w:rsidRDefault="003B5145" w:rsidP="003B5145">
      <w:pPr>
        <w:pStyle w:val="SingleTxt"/>
        <w:spacing w:line="240" w:lineRule="atLeast"/>
      </w:pPr>
      <w:r w:rsidRPr="003B5145">
        <w:rPr>
          <w:i/>
        </w:rPr>
        <w:t>Справочная информация</w:t>
      </w:r>
    </w:p>
    <w:p w:rsidR="003B5145" w:rsidRPr="003B5145" w:rsidRDefault="003B5145" w:rsidP="003B5145">
      <w:pPr>
        <w:pStyle w:val="SingleTxt"/>
        <w:spacing w:line="240" w:lineRule="atLeast"/>
      </w:pPr>
      <w:r w:rsidRPr="003B5145">
        <w:t>71.</w:t>
      </w:r>
      <w:r w:rsidRPr="003B5145">
        <w:tab/>
        <w:t>Премия ПУГМ выдается местным органам власти, которые демонстрируют значительные успехи в рамках конкретной темы. В этом году в центре внимания находилось проведение мониторинга и оценки процессов планирования и мер по осуществлению планов устойчивой городской мобильности. Для участия в ко</w:t>
      </w:r>
      <w:r w:rsidRPr="003B5145">
        <w:t>н</w:t>
      </w:r>
      <w:r w:rsidRPr="003B5145">
        <w:t xml:space="preserve">курсе на премию ПУГМ в этом году было подано 17 заявок из 10 стран. </w:t>
      </w:r>
    </w:p>
    <w:p w:rsidR="003B5145" w:rsidRPr="003B5145" w:rsidRDefault="003B5145" w:rsidP="00672D0E">
      <w:pPr>
        <w:pStyle w:val="SingleTxt"/>
        <w:spacing w:line="240" w:lineRule="atLeast"/>
      </w:pPr>
      <w:r w:rsidRPr="003B5145">
        <w:lastRenderedPageBreak/>
        <w:t>72.</w:t>
      </w:r>
      <w:r w:rsidRPr="003B5145">
        <w:tab/>
        <w:t>В состав членов жюри по присуждению премии ПУГМ входят специалисты в области транспорта и городского планирования: Патрициа Мальджьери, ко</w:t>
      </w:r>
      <w:r w:rsidRPr="003B5145">
        <w:t>н</w:t>
      </w:r>
      <w:r w:rsidR="00672D0E">
        <w:t>салтинговая компания ТРТ («</w:t>
      </w:r>
      <w:r w:rsidRPr="003B5145">
        <w:t>Транспорт и территория</w:t>
      </w:r>
      <w:r w:rsidR="00672D0E">
        <w:t>»</w:t>
      </w:r>
      <w:r w:rsidRPr="003B5145">
        <w:t>), Альяз Плевник, УИРС (Институт городского хозяйства Республики Словения) и Сюзанна Бёлер-Бедекер, консалтинговая компания «Руппрехт конзульт».</w:t>
      </w:r>
    </w:p>
    <w:p w:rsidR="003B5145" w:rsidRPr="003B5145" w:rsidRDefault="003B5145" w:rsidP="003B5145">
      <w:pPr>
        <w:pStyle w:val="SingleTxt"/>
        <w:spacing w:line="240" w:lineRule="atLeast"/>
      </w:pPr>
      <w:r w:rsidRPr="003B5145">
        <w:t>73.</w:t>
      </w:r>
      <w:r w:rsidRPr="003B5145">
        <w:tab/>
        <w:t>Для участия в конкурсе на получение премии в рамках Европейской недели мобильности заявки подали в общей сложности 38 городов из 18 стран. Эти г</w:t>
      </w:r>
      <w:r w:rsidRPr="003B5145">
        <w:t>о</w:t>
      </w:r>
      <w:r w:rsidRPr="003B5145">
        <w:t>рода были отобраны на основе их активности по теме ЕНМ 2014 «Наши улицы, наш выбор».</w:t>
      </w:r>
    </w:p>
    <w:p w:rsidR="003B5145" w:rsidRPr="003B5145" w:rsidRDefault="003B5145" w:rsidP="003B5145">
      <w:pPr>
        <w:pStyle w:val="SingleTxt"/>
        <w:spacing w:line="240" w:lineRule="atLeast"/>
      </w:pPr>
      <w:r w:rsidRPr="003B5145">
        <w:t>74.</w:t>
      </w:r>
      <w:r w:rsidRPr="003B5145">
        <w:tab/>
        <w:t>В состав жюри, присуждающего премию в рамках ЕНМ, вошли четыре н</w:t>
      </w:r>
      <w:r w:rsidRPr="003B5145">
        <w:t>е</w:t>
      </w:r>
      <w:r w:rsidRPr="003B5145">
        <w:t xml:space="preserve">зависимых эксперта по вопросам транспорта: Виллиам Тодтс, «Транспорт и окружающая среда» (ТОС), Роберт Прессель, консалтинговая компания </w:t>
      </w:r>
      <w:r w:rsidR="0096173B">
        <w:br/>
      </w:r>
      <w:r w:rsidRPr="003B5145">
        <w:rPr>
          <w:lang w:val="en-US"/>
        </w:rPr>
        <w:t>FGM</w:t>
      </w:r>
      <w:r w:rsidRPr="003B5145">
        <w:t>-</w:t>
      </w:r>
      <w:r w:rsidRPr="003B5145">
        <w:rPr>
          <w:lang w:val="en-US"/>
        </w:rPr>
        <w:t>AMOR</w:t>
      </w:r>
      <w:r w:rsidRPr="003B5145">
        <w:t xml:space="preserve"> («Исследования мобильности в Австрии»), Винсент Мершерт, ко</w:t>
      </w:r>
      <w:r w:rsidRPr="003B5145">
        <w:t>н</w:t>
      </w:r>
      <w:r w:rsidRPr="003B5145">
        <w:t xml:space="preserve">сультативное бюро «Тражект», Бенедикт Свеннен, ЕФВ (Европейская федерация велосипедистов), представитель ГД по окружающей среде и представитель ГД по мобильности и транспорту. </w:t>
      </w:r>
    </w:p>
    <w:p w:rsidR="0096173B" w:rsidRPr="0096173B" w:rsidRDefault="0096173B" w:rsidP="0096173B">
      <w:pPr>
        <w:pStyle w:val="SingleTxt"/>
        <w:spacing w:after="0" w:line="120" w:lineRule="exact"/>
        <w:rPr>
          <w:b/>
          <w:sz w:val="10"/>
        </w:rPr>
      </w:pPr>
    </w:p>
    <w:p w:rsidR="0096173B" w:rsidRPr="0096173B" w:rsidRDefault="0096173B" w:rsidP="0096173B">
      <w:pPr>
        <w:pStyle w:val="SingleTxt"/>
        <w:spacing w:after="0" w:line="120" w:lineRule="exact"/>
        <w:rPr>
          <w:b/>
          <w:sz w:val="10"/>
        </w:rPr>
      </w:pPr>
    </w:p>
    <w:p w:rsidR="003B5145" w:rsidRPr="003B5145" w:rsidRDefault="003B5145" w:rsidP="0096173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5145">
        <w:tab/>
      </w:r>
      <w:r w:rsidRPr="003B5145">
        <w:rPr>
          <w:lang w:val="en-US"/>
        </w:rPr>
        <w:t>VII</w:t>
      </w:r>
      <w:r w:rsidRPr="003B5145">
        <w:t>.</w:t>
      </w:r>
      <w:r w:rsidRPr="003B5145">
        <w:tab/>
        <w:t>Сокращение зависимости от нефти и борьба с</w:t>
      </w:r>
      <w:r w:rsidR="0096173B">
        <w:t> </w:t>
      </w:r>
      <w:r w:rsidRPr="003B5145">
        <w:t>изменением климата</w:t>
      </w:r>
    </w:p>
    <w:p w:rsidR="0096173B" w:rsidRPr="0096173B" w:rsidRDefault="0096173B" w:rsidP="0096173B">
      <w:pPr>
        <w:pStyle w:val="SingleTxt"/>
        <w:spacing w:after="0" w:line="120" w:lineRule="exact"/>
        <w:rPr>
          <w:b/>
          <w:sz w:val="10"/>
        </w:rPr>
      </w:pPr>
    </w:p>
    <w:p w:rsidR="0096173B" w:rsidRPr="0096173B" w:rsidRDefault="0096173B" w:rsidP="0096173B">
      <w:pPr>
        <w:pStyle w:val="SingleTxt"/>
        <w:spacing w:after="0" w:line="120" w:lineRule="exact"/>
        <w:rPr>
          <w:b/>
          <w:sz w:val="10"/>
        </w:rPr>
      </w:pPr>
    </w:p>
    <w:p w:rsidR="003B5145" w:rsidRPr="003B5145" w:rsidRDefault="003B5145" w:rsidP="009617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5145">
        <w:tab/>
      </w:r>
      <w:r w:rsidRPr="003B5145">
        <w:tab/>
        <w:t>Учреждение группы экспертов по альтернативным видам топлива – Форум по устойчивому транспорту</w:t>
      </w:r>
    </w:p>
    <w:p w:rsidR="0096173B" w:rsidRPr="0096173B" w:rsidRDefault="0096173B" w:rsidP="0096173B">
      <w:pPr>
        <w:pStyle w:val="SingleTxt"/>
        <w:spacing w:after="0" w:line="120" w:lineRule="exact"/>
        <w:rPr>
          <w:sz w:val="10"/>
        </w:rPr>
      </w:pPr>
    </w:p>
    <w:p w:rsidR="0096173B" w:rsidRPr="0096173B" w:rsidRDefault="0096173B" w:rsidP="0096173B">
      <w:pPr>
        <w:pStyle w:val="SingleTxt"/>
        <w:spacing w:after="0" w:line="120" w:lineRule="exact"/>
        <w:rPr>
          <w:sz w:val="10"/>
        </w:rPr>
      </w:pPr>
    </w:p>
    <w:p w:rsidR="003B5145" w:rsidRPr="003B5145" w:rsidRDefault="003B5145" w:rsidP="003B5145">
      <w:pPr>
        <w:pStyle w:val="SingleTxt"/>
        <w:spacing w:line="240" w:lineRule="atLeast"/>
      </w:pPr>
      <w:r w:rsidRPr="003B5145">
        <w:t>75.</w:t>
      </w:r>
      <w:r w:rsidRPr="003B5145">
        <w:tab/>
        <w:t>После принятия директивы 2014/94/EU о развертывании инфраструктуры для альтернативных видов топлива 23 апреля 2015 года Европейская комиссия объявила о создании Форума по устойчивому транспорту (ФУТ).</w:t>
      </w:r>
    </w:p>
    <w:p w:rsidR="003B5145" w:rsidRPr="003B5145" w:rsidRDefault="003B5145" w:rsidP="003B5145">
      <w:pPr>
        <w:pStyle w:val="SingleTxt"/>
        <w:spacing w:line="240" w:lineRule="atLeast"/>
      </w:pPr>
      <w:r w:rsidRPr="003B5145">
        <w:t>76.</w:t>
      </w:r>
      <w:r w:rsidRPr="003B5145">
        <w:tab/>
        <w:t>ФУТ должен помогать Комиссии в работе по применению стратегии по ч</w:t>
      </w:r>
      <w:r w:rsidRPr="003B5145">
        <w:t>и</w:t>
      </w:r>
      <w:r w:rsidRPr="003B5145">
        <w:t>стым источникам энергии для транспорта и об</w:t>
      </w:r>
      <w:r w:rsidR="00165402">
        <w:t>легчать осуществление директ</w:t>
      </w:r>
      <w:r w:rsidR="00165402">
        <w:t>и</w:t>
      </w:r>
      <w:r w:rsidR="00165402">
        <w:t>вы </w:t>
      </w:r>
      <w:r w:rsidRPr="003B5145">
        <w:t>2014/94/EU. Он должен оказывать Комиссии содействие в осуществлении д</w:t>
      </w:r>
      <w:r w:rsidRPr="003B5145">
        <w:t>е</w:t>
      </w:r>
      <w:r w:rsidRPr="003B5145">
        <w:t>ятельности и программ Союза, направленных на оказание поддержки разверт</w:t>
      </w:r>
      <w:r w:rsidRPr="003B5145">
        <w:t>ы</w:t>
      </w:r>
      <w:r w:rsidRPr="003B5145">
        <w:t>ванию инфраструктуры для альтернативных видов топлива, и вносить вклад в достижения целей ЕС в области энергетики и климата.</w:t>
      </w:r>
    </w:p>
    <w:p w:rsidR="003B5145" w:rsidRPr="003B5145" w:rsidRDefault="003B5145" w:rsidP="003B5145">
      <w:pPr>
        <w:pStyle w:val="SingleTxt"/>
        <w:spacing w:line="240" w:lineRule="atLeast"/>
      </w:pPr>
      <w:r w:rsidRPr="003B5145">
        <w:t>77.</w:t>
      </w:r>
      <w:r w:rsidRPr="003B5145">
        <w:tab/>
        <w:t>ФУТ объединяет государства-члены и заинтересованные стороны, заним</w:t>
      </w:r>
      <w:r w:rsidRPr="003B5145">
        <w:t>а</w:t>
      </w:r>
      <w:r w:rsidRPr="003B5145">
        <w:t>ющиеся производством альтернативных видов топлива. На форуме будут созданы возможности для проведения структурированного диалога, обмена передовой практикой и координации и тем самым для обсуждения практических вопросов, которые могут возникнуть в процессе осуществления директивы 2014/94/EU.</w:t>
      </w:r>
    </w:p>
    <w:p w:rsidR="003B5145" w:rsidRPr="003B5145" w:rsidRDefault="003B5145" w:rsidP="003B5145">
      <w:pPr>
        <w:pStyle w:val="SingleTxt"/>
        <w:spacing w:line="240" w:lineRule="atLeast"/>
      </w:pPr>
      <w:r w:rsidRPr="003B5145">
        <w:t>78.</w:t>
      </w:r>
      <w:r w:rsidRPr="003B5145">
        <w:tab/>
        <w:t>Первое совещание ФУТ состоялось 29 июня 2015 года. ФУТ имеет следу</w:t>
      </w:r>
      <w:r w:rsidRPr="003B5145">
        <w:t>ю</w:t>
      </w:r>
      <w:r w:rsidRPr="003B5145">
        <w:t>щую структуру: пленарное заседание, секретариат и непостоянные технические подгруппы для дальнейшей разработки мер, предусмотренных в решении Коми</w:t>
      </w:r>
      <w:r w:rsidRPr="003B5145">
        <w:t>с</w:t>
      </w:r>
      <w:r w:rsidRPr="003B5145">
        <w:t xml:space="preserve">сии. ФУТ, в частности, планирует: </w:t>
      </w:r>
    </w:p>
    <w:p w:rsidR="003B5145" w:rsidRPr="003B5145" w:rsidRDefault="0096173B" w:rsidP="0096173B">
      <w:pPr>
        <w:pStyle w:val="SingleTxt"/>
        <w:tabs>
          <w:tab w:val="right" w:pos="1685"/>
        </w:tabs>
        <w:spacing w:line="240" w:lineRule="atLeast"/>
        <w:ind w:left="1742" w:hanging="475"/>
      </w:pPr>
      <w:r w:rsidRPr="0096173B">
        <w:rPr>
          <w:noProof/>
          <w:lang w:val="en-US" w:eastAsia="en-US"/>
        </w:rPr>
        <mc:AlternateContent>
          <mc:Choice Requires="wps">
            <w:drawing>
              <wp:anchor distT="0" distB="0" distL="114300" distR="114300" simplePos="0" relativeHeight="251700224" behindDoc="0" locked="0" layoutInCell="1" allowOverlap="1" wp14:anchorId="381B4528" wp14:editId="0938D60B">
                <wp:simplePos x="0" y="0"/>
                <wp:positionH relativeFrom="column">
                  <wp:posOffset>4334469</wp:posOffset>
                </wp:positionH>
                <wp:positionV relativeFrom="paragraph">
                  <wp:posOffset>102020</wp:posOffset>
                </wp:positionV>
                <wp:extent cx="1941830" cy="1169670"/>
                <wp:effectExtent l="0" t="0" r="0" b="0"/>
                <wp:wrapNone/>
                <wp:docPr id="24" name="Поле 14"/>
                <wp:cNvGraphicFramePr/>
                <a:graphic xmlns:a="http://schemas.openxmlformats.org/drawingml/2006/main">
                  <a:graphicData uri="http://schemas.microsoft.com/office/word/2010/wordprocessingShape">
                    <wps:wsp>
                      <wps:cNvSpPr txBox="1"/>
                      <wps:spPr>
                        <a:xfrm>
                          <a:off x="0" y="0"/>
                          <a:ext cx="1941830" cy="1169670"/>
                        </a:xfrm>
                        <a:prstGeom prst="rect">
                          <a:avLst/>
                        </a:prstGeom>
                        <a:noFill/>
                        <a:ln w="6350">
                          <a:noFill/>
                        </a:ln>
                        <a:effectLst/>
                      </wps:spPr>
                      <wps:txbx>
                        <w:txbxContent>
                          <w:p w:rsidR="0096173B" w:rsidRDefault="0096173B" w:rsidP="0096173B">
                            <w:pPr>
                              <w:jc w:val="center"/>
                              <w:rPr>
                                <w:b/>
                                <w:bCs/>
                                <w:color w:val="244061" w:themeColor="accent1" w:themeShade="80"/>
                                <w:sz w:val="22"/>
                              </w:rPr>
                            </w:pPr>
                          </w:p>
                          <w:p w:rsidR="0096173B" w:rsidRDefault="00165402" w:rsidP="0092525C">
                            <w:pPr>
                              <w:jc w:val="center"/>
                              <w:rPr>
                                <w:b/>
                                <w:bCs/>
                                <w:color w:val="244061" w:themeColor="accent1" w:themeShade="80"/>
                                <w:sz w:val="22"/>
                              </w:rPr>
                            </w:pPr>
                            <w:r>
                              <w:rPr>
                                <w:b/>
                                <w:bCs/>
                                <w:color w:val="244061" w:themeColor="accent1" w:themeShade="80"/>
                                <w:sz w:val="22"/>
                              </w:rPr>
                              <w:t xml:space="preserve">• </w:t>
                            </w:r>
                            <w:r w:rsidR="0092525C" w:rsidRPr="0092525C">
                              <w:rPr>
                                <w:b/>
                                <w:bCs/>
                                <w:color w:val="244061" w:themeColor="accent1" w:themeShade="80"/>
                                <w:sz w:val="22"/>
                              </w:rPr>
                              <w:t>Модель ForFITS</w:t>
                            </w:r>
                          </w:p>
                          <w:p w:rsidR="0092525C" w:rsidRDefault="0092525C" w:rsidP="0092525C">
                            <w:pPr>
                              <w:jc w:val="center"/>
                              <w:rPr>
                                <w:b/>
                                <w:bCs/>
                                <w:color w:val="244061" w:themeColor="accent1" w:themeShade="80"/>
                                <w:sz w:val="22"/>
                              </w:rPr>
                            </w:pPr>
                          </w:p>
                          <w:p w:rsidR="0092525C" w:rsidRPr="00DB6825" w:rsidRDefault="00165402" w:rsidP="0092525C">
                            <w:pPr>
                              <w:jc w:val="center"/>
                              <w:rPr>
                                <w:b/>
                                <w:bCs/>
                                <w:color w:val="244061" w:themeColor="accent1" w:themeShade="80"/>
                                <w:sz w:val="22"/>
                              </w:rPr>
                            </w:pPr>
                            <w:r>
                              <w:rPr>
                                <w:b/>
                                <w:bCs/>
                                <w:color w:val="244061" w:themeColor="accent1" w:themeShade="80"/>
                                <w:sz w:val="22"/>
                              </w:rPr>
                              <w:t xml:space="preserve">• </w:t>
                            </w:r>
                            <w:r w:rsidR="0092525C" w:rsidRPr="0092525C">
                              <w:rPr>
                                <w:b/>
                                <w:bCs/>
                                <w:color w:val="244061" w:themeColor="accent1" w:themeShade="80"/>
                                <w:sz w:val="22"/>
                              </w:rPr>
                              <w:t xml:space="preserve">Группа экспертов </w:t>
                            </w:r>
                            <w:r>
                              <w:rPr>
                                <w:b/>
                                <w:bCs/>
                                <w:color w:val="244061" w:themeColor="accent1" w:themeShade="80"/>
                                <w:sz w:val="22"/>
                              </w:rPr>
                              <w:br/>
                            </w:r>
                            <w:r w:rsidR="0092525C" w:rsidRPr="0092525C">
                              <w:rPr>
                                <w:b/>
                                <w:bCs/>
                                <w:color w:val="244061" w:themeColor="accent1" w:themeShade="80"/>
                                <w:sz w:val="22"/>
                              </w:rPr>
                              <w:t xml:space="preserve">по адаптации </w:t>
                            </w:r>
                            <w:r>
                              <w:rPr>
                                <w:b/>
                                <w:bCs/>
                                <w:color w:val="244061" w:themeColor="accent1" w:themeShade="80"/>
                                <w:sz w:val="22"/>
                              </w:rPr>
                              <w:br/>
                            </w:r>
                            <w:r w:rsidR="0092525C" w:rsidRPr="0092525C">
                              <w:rPr>
                                <w:b/>
                                <w:bCs/>
                                <w:color w:val="244061" w:themeColor="accent1" w:themeShade="80"/>
                                <w:sz w:val="22"/>
                              </w:rPr>
                              <w:t>к изменению климата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6" type="#_x0000_t202" style="position:absolute;left:0;text-align:left;margin-left:341.3pt;margin-top:8.05pt;width:152.9pt;height:92.1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" filled="f" stroked="f" strokeweight=".5pt">
                <v:textbox>
                  <w:txbxContent>
                    <w:p w:rsidR="0096173B" w:rsidRDefault="0096173B" w:rsidP="0096173B">
                      <w:pPr>
                        <w:jc w:val="center"/>
                        <w:rPr>
                          <w:b/>
                          <w:bCs/>
                          <w:color w:val="244061" w:themeColor="accent1" w:themeShade="80"/>
                          <w:sz w:val="22"/>
                        </w:rPr>
                      </w:pPr>
                    </w:p>
                    <w:p w:rsidR="0096173B" w:rsidRDefault="00165402" w:rsidP="0092525C">
                      <w:pPr>
                        <w:jc w:val="center"/>
                        <w:rPr>
                          <w:b/>
                          <w:bCs/>
                          <w:color w:val="244061" w:themeColor="accent1" w:themeShade="80"/>
                          <w:sz w:val="22"/>
                        </w:rPr>
                      </w:pPr>
                      <w:r>
                        <w:rPr>
                          <w:b/>
                          <w:bCs/>
                          <w:color w:val="244061" w:themeColor="accent1" w:themeShade="80"/>
                          <w:sz w:val="22"/>
                        </w:rPr>
                        <w:t xml:space="preserve">• </w:t>
                      </w:r>
                      <w:r w:rsidR="0092525C" w:rsidRPr="0092525C">
                        <w:rPr>
                          <w:b/>
                          <w:bCs/>
                          <w:color w:val="244061" w:themeColor="accent1" w:themeShade="80"/>
                          <w:sz w:val="22"/>
                        </w:rPr>
                        <w:t>Модель ForFITS</w:t>
                      </w:r>
                    </w:p>
                    <w:p w:rsidR="0092525C" w:rsidRDefault="0092525C" w:rsidP="0092525C">
                      <w:pPr>
                        <w:jc w:val="center"/>
                        <w:rPr>
                          <w:b/>
                          <w:bCs/>
                          <w:color w:val="244061" w:themeColor="accent1" w:themeShade="80"/>
                          <w:sz w:val="22"/>
                        </w:rPr>
                      </w:pPr>
                    </w:p>
                    <w:p w:rsidR="0092525C" w:rsidRPr="00DB6825" w:rsidRDefault="00165402" w:rsidP="0092525C">
                      <w:pPr>
                        <w:jc w:val="center"/>
                        <w:rPr>
                          <w:b/>
                          <w:bCs/>
                          <w:color w:val="244061" w:themeColor="accent1" w:themeShade="80"/>
                          <w:sz w:val="22"/>
                        </w:rPr>
                      </w:pPr>
                      <w:r>
                        <w:rPr>
                          <w:b/>
                          <w:bCs/>
                          <w:color w:val="244061" w:themeColor="accent1" w:themeShade="80"/>
                          <w:sz w:val="22"/>
                        </w:rPr>
                        <w:t xml:space="preserve">• </w:t>
                      </w:r>
                      <w:r w:rsidR="0092525C" w:rsidRPr="0092525C">
                        <w:rPr>
                          <w:b/>
                          <w:bCs/>
                          <w:color w:val="244061" w:themeColor="accent1" w:themeShade="80"/>
                          <w:sz w:val="22"/>
                        </w:rPr>
                        <w:t xml:space="preserve">Группа экспертов </w:t>
                      </w:r>
                      <w:r>
                        <w:rPr>
                          <w:b/>
                          <w:bCs/>
                          <w:color w:val="244061" w:themeColor="accent1" w:themeShade="80"/>
                          <w:sz w:val="22"/>
                        </w:rPr>
                        <w:br/>
                      </w:r>
                      <w:r w:rsidR="0092525C" w:rsidRPr="0092525C">
                        <w:rPr>
                          <w:b/>
                          <w:bCs/>
                          <w:color w:val="244061" w:themeColor="accent1" w:themeShade="80"/>
                          <w:sz w:val="22"/>
                        </w:rPr>
                        <w:t xml:space="preserve">по адаптации </w:t>
                      </w:r>
                      <w:r>
                        <w:rPr>
                          <w:b/>
                          <w:bCs/>
                          <w:color w:val="244061" w:themeColor="accent1" w:themeShade="80"/>
                          <w:sz w:val="22"/>
                        </w:rPr>
                        <w:br/>
                      </w:r>
                      <w:r w:rsidR="0092525C" w:rsidRPr="0092525C">
                        <w:rPr>
                          <w:b/>
                          <w:bCs/>
                          <w:color w:val="244061" w:themeColor="accent1" w:themeShade="80"/>
                          <w:sz w:val="22"/>
                        </w:rPr>
                        <w:t>к измен</w:t>
                      </w:r>
                      <w:r w:rsidR="0092525C" w:rsidRPr="0092525C">
                        <w:rPr>
                          <w:b/>
                          <w:bCs/>
                          <w:color w:val="244061" w:themeColor="accent1" w:themeShade="80"/>
                          <w:sz w:val="22"/>
                        </w:rPr>
                        <w:t>е</w:t>
                      </w:r>
                      <w:r w:rsidR="0092525C" w:rsidRPr="0092525C">
                        <w:rPr>
                          <w:b/>
                          <w:bCs/>
                          <w:color w:val="244061" w:themeColor="accent1" w:themeShade="80"/>
                          <w:sz w:val="22"/>
                        </w:rPr>
                        <w:t>нию климата</w:t>
                      </w:r>
                    </w:p>
                  </w:txbxContent>
                </v:textbox>
              </v:shape>
            </w:pict>
          </mc:Fallback>
        </mc:AlternateContent>
      </w:r>
      <w:r w:rsidRPr="003B5145">
        <w:rPr>
          <w:noProof/>
          <w:lang w:val="en-US" w:eastAsia="en-US"/>
        </w:rPr>
        <w:drawing>
          <wp:anchor distT="0" distB="0" distL="114300" distR="114300" simplePos="0" relativeHeight="251676672" behindDoc="0" locked="0" layoutInCell="1" allowOverlap="1" wp14:anchorId="37733A8B" wp14:editId="5A99C6ED">
            <wp:simplePos x="0" y="0"/>
            <wp:positionH relativeFrom="column">
              <wp:posOffset>4215130</wp:posOffset>
            </wp:positionH>
            <wp:positionV relativeFrom="paragraph">
              <wp:posOffset>53340</wp:posOffset>
            </wp:positionV>
            <wp:extent cx="2174875" cy="1278255"/>
            <wp:effectExtent l="0" t="0" r="0" b="0"/>
            <wp:wrapSquare wrapText="bothSides"/>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174875" cy="1278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5145" w:rsidRPr="003B5145">
        <w:tab/>
        <w:t>•</w:t>
      </w:r>
      <w:r w:rsidR="003B5145" w:rsidRPr="003B5145">
        <w:tab/>
        <w:t>предоставлять консультации и технические знания Комиссии по вопросам разработки и осуществл</w:t>
      </w:r>
      <w:r w:rsidR="003B5145" w:rsidRPr="003B5145">
        <w:t>е</w:t>
      </w:r>
      <w:r w:rsidR="003B5145" w:rsidRPr="003B5145">
        <w:t>ния законодательства, политики, проектов и пр</w:t>
      </w:r>
      <w:r w:rsidR="003B5145" w:rsidRPr="003B5145">
        <w:t>о</w:t>
      </w:r>
      <w:r w:rsidR="003B5145" w:rsidRPr="003B5145">
        <w:t>грамм в области альтернативных видов транспор</w:t>
      </w:r>
      <w:r w:rsidR="003B5145" w:rsidRPr="003B5145">
        <w:t>т</w:t>
      </w:r>
      <w:r w:rsidR="003B5145" w:rsidRPr="003B5145">
        <w:t xml:space="preserve">ного топлива и вносить вклад в создание </w:t>
      </w:r>
      <w:r w:rsidR="00D61B62">
        <w:br/>
      </w:r>
      <w:r w:rsidR="003B5145" w:rsidRPr="003B5145">
        <w:t>энергоэффективного, безуглеродного транспортн</w:t>
      </w:r>
      <w:r w:rsidR="003B5145" w:rsidRPr="003B5145">
        <w:t>о</w:t>
      </w:r>
      <w:r w:rsidR="003B5145" w:rsidRPr="003B5145">
        <w:t>го сектора;</w:t>
      </w:r>
    </w:p>
    <w:p w:rsidR="003B5145" w:rsidRPr="003B5145" w:rsidRDefault="003B5145" w:rsidP="0092525C">
      <w:pPr>
        <w:pStyle w:val="SingleTxt"/>
        <w:keepLines/>
        <w:tabs>
          <w:tab w:val="right" w:pos="1685"/>
        </w:tabs>
        <w:spacing w:line="240" w:lineRule="atLeast"/>
        <w:ind w:left="1742" w:hanging="475"/>
      </w:pPr>
      <w:r w:rsidRPr="003B5145">
        <w:lastRenderedPageBreak/>
        <w:tab/>
        <w:t>•</w:t>
      </w:r>
      <w:r w:rsidRPr="003B5145">
        <w:tab/>
        <w:t>способствовать обмену информацией об инициативах, проектах и партне</w:t>
      </w:r>
      <w:r w:rsidRPr="003B5145">
        <w:t>р</w:t>
      </w:r>
      <w:r w:rsidRPr="003B5145">
        <w:t>ствах в области альте</w:t>
      </w:r>
      <w:r w:rsidRPr="003B5145">
        <w:t>р</w:t>
      </w:r>
      <w:r w:rsidRPr="003B5145">
        <w:t>нативных видов топлива для транспорта;</w:t>
      </w:r>
    </w:p>
    <w:p w:rsidR="003B5145" w:rsidRPr="003B5145" w:rsidRDefault="003B5145" w:rsidP="0096173B">
      <w:pPr>
        <w:pStyle w:val="SingleTxt"/>
        <w:tabs>
          <w:tab w:val="right" w:pos="1685"/>
        </w:tabs>
        <w:spacing w:line="240" w:lineRule="atLeast"/>
        <w:ind w:left="1742" w:hanging="475"/>
      </w:pPr>
      <w:r w:rsidRPr="003B5145">
        <w:tab/>
        <w:t>•</w:t>
      </w:r>
      <w:r w:rsidRPr="003B5145">
        <w:tab/>
        <w:t>представлять рекомендации и доклады или разрабатывать и предлагать К</w:t>
      </w:r>
      <w:r w:rsidRPr="003B5145">
        <w:t>о</w:t>
      </w:r>
      <w:r w:rsidRPr="003B5145">
        <w:t>миссии инновационные решения либо по просьбе последней, либо по со</w:t>
      </w:r>
      <w:r w:rsidRPr="003B5145">
        <w:t>б</w:t>
      </w:r>
      <w:r w:rsidRPr="003B5145">
        <w:t>ственной инициативе по любым вопросам, относящимся к поощрению и</w:t>
      </w:r>
      <w:r w:rsidRPr="003B5145">
        <w:t>с</w:t>
      </w:r>
      <w:r w:rsidRPr="003B5145">
        <w:t>пользования альтернативных видов топлива в Союзе.</w:t>
      </w:r>
    </w:p>
    <w:p w:rsidR="0092525C" w:rsidRPr="0092525C" w:rsidRDefault="0092525C" w:rsidP="0092525C">
      <w:pPr>
        <w:pStyle w:val="SingleTxt"/>
        <w:spacing w:after="0" w:line="120" w:lineRule="exact"/>
        <w:rPr>
          <w:b/>
          <w:sz w:val="10"/>
        </w:rPr>
      </w:pPr>
    </w:p>
    <w:p w:rsidR="0092525C" w:rsidRPr="0092525C" w:rsidRDefault="0092525C" w:rsidP="0092525C">
      <w:pPr>
        <w:pStyle w:val="SingleTxt"/>
        <w:spacing w:after="0" w:line="120" w:lineRule="exact"/>
        <w:rPr>
          <w:b/>
          <w:sz w:val="10"/>
        </w:rPr>
      </w:pPr>
    </w:p>
    <w:p w:rsidR="003B5145" w:rsidRPr="003B5145" w:rsidRDefault="003B5145" w:rsidP="0092525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5145">
        <w:tab/>
      </w:r>
      <w:r w:rsidRPr="003B5145">
        <w:rPr>
          <w:lang w:val="en-US"/>
        </w:rPr>
        <w:t>VIII</w:t>
      </w:r>
      <w:r w:rsidRPr="003B5145">
        <w:t>.</w:t>
      </w:r>
      <w:r w:rsidRPr="003B5145">
        <w:tab/>
        <w:t>Интеллектуальные транспортные системы</w:t>
      </w:r>
    </w:p>
    <w:p w:rsidR="0092525C" w:rsidRPr="0092525C" w:rsidRDefault="0092525C" w:rsidP="0092525C">
      <w:pPr>
        <w:pStyle w:val="SingleTxt"/>
        <w:spacing w:after="0" w:line="120" w:lineRule="exact"/>
        <w:rPr>
          <w:b/>
          <w:sz w:val="10"/>
        </w:rPr>
      </w:pPr>
    </w:p>
    <w:p w:rsidR="0092525C" w:rsidRPr="0092525C" w:rsidRDefault="0092525C" w:rsidP="0092525C">
      <w:pPr>
        <w:pStyle w:val="SingleTxt"/>
        <w:spacing w:after="0" w:line="120" w:lineRule="exact"/>
        <w:rPr>
          <w:b/>
          <w:sz w:val="10"/>
        </w:rPr>
      </w:pPr>
    </w:p>
    <w:p w:rsidR="003B5145" w:rsidRPr="003B5145" w:rsidRDefault="003B5145" w:rsidP="0092525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5145">
        <w:tab/>
        <w:t>А.</w:t>
      </w:r>
      <w:r w:rsidRPr="003B5145">
        <w:tab/>
        <w:t>Конференция по ИТС 2015 года «Цифровая стратегия в</w:t>
      </w:r>
      <w:r w:rsidR="0092525C">
        <w:t> </w:t>
      </w:r>
      <w:r w:rsidRPr="003B5145">
        <w:t>интересах мобильности: от потенциала к расширению транспортных связей»</w:t>
      </w:r>
    </w:p>
    <w:p w:rsidR="0092525C" w:rsidRPr="0092525C" w:rsidRDefault="0092525C" w:rsidP="0092525C">
      <w:pPr>
        <w:pStyle w:val="SingleTxt"/>
        <w:spacing w:after="0" w:line="120" w:lineRule="exact"/>
        <w:rPr>
          <w:sz w:val="10"/>
        </w:rPr>
      </w:pPr>
    </w:p>
    <w:p w:rsidR="0092525C" w:rsidRPr="0092525C" w:rsidRDefault="0092525C" w:rsidP="0092525C">
      <w:pPr>
        <w:pStyle w:val="SingleTxt"/>
        <w:spacing w:after="0" w:line="120" w:lineRule="exact"/>
        <w:rPr>
          <w:sz w:val="10"/>
        </w:rPr>
      </w:pPr>
    </w:p>
    <w:p w:rsidR="003B5145" w:rsidRPr="003B5145" w:rsidRDefault="0092525C" w:rsidP="003B5145">
      <w:pPr>
        <w:pStyle w:val="SingleTxt"/>
        <w:spacing w:line="240" w:lineRule="atLeast"/>
      </w:pPr>
      <w:r w:rsidRPr="0092525C">
        <w:rPr>
          <w:noProof/>
          <w:lang w:val="en-US" w:eastAsia="en-US"/>
        </w:rPr>
        <mc:AlternateContent>
          <mc:Choice Requires="wps">
            <w:drawing>
              <wp:anchor distT="0" distB="0" distL="114300" distR="114300" simplePos="0" relativeHeight="251702272" behindDoc="0" locked="0" layoutInCell="1" allowOverlap="1" wp14:anchorId="58098E53" wp14:editId="01A5F460">
                <wp:simplePos x="0" y="0"/>
                <wp:positionH relativeFrom="column">
                  <wp:posOffset>4324985</wp:posOffset>
                </wp:positionH>
                <wp:positionV relativeFrom="paragraph">
                  <wp:posOffset>86995</wp:posOffset>
                </wp:positionV>
                <wp:extent cx="1941830" cy="1169670"/>
                <wp:effectExtent l="0" t="0" r="0" b="0"/>
                <wp:wrapNone/>
                <wp:docPr id="26" name="Поле 14"/>
                <wp:cNvGraphicFramePr/>
                <a:graphic xmlns:a="http://schemas.openxmlformats.org/drawingml/2006/main">
                  <a:graphicData uri="http://schemas.microsoft.com/office/word/2010/wordprocessingShape">
                    <wps:wsp>
                      <wps:cNvSpPr txBox="1"/>
                      <wps:spPr>
                        <a:xfrm>
                          <a:off x="0" y="0"/>
                          <a:ext cx="1941830" cy="1169670"/>
                        </a:xfrm>
                        <a:prstGeom prst="rect">
                          <a:avLst/>
                        </a:prstGeom>
                        <a:noFill/>
                        <a:ln w="6350">
                          <a:noFill/>
                        </a:ln>
                        <a:effectLst/>
                      </wps:spPr>
                      <wps:txbx>
                        <w:txbxContent>
                          <w:p w:rsidR="0092525C" w:rsidRDefault="0092525C" w:rsidP="0092525C">
                            <w:pPr>
                              <w:jc w:val="center"/>
                              <w:rPr>
                                <w:b/>
                                <w:bCs/>
                                <w:color w:val="244061" w:themeColor="accent1" w:themeShade="80"/>
                                <w:sz w:val="22"/>
                              </w:rPr>
                            </w:pPr>
                          </w:p>
                          <w:p w:rsidR="00812E71" w:rsidRDefault="00812E71" w:rsidP="0092525C">
                            <w:pPr>
                              <w:jc w:val="center"/>
                              <w:rPr>
                                <w:b/>
                                <w:bCs/>
                                <w:color w:val="244061" w:themeColor="accent1" w:themeShade="80"/>
                                <w:sz w:val="22"/>
                              </w:rPr>
                            </w:pPr>
                          </w:p>
                          <w:p w:rsidR="0092525C" w:rsidRPr="00DB6825" w:rsidRDefault="0092525C" w:rsidP="00812E71">
                            <w:pPr>
                              <w:jc w:val="center"/>
                              <w:rPr>
                                <w:b/>
                                <w:bCs/>
                                <w:color w:val="244061" w:themeColor="accent1" w:themeShade="80"/>
                                <w:sz w:val="22"/>
                              </w:rPr>
                            </w:pPr>
                            <w:r w:rsidRPr="0092525C">
                              <w:rPr>
                                <w:b/>
                                <w:bCs/>
                                <w:color w:val="244061" w:themeColor="accent1" w:themeShade="80"/>
                                <w:sz w:val="22"/>
                              </w:rPr>
                              <w:t>Пакет мер ЕЭК ООН по</w:t>
                            </w:r>
                            <w:r w:rsidR="00812E71">
                              <w:rPr>
                                <w:b/>
                                <w:bCs/>
                                <w:color w:val="244061" w:themeColor="accent1" w:themeShade="80"/>
                                <w:sz w:val="22"/>
                              </w:rPr>
                              <w:t> </w:t>
                            </w:r>
                            <w:r w:rsidRPr="0092525C">
                              <w:rPr>
                                <w:b/>
                                <w:bCs/>
                                <w:color w:val="244061" w:themeColor="accent1" w:themeShade="80"/>
                                <w:sz w:val="22"/>
                              </w:rPr>
                              <w:t>ИТС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7" type="#_x0000_t202" style="position:absolute;left:0;text-align:left;margin-left:340.55pt;margin-top:6.85pt;width:152.9pt;height:92.1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" filled="f" stroked="f" strokeweight=".5pt">
                <v:textbox>
                  <w:txbxContent>
                    <w:p w:rsidR="0092525C" w:rsidRDefault="0092525C" w:rsidP="0092525C">
                      <w:pPr>
                        <w:jc w:val="center"/>
                        <w:rPr>
                          <w:b/>
                          <w:bCs/>
                          <w:color w:val="244061" w:themeColor="accent1" w:themeShade="80"/>
                          <w:sz w:val="22"/>
                        </w:rPr>
                      </w:pPr>
                    </w:p>
                    <w:p w:rsidR="00812E71" w:rsidRDefault="00812E71" w:rsidP="0092525C">
                      <w:pPr>
                        <w:jc w:val="center"/>
                        <w:rPr>
                          <w:b/>
                          <w:bCs/>
                          <w:color w:val="244061" w:themeColor="accent1" w:themeShade="80"/>
                          <w:sz w:val="22"/>
                        </w:rPr>
                      </w:pPr>
                    </w:p>
                    <w:p w:rsidR="0092525C" w:rsidRPr="00DB6825" w:rsidRDefault="0092525C" w:rsidP="00812E71">
                      <w:pPr>
                        <w:jc w:val="center"/>
                        <w:rPr>
                          <w:b/>
                          <w:bCs/>
                          <w:color w:val="244061" w:themeColor="accent1" w:themeShade="80"/>
                          <w:sz w:val="22"/>
                        </w:rPr>
                      </w:pPr>
                      <w:r w:rsidRPr="0092525C">
                        <w:rPr>
                          <w:b/>
                          <w:bCs/>
                          <w:color w:val="244061" w:themeColor="accent1" w:themeShade="80"/>
                          <w:sz w:val="22"/>
                        </w:rPr>
                        <w:t>Пакет мер ЕЭК ООН по</w:t>
                      </w:r>
                      <w:r w:rsidR="00812E71">
                        <w:rPr>
                          <w:b/>
                          <w:bCs/>
                          <w:color w:val="244061" w:themeColor="accent1" w:themeShade="80"/>
                          <w:sz w:val="22"/>
                        </w:rPr>
                        <w:t> </w:t>
                      </w:r>
                      <w:r w:rsidRPr="0092525C">
                        <w:rPr>
                          <w:b/>
                          <w:bCs/>
                          <w:color w:val="244061" w:themeColor="accent1" w:themeShade="80"/>
                          <w:sz w:val="22"/>
                        </w:rPr>
                        <w:t>ИТС</w:t>
                      </w:r>
                    </w:p>
                  </w:txbxContent>
                </v:textbox>
              </v:shape>
            </w:pict>
          </mc:Fallback>
        </mc:AlternateContent>
      </w:r>
      <w:r w:rsidRPr="003B5145">
        <w:rPr>
          <w:noProof/>
          <w:lang w:val="en-US" w:eastAsia="en-US"/>
        </w:rPr>
        <w:drawing>
          <wp:anchor distT="0" distB="0" distL="114300" distR="114300" simplePos="0" relativeHeight="251677696" behindDoc="0" locked="0" layoutInCell="1" allowOverlap="1" wp14:anchorId="131A4399" wp14:editId="719FF8F4">
            <wp:simplePos x="0" y="0"/>
            <wp:positionH relativeFrom="column">
              <wp:posOffset>4218940</wp:posOffset>
            </wp:positionH>
            <wp:positionV relativeFrom="paragraph">
              <wp:posOffset>40005</wp:posOffset>
            </wp:positionV>
            <wp:extent cx="2174875" cy="1278255"/>
            <wp:effectExtent l="0" t="0" r="0" b="0"/>
            <wp:wrapSquare wrapText="bothSides"/>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174875" cy="1278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5145" w:rsidRPr="003B5145">
        <w:t>79.</w:t>
      </w:r>
      <w:r w:rsidR="003B5145" w:rsidRPr="003B5145">
        <w:tab/>
        <w:t>Европейская комиссия организовала свою Конф</w:t>
      </w:r>
      <w:r w:rsidR="003B5145" w:rsidRPr="003B5145">
        <w:t>е</w:t>
      </w:r>
      <w:r w:rsidR="003B5145" w:rsidRPr="003B5145">
        <w:t>ренцию по интеллектуал</w:t>
      </w:r>
      <w:r w:rsidR="003B5145" w:rsidRPr="003B5145">
        <w:t>ь</w:t>
      </w:r>
      <w:r w:rsidR="003B5145" w:rsidRPr="003B5145">
        <w:t>ным транспортным системам 24 апреля 2015 года в Брюсселе. Целью этого меропри</w:t>
      </w:r>
      <w:r w:rsidR="003B5145" w:rsidRPr="003B5145">
        <w:t>я</w:t>
      </w:r>
      <w:r w:rsidR="003B5145" w:rsidRPr="003B5145">
        <w:t>тия высокого уровня являлось рассмотрение положения дел по реализации ряда ключевых мер и крупных ин</w:t>
      </w:r>
      <w:r w:rsidR="003B5145" w:rsidRPr="003B5145">
        <w:t>и</w:t>
      </w:r>
      <w:r w:rsidR="003B5145" w:rsidRPr="003B5145">
        <w:t xml:space="preserve">циатив в контексте Плана действий в области ИТС и </w:t>
      </w:r>
      <w:r w:rsidR="00165402" w:rsidRPr="003B5145">
        <w:t xml:space="preserve">директивы </w:t>
      </w:r>
      <w:r w:rsidR="003B5145" w:rsidRPr="003B5145">
        <w:t xml:space="preserve">2010/40/EU в области ИТС. </w:t>
      </w:r>
    </w:p>
    <w:p w:rsidR="003B5145" w:rsidRPr="003B5145" w:rsidRDefault="003B5145" w:rsidP="003B5145">
      <w:pPr>
        <w:pStyle w:val="SingleTxt"/>
        <w:spacing w:line="240" w:lineRule="atLeast"/>
      </w:pPr>
      <w:r w:rsidRPr="003B5145">
        <w:t>80.</w:t>
      </w:r>
      <w:r w:rsidRPr="003B5145">
        <w:tab/>
        <w:t>На Конференции по ИТС 2015 года обсуждались такие темы, как данные для оцифровки транспортных операций, мобильность как услуга и расширение транспортных связей и автом</w:t>
      </w:r>
      <w:r w:rsidRPr="003B5145">
        <w:t>а</w:t>
      </w:r>
      <w:r w:rsidRPr="003B5145">
        <w:t>тизация. В Конференции по ИТС 2015 года приняли участие представители е</w:t>
      </w:r>
      <w:r w:rsidRPr="003B5145">
        <w:t>в</w:t>
      </w:r>
      <w:r w:rsidRPr="003B5145">
        <w:t>ропейских учреждений высокого уровня, представители государственных орг</w:t>
      </w:r>
      <w:r w:rsidRPr="003B5145">
        <w:t>а</w:t>
      </w:r>
      <w:r w:rsidRPr="003B5145">
        <w:t>нов и частные субъекты, занимающиеся проблематикой ИТС.</w:t>
      </w:r>
    </w:p>
    <w:p w:rsidR="00812E71" w:rsidRPr="00812E71" w:rsidRDefault="00812E71" w:rsidP="00812E71">
      <w:pPr>
        <w:pStyle w:val="SingleTxt"/>
        <w:spacing w:after="0" w:line="120" w:lineRule="exact"/>
        <w:rPr>
          <w:b/>
          <w:sz w:val="10"/>
        </w:rPr>
      </w:pPr>
    </w:p>
    <w:p w:rsidR="00812E71" w:rsidRPr="00812E71" w:rsidRDefault="00812E71" w:rsidP="00812E71">
      <w:pPr>
        <w:pStyle w:val="SingleTxt"/>
        <w:spacing w:after="0" w:line="120" w:lineRule="exact"/>
        <w:rPr>
          <w:b/>
          <w:sz w:val="10"/>
        </w:rPr>
      </w:pPr>
    </w:p>
    <w:p w:rsidR="003B5145" w:rsidRPr="003B5145" w:rsidRDefault="003B5145" w:rsidP="00812E7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5145">
        <w:tab/>
        <w:t>В.</w:t>
      </w:r>
      <w:r w:rsidRPr="003B5145">
        <w:tab/>
        <w:t>Предоставление в масштабах ЕС информационных услуг о</w:t>
      </w:r>
      <w:r w:rsidR="00812E71">
        <w:t> </w:t>
      </w:r>
      <w:r w:rsidRPr="003B5145">
        <w:t xml:space="preserve">мультимодальных перевозках в соответствии </w:t>
      </w:r>
      <w:r w:rsidR="00812E71">
        <w:br/>
      </w:r>
      <w:r w:rsidRPr="003B5145">
        <w:t xml:space="preserve">с </w:t>
      </w:r>
      <w:r w:rsidR="00165402" w:rsidRPr="003B5145">
        <w:t xml:space="preserve">директивой </w:t>
      </w:r>
      <w:r w:rsidRPr="003B5145">
        <w:t>2010/40/EU по ИТС</w:t>
      </w:r>
    </w:p>
    <w:p w:rsidR="00812E71" w:rsidRPr="00812E71" w:rsidRDefault="00812E71" w:rsidP="00812E71">
      <w:pPr>
        <w:pStyle w:val="SingleTxt"/>
        <w:spacing w:after="0" w:line="120" w:lineRule="exact"/>
        <w:rPr>
          <w:sz w:val="10"/>
        </w:rPr>
      </w:pPr>
    </w:p>
    <w:p w:rsidR="00812E71" w:rsidRPr="00812E71" w:rsidRDefault="00812E71" w:rsidP="00812E71">
      <w:pPr>
        <w:pStyle w:val="SingleTxt"/>
        <w:spacing w:after="0" w:line="120" w:lineRule="exact"/>
        <w:rPr>
          <w:sz w:val="10"/>
        </w:rPr>
      </w:pPr>
    </w:p>
    <w:p w:rsidR="003B5145" w:rsidRPr="003B5145" w:rsidRDefault="003B5145" w:rsidP="003B5145">
      <w:pPr>
        <w:pStyle w:val="SingleTxt"/>
        <w:spacing w:line="240" w:lineRule="atLeast"/>
      </w:pPr>
      <w:r w:rsidRPr="003B5145">
        <w:t>81.</w:t>
      </w:r>
      <w:r w:rsidRPr="003B5145">
        <w:tab/>
        <w:t>Организованы консультации с общественностью для ознакомления с мнен</w:t>
      </w:r>
      <w:r w:rsidRPr="003B5145">
        <w:t>и</w:t>
      </w:r>
      <w:r w:rsidRPr="003B5145">
        <w:t>ями заинтересованных субъектов и сторон, включая граждан ЕС, а также частные и государственные организации, и получения (количественных) данных по в</w:t>
      </w:r>
      <w:r w:rsidRPr="003B5145">
        <w:t>о</w:t>
      </w:r>
      <w:r w:rsidRPr="003B5145">
        <w:t xml:space="preserve">просам, относящимся к предоставлению в масштабах ЕС информационных услуг о мультимодальных перевозках. Ответы, полученные в ходе этих консультаций с общественностью, будут приняты во внимание при разработке соответствующих технических требований в рамках </w:t>
      </w:r>
      <w:r w:rsidR="00165402" w:rsidRPr="003B5145">
        <w:t xml:space="preserve">директивы </w:t>
      </w:r>
      <w:r w:rsidRPr="003B5145">
        <w:t>по ИТС.</w:t>
      </w:r>
    </w:p>
    <w:p w:rsidR="003B5145" w:rsidRPr="003B5145" w:rsidRDefault="003B5145" w:rsidP="003B5145">
      <w:pPr>
        <w:pStyle w:val="SingleTxt"/>
        <w:spacing w:line="240" w:lineRule="atLeast"/>
      </w:pPr>
      <w:r w:rsidRPr="003B5145">
        <w:t>82.</w:t>
      </w:r>
      <w:r w:rsidRPr="003B5145">
        <w:tab/>
        <w:t>ИТС может внести существенный вклад в создание более устойчивой, бе</w:t>
      </w:r>
      <w:r w:rsidRPr="003B5145">
        <w:t>з</w:t>
      </w:r>
      <w:r w:rsidRPr="003B5145">
        <w:t xml:space="preserve">опасной и эффективной транспортной системы; </w:t>
      </w:r>
      <w:r w:rsidR="00165402" w:rsidRPr="003B5145">
        <w:t xml:space="preserve">директива </w:t>
      </w:r>
      <w:r w:rsidRPr="003B5145">
        <w:t>по ИТС была принята в целях ускорения развертывания таких инновационных транспортных технол</w:t>
      </w:r>
      <w:r w:rsidRPr="003B5145">
        <w:t>о</w:t>
      </w:r>
      <w:r w:rsidRPr="003B5145">
        <w:t>гий на территории Европы. Директива по ИТС предусматривает принятие фун</w:t>
      </w:r>
      <w:r w:rsidRPr="003B5145">
        <w:t>к</w:t>
      </w:r>
      <w:r w:rsidRPr="003B5145">
        <w:t>циональных, технических и организационных требований в форме делегирова</w:t>
      </w:r>
      <w:r w:rsidRPr="003B5145">
        <w:t>н</w:t>
      </w:r>
      <w:r w:rsidRPr="003B5145">
        <w:t>ного акта для обеспечения сопоставимости, эксплуатационной совместимости и непрерывности в целях развертывания и операционного использования в ма</w:t>
      </w:r>
      <w:r w:rsidRPr="003B5145">
        <w:t>с</w:t>
      </w:r>
      <w:r w:rsidRPr="003B5145">
        <w:t>штабах ЕС информационных услуг о мультимодальных перевозках (приорите</w:t>
      </w:r>
      <w:r w:rsidRPr="003B5145">
        <w:t>т</w:t>
      </w:r>
      <w:r w:rsidRPr="003B5145">
        <w:t xml:space="preserve">ная область действий «А» согласно </w:t>
      </w:r>
      <w:r w:rsidR="00165402" w:rsidRPr="003B5145">
        <w:t xml:space="preserve">директиве </w:t>
      </w:r>
      <w:r w:rsidRPr="003B5145">
        <w:t>по ИТС). Этот делегированный акт явится юридически обязывающей мерой политики по принятию положений, с</w:t>
      </w:r>
      <w:r w:rsidRPr="003B5145">
        <w:t>о</w:t>
      </w:r>
      <w:r w:rsidRPr="003B5145">
        <w:t>держащих предписания или любые другие соответствующие правила, которые будут выполняться в случае развертывания ИТС.</w:t>
      </w:r>
    </w:p>
    <w:p w:rsidR="003B5145" w:rsidRPr="003B5145" w:rsidRDefault="003B5145" w:rsidP="003B5145">
      <w:pPr>
        <w:pStyle w:val="SingleTxt"/>
        <w:spacing w:line="240" w:lineRule="atLeast"/>
      </w:pPr>
      <w:r w:rsidRPr="003B5145">
        <w:lastRenderedPageBreak/>
        <w:t>83.</w:t>
      </w:r>
      <w:r w:rsidRPr="003B5145">
        <w:tab/>
        <w:t>Эти технические требования будут направлены на обеспечение эксплуат</w:t>
      </w:r>
      <w:r w:rsidRPr="003B5145">
        <w:t>а</w:t>
      </w:r>
      <w:r w:rsidRPr="003B5145">
        <w:t>ционно совместимыми данными и услугами, относящимися к перевозкам, по возможности, на основе действующих стандартов и технологий. В настоящее время информационные услуги в сфере мультимодальных перевозок в Европе не имеют эксплуатационной совместимости и являются фрагментированными с точки зрения предлагаемого ими контента, включая охват видами транспорта и географический охват, предоставление информации в реальном времени, а также ее качества. Как ожидается, эта инициатива внесет вклад в обеспечение непр</w:t>
      </w:r>
      <w:r w:rsidRPr="003B5145">
        <w:t>е</w:t>
      </w:r>
      <w:r w:rsidRPr="003B5145">
        <w:t>рывности в масштабах ЕС и согласованное предоставление информационных услуг о мультимодальных перевозках. В свою очередь ожидается, что все это б</w:t>
      </w:r>
      <w:r w:rsidRPr="003B5145">
        <w:t>у</w:t>
      </w:r>
      <w:r w:rsidRPr="003B5145">
        <w:t>дет стимулировать в позитивном направлении перераспределение перевозок в пользу устойчивых видов транспорта и, следовательно, содействовать повыш</w:t>
      </w:r>
      <w:r w:rsidRPr="003B5145">
        <w:t>е</w:t>
      </w:r>
      <w:r w:rsidRPr="003B5145">
        <w:t>нию эффективности управления европейской транспортной сетью.</w:t>
      </w:r>
    </w:p>
    <w:p w:rsidR="003B5145" w:rsidRPr="003B5145" w:rsidRDefault="003B5145" w:rsidP="003B5145">
      <w:pPr>
        <w:pStyle w:val="SingleTxt"/>
        <w:spacing w:line="240" w:lineRule="atLeast"/>
      </w:pPr>
      <w:r w:rsidRPr="003B5145">
        <w:t>84.</w:t>
      </w:r>
      <w:r w:rsidRPr="003B5145">
        <w:tab/>
        <w:t>Сфера охвата этих технических требований не включает в себя создание комплексной системы продажи билетов на разные виды транспорта; вместе с тем решение этой задачи по-прежнему является долгосрочной целью Европейской комиссии.</w:t>
      </w:r>
    </w:p>
    <w:p w:rsidR="003B5145" w:rsidRPr="003B5145" w:rsidRDefault="003B5145" w:rsidP="003B5145">
      <w:pPr>
        <w:pStyle w:val="SingleTxt"/>
        <w:spacing w:line="240" w:lineRule="atLeast"/>
      </w:pPr>
      <w:r w:rsidRPr="003B5145">
        <w:t>85.</w:t>
      </w:r>
      <w:r w:rsidRPr="003B5145">
        <w:tab/>
        <w:t>Услуги по информированию о мультимодальных перевозках и их планир</w:t>
      </w:r>
      <w:r w:rsidRPr="003B5145">
        <w:t>о</w:t>
      </w:r>
      <w:r w:rsidRPr="003B5145">
        <w:t>ванию (УИМПП) позволяют пассажирам планировать свою поездку из пункта А в пункт В на основе сравнения различных вариантов поездки, позволяющих с</w:t>
      </w:r>
      <w:r w:rsidRPr="003B5145">
        <w:t>о</w:t>
      </w:r>
      <w:r w:rsidRPr="003B5145">
        <w:t>четать различные виды транспорта. УИМПП могут включать в себя комбинацию из двух или более следующих видов транспорта, которые могут использоваться пассажиром: воздушный, железнодорожный и водный транспорт, автобусы дал</w:t>
      </w:r>
      <w:r w:rsidRPr="003B5145">
        <w:t>ь</w:t>
      </w:r>
      <w:r w:rsidRPr="003B5145">
        <w:t>него следования, общественный транспорт, транспортные услуги, позволяющие выбирать маршрут, пешее передвижение или передвижение на велосипеде. Такие услуги позволяют пассажирам выбирать индивидуальный маршрут в соотве</w:t>
      </w:r>
      <w:r w:rsidRPr="003B5145">
        <w:t>т</w:t>
      </w:r>
      <w:r w:rsidRPr="003B5145">
        <w:t>ствии с их конкретными предпочтениями или потребностями, в том числе наиб</w:t>
      </w:r>
      <w:r w:rsidRPr="003B5145">
        <w:t>о</w:t>
      </w:r>
      <w:r w:rsidRPr="003B5145">
        <w:t>лее быстрые или наиболее дешевые маршруты, маршруты с наименьшим колич</w:t>
      </w:r>
      <w:r w:rsidRPr="003B5145">
        <w:t>е</w:t>
      </w:r>
      <w:r w:rsidRPr="003B5145">
        <w:t>ством пересадок или наиболее приемлемые с экологической точки зрения, а та</w:t>
      </w:r>
      <w:r w:rsidRPr="003B5145">
        <w:t>к</w:t>
      </w:r>
      <w:r w:rsidRPr="003B5145">
        <w:t>же наиболее доступные маршруты для лиц с ограниченной мобильностью и т.д. либо такие маршруты, на которых они желают воспользоваться каким-либо транспортным(и) средством(ами) (т.е. поездкой на велосипеде или общественном транспорте).</w:t>
      </w:r>
    </w:p>
    <w:p w:rsidR="003B5145" w:rsidRPr="003B5145" w:rsidRDefault="003B5145" w:rsidP="003B5145">
      <w:pPr>
        <w:pStyle w:val="SingleTxt"/>
        <w:spacing w:line="240" w:lineRule="atLeast"/>
      </w:pPr>
      <w:r w:rsidRPr="003B5145">
        <w:t>86.</w:t>
      </w:r>
      <w:r w:rsidRPr="003B5145">
        <w:tab/>
        <w:t>К числу пользователей информации о мультимодальных перевозках отн</w:t>
      </w:r>
      <w:r w:rsidRPr="003B5145">
        <w:t>о</w:t>
      </w:r>
      <w:r w:rsidRPr="003B5145">
        <w:t>сятся главным образом граждане, совершающие новую, редкую или регуля</w:t>
      </w:r>
      <w:r w:rsidRPr="003B5145">
        <w:t>р</w:t>
      </w:r>
      <w:r w:rsidRPr="003B5145">
        <w:t>ную/ежедневную поездку. Пассажиры могут затребовать информацию, помог</w:t>
      </w:r>
      <w:r w:rsidRPr="003B5145">
        <w:t>а</w:t>
      </w:r>
      <w:r w:rsidRPr="003B5145">
        <w:t>ющую им выбрать наиболее затратоэффективный, быстрый или удобный по вр</w:t>
      </w:r>
      <w:r w:rsidRPr="003B5145">
        <w:t>е</w:t>
      </w:r>
      <w:r w:rsidRPr="003B5145">
        <w:t>мени вид транспорта для конкретной поездки. Кроме того, пассажиры могут п</w:t>
      </w:r>
      <w:r w:rsidRPr="003B5145">
        <w:t>о</w:t>
      </w:r>
      <w:r w:rsidRPr="003B5145">
        <w:t>желать получить информацию о любых изменениях в ходе планируемой ими п</w:t>
      </w:r>
      <w:r w:rsidRPr="003B5145">
        <w:t>о</w:t>
      </w:r>
      <w:r w:rsidRPr="003B5145">
        <w:t>ездки, либо о ее нарушениях, изменениях маршрута или ожидаемом времени в пути. Пользователю может потребоваться информация о коротких местных п</w:t>
      </w:r>
      <w:r w:rsidRPr="003B5145">
        <w:t>о</w:t>
      </w:r>
      <w:r w:rsidRPr="003B5145">
        <w:t>ездках или более продолжительных поездках, в том числе связанных с пересеч</w:t>
      </w:r>
      <w:r w:rsidRPr="003B5145">
        <w:t>е</w:t>
      </w:r>
      <w:r w:rsidRPr="003B5145">
        <w:t>нием границ.</w:t>
      </w:r>
    </w:p>
    <w:p w:rsidR="003B5145" w:rsidRPr="003B5145" w:rsidRDefault="003B5145" w:rsidP="003B5145">
      <w:pPr>
        <w:pStyle w:val="SingleTxt"/>
        <w:spacing w:line="240" w:lineRule="atLeast"/>
      </w:pPr>
      <w:r w:rsidRPr="003B5145">
        <w:t>87.</w:t>
      </w:r>
      <w:r w:rsidRPr="003B5145">
        <w:tab/>
        <w:t>В то же время к числу пользователей информационных услуг о мультим</w:t>
      </w:r>
      <w:r w:rsidRPr="003B5145">
        <w:t>о</w:t>
      </w:r>
      <w:r w:rsidRPr="003B5145">
        <w:t>дальных перевозках относятся не только сами пассажиры, но и все большее чи</w:t>
      </w:r>
      <w:r w:rsidRPr="003B5145">
        <w:t>с</w:t>
      </w:r>
      <w:r w:rsidRPr="003B5145">
        <w:t>ло перевозчиков и транспортных ведомств, которые также пользуются УИМПП в целях максимального повышения эффективности управляемой ими транспортной сети с использованием информации в реальном времени о нарушениях и инц</w:t>
      </w:r>
      <w:r w:rsidRPr="003B5145">
        <w:t>и</w:t>
      </w:r>
      <w:r w:rsidRPr="003B5145">
        <w:t>дентах в ходе перевозочных процессов с целью обеспечения безболезненного п</w:t>
      </w:r>
      <w:r w:rsidRPr="003B5145">
        <w:t>е</w:t>
      </w:r>
      <w:r w:rsidRPr="003B5145">
        <w:t>ренаправления транспортных потоков по их сети. Кроме того, логистические фирмы и грузовые компании также используют информацию в реальном времени в своей повседневной деятельности для принятия информированных решений в отношении выбора наиболее оптимального маршрута для эффективного пров</w:t>
      </w:r>
      <w:r w:rsidRPr="003B5145">
        <w:t>е</w:t>
      </w:r>
      <w:r w:rsidRPr="003B5145">
        <w:lastRenderedPageBreak/>
        <w:t>дения своих операций и избежания нарушений и инцидентов, связанных с пер</w:t>
      </w:r>
      <w:r w:rsidRPr="003B5145">
        <w:t>е</w:t>
      </w:r>
      <w:r w:rsidRPr="003B5145">
        <w:t>возками.</w:t>
      </w:r>
    </w:p>
    <w:p w:rsidR="003B5145" w:rsidRPr="003B5145" w:rsidRDefault="003B5145" w:rsidP="003B5145">
      <w:pPr>
        <w:pStyle w:val="SingleTxt"/>
        <w:spacing w:line="240" w:lineRule="atLeast"/>
      </w:pPr>
      <w:r w:rsidRPr="003B5145">
        <w:t>88.</w:t>
      </w:r>
      <w:r w:rsidRPr="003B5145">
        <w:tab/>
        <w:t>Информационные услуги в мультимодальных перевозках могут предоста</w:t>
      </w:r>
      <w:r w:rsidRPr="003B5145">
        <w:t>в</w:t>
      </w:r>
      <w:r w:rsidRPr="003B5145">
        <w:t>ляться пользователям по самым разным каналам. При сохранении определенной доли пользователей, предпочитающих получать доступ к информации через т</w:t>
      </w:r>
      <w:r w:rsidRPr="003B5145">
        <w:t>а</w:t>
      </w:r>
      <w:r w:rsidRPr="003B5145">
        <w:t>кие службы, как телефонные справочные линии или вокзальные справочные б</w:t>
      </w:r>
      <w:r w:rsidRPr="003B5145">
        <w:t>ю</w:t>
      </w:r>
      <w:r w:rsidRPr="003B5145">
        <w:t>ро, большинство этих услуг в настоящее время предоставляется в онлайновом режиме с использованием поисковых программ, а также приложений для м</w:t>
      </w:r>
      <w:r w:rsidRPr="003B5145">
        <w:t>о</w:t>
      </w:r>
      <w:r w:rsidRPr="003B5145">
        <w:t>бильных телефонов. Информация предоставляется широкому кругу организаций разного типа, включая перевозчиков, транспортные ведомства, инициативы гос</w:t>
      </w:r>
      <w:r w:rsidRPr="003B5145">
        <w:t>у</w:t>
      </w:r>
      <w:r w:rsidRPr="003B5145">
        <w:t>дарственного сектора и технологические компании частного сектора.</w:t>
      </w:r>
    </w:p>
    <w:p w:rsidR="00812E71" w:rsidRPr="00812E71" w:rsidRDefault="00812E71" w:rsidP="00812E71">
      <w:pPr>
        <w:pStyle w:val="SingleTxt"/>
        <w:spacing w:after="0" w:line="120" w:lineRule="exact"/>
        <w:rPr>
          <w:b/>
          <w:bCs/>
          <w:sz w:val="10"/>
        </w:rPr>
      </w:pPr>
    </w:p>
    <w:p w:rsidR="00812E71" w:rsidRPr="00812E71" w:rsidRDefault="00812E71" w:rsidP="00812E71">
      <w:pPr>
        <w:pStyle w:val="SingleTxt"/>
        <w:spacing w:after="0" w:line="120" w:lineRule="exact"/>
        <w:rPr>
          <w:b/>
          <w:bCs/>
          <w:sz w:val="10"/>
        </w:rPr>
      </w:pPr>
    </w:p>
    <w:p w:rsidR="003B5145" w:rsidRPr="003B5145" w:rsidRDefault="003B5145" w:rsidP="00812E7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5145">
        <w:tab/>
        <w:t>IХ.</w:t>
      </w:r>
      <w:r w:rsidRPr="003B5145">
        <w:tab/>
        <w:t>Правила в области транспортных средств</w:t>
      </w:r>
    </w:p>
    <w:p w:rsidR="00812E71" w:rsidRPr="00812E71" w:rsidRDefault="00812E71" w:rsidP="00812E71">
      <w:pPr>
        <w:pStyle w:val="SingleTxt"/>
        <w:spacing w:after="0" w:line="120" w:lineRule="exact"/>
        <w:rPr>
          <w:sz w:val="10"/>
        </w:rPr>
      </w:pPr>
    </w:p>
    <w:p w:rsidR="00812E71" w:rsidRPr="00812E71" w:rsidRDefault="00812E71" w:rsidP="00812E71">
      <w:pPr>
        <w:pStyle w:val="SingleTxt"/>
        <w:spacing w:after="0" w:line="120" w:lineRule="exact"/>
        <w:rPr>
          <w:sz w:val="10"/>
        </w:rPr>
      </w:pPr>
    </w:p>
    <w:p w:rsidR="003B5145" w:rsidRPr="003B5145" w:rsidRDefault="003B5145" w:rsidP="003B5145">
      <w:pPr>
        <w:pStyle w:val="SingleTxt"/>
        <w:spacing w:line="240" w:lineRule="atLeast"/>
      </w:pPr>
      <w:r w:rsidRPr="003B5145">
        <w:t>89.</w:t>
      </w:r>
      <w:r w:rsidRPr="003B5145">
        <w:tab/>
        <w:t>Низкокачественные или старые шины со сниженной глубиной рисунка пр</w:t>
      </w:r>
      <w:r w:rsidRPr="003B5145">
        <w:t>о</w:t>
      </w:r>
      <w:r w:rsidRPr="003B5145">
        <w:t>тектора могут привести к скольжению вашего автомобиля в сырую погоду или при торможении. Новые качественные шины обеспечивают устойчивость вашего автомобиля на дороге, позволяют экономить топливо и снижать шум и выбросы.</w:t>
      </w:r>
    </w:p>
    <w:p w:rsidR="003B5145" w:rsidRPr="003B5145" w:rsidRDefault="009F45FC" w:rsidP="003B5145">
      <w:pPr>
        <w:pStyle w:val="SingleTxt"/>
        <w:spacing w:line="240" w:lineRule="atLeast"/>
      </w:pPr>
      <w:r w:rsidRPr="003B5145">
        <w:rPr>
          <w:noProof/>
          <w:lang w:val="en-US" w:eastAsia="en-US"/>
        </w:rPr>
        <w:drawing>
          <wp:anchor distT="0" distB="0" distL="114300" distR="114300" simplePos="0" relativeHeight="251703296" behindDoc="0" locked="0" layoutInCell="1" allowOverlap="1" wp14:anchorId="1491AAA9" wp14:editId="334CE3EC">
            <wp:simplePos x="0" y="0"/>
            <wp:positionH relativeFrom="column">
              <wp:posOffset>4695190</wp:posOffset>
            </wp:positionH>
            <wp:positionV relativeFrom="paragraph">
              <wp:posOffset>283210</wp:posOffset>
            </wp:positionV>
            <wp:extent cx="904875" cy="1323975"/>
            <wp:effectExtent l="0" t="0" r="9525" b="9525"/>
            <wp:wrapSquare wrapText="bothSides"/>
            <wp:docPr id="12" name="Picture 12" descr="Labels displaying tyre ratings for fuel efficiency, wet grip and noise"/>
            <wp:cNvGraphicFramePr/>
            <a:graphic xmlns:a="http://schemas.openxmlformats.org/drawingml/2006/main">
              <a:graphicData uri="http://schemas.openxmlformats.org/drawingml/2006/picture">
                <pic:pic xmlns:pic="http://schemas.openxmlformats.org/drawingml/2006/picture">
                  <pic:nvPicPr>
                    <pic:cNvPr id="12" name="Picture 12" descr="Labels displaying tyre ratings for fuel efficiency, wet grip and noise"/>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48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B5145" w:rsidRPr="003B5145">
        <w:t>90.</w:t>
      </w:r>
      <w:r w:rsidR="003B5145" w:rsidRPr="003B5145">
        <w:tab/>
        <w:t>Этикетки с указанием топливной эффективности, сцепления с мокрой п</w:t>
      </w:r>
      <w:r w:rsidR="003B5145" w:rsidRPr="003B5145">
        <w:t>о</w:t>
      </w:r>
      <w:r w:rsidR="003B5145" w:rsidRPr="003B5145">
        <w:t>верхностью и шумности.</w:t>
      </w:r>
    </w:p>
    <w:p w:rsidR="003B5145" w:rsidRPr="003B5145" w:rsidRDefault="003B5145" w:rsidP="009F45FC">
      <w:pPr>
        <w:pStyle w:val="SingleTxt"/>
        <w:spacing w:line="240" w:lineRule="atLeast"/>
      </w:pPr>
      <w:r w:rsidRPr="003B5145">
        <w:t>91.</w:t>
      </w:r>
      <w:r w:rsidRPr="003B5145">
        <w:tab/>
        <w:t>ЕС ввел систему этикетирования (с 1 ноября 2012 года) для оказания потребителям помощи в выборе наиболее качестве</w:t>
      </w:r>
      <w:r w:rsidRPr="003B5145">
        <w:t>н</w:t>
      </w:r>
      <w:r w:rsidRPr="003B5145">
        <w:t>ных шин с точки зрения топливной эффективности, сцепления с мокрой поверхностью и шумности. Шины для легковых автом</w:t>
      </w:r>
      <w:r w:rsidRPr="003B5145">
        <w:t>о</w:t>
      </w:r>
      <w:r w:rsidRPr="003B5145">
        <w:t>билей и легких коммерческих транспортных средств должны иметь этикетку с информацией о продукте. Параметры шин большегрузных транспортных средств приводятся в технич</w:t>
      </w:r>
      <w:r w:rsidRPr="003B5145">
        <w:t>е</w:t>
      </w:r>
      <w:r w:rsidRPr="003B5145">
        <w:t>ских документах и на веб-сайтах.</w:t>
      </w:r>
    </w:p>
    <w:p w:rsidR="003B5145" w:rsidRPr="003B5145" w:rsidRDefault="003B5145" w:rsidP="003B5145">
      <w:pPr>
        <w:pStyle w:val="SingleTxt"/>
        <w:spacing w:line="240" w:lineRule="atLeast"/>
      </w:pPr>
      <w:r w:rsidRPr="003B5145">
        <w:t>92.</w:t>
      </w:r>
      <w:r w:rsidRPr="003B5145">
        <w:tab/>
        <w:t>При широком использовании эффективных по расходу топлива шин, по оценкам, до 2020 года удалось бы обеспечить экономию топлива на 6,6 Мт н.э. (млн. т в нефтяном эквиваленте) в год. Благодаря им появилась бы возможность сократить выбросы СО</w:t>
      </w:r>
      <w:r w:rsidRPr="003B5145">
        <w:rPr>
          <w:vertAlign w:val="subscript"/>
        </w:rPr>
        <w:t>2</w:t>
      </w:r>
      <w:r w:rsidRPr="003B5145">
        <w:t xml:space="preserve"> на 4 млн. т в год, что эквивалентно прекращению и</w:t>
      </w:r>
      <w:r w:rsidRPr="003B5145">
        <w:t>с</w:t>
      </w:r>
      <w:r w:rsidRPr="003B5145">
        <w:t>пользования на дорогах ЕС 1,3 млн. легковых автомобилей в год.</w:t>
      </w:r>
    </w:p>
    <w:p w:rsidR="003B5145" w:rsidRPr="003B5145" w:rsidRDefault="003B5145" w:rsidP="003B5145">
      <w:pPr>
        <w:pStyle w:val="SingleTxt"/>
        <w:spacing w:line="240" w:lineRule="atLeast"/>
      </w:pPr>
      <w:r w:rsidRPr="003B5145">
        <w:t>93.</w:t>
      </w:r>
      <w:r w:rsidRPr="003B5145">
        <w:tab/>
        <w:t>На этикетках будет указываться тормозная способность шин на влажном дорожном покрытии. Благодаря высокоэффективным шинам тормозной путь м</w:t>
      </w:r>
      <w:r w:rsidRPr="003B5145">
        <w:t>о</w:t>
      </w:r>
      <w:r w:rsidRPr="003B5145">
        <w:t>жет быть сокращен на несколько метров.</w:t>
      </w:r>
    </w:p>
    <w:p w:rsidR="003B5145" w:rsidRPr="003B5145" w:rsidRDefault="003B5145" w:rsidP="003B5145">
      <w:pPr>
        <w:pStyle w:val="SingleTxt"/>
        <w:spacing w:line="240" w:lineRule="atLeast"/>
      </w:pPr>
      <w:r w:rsidRPr="003B5145">
        <w:t>94.</w:t>
      </w:r>
      <w:r w:rsidRPr="003B5145">
        <w:tab/>
        <w:t>На этикетках также будет указана информация о наименее шумных шинах.</w:t>
      </w:r>
    </w:p>
    <w:p w:rsidR="003B5145" w:rsidRPr="003B5145" w:rsidRDefault="003B5145" w:rsidP="00165402">
      <w:pPr>
        <w:pStyle w:val="SingleTxt"/>
        <w:spacing w:line="240" w:lineRule="atLeast"/>
      </w:pPr>
      <w:r w:rsidRPr="003B5145">
        <w:t>95.</w:t>
      </w:r>
      <w:r w:rsidRPr="003B5145">
        <w:tab/>
        <w:t>ЕС является Договаривающейся стороной Соглашений 1958 и 1998 годов по конструкции транспортных средств, относящихся к сфере ведения Всемирного форума для согласования правил в области транспортных средств (</w:t>
      </w:r>
      <w:r w:rsidRPr="003B5145">
        <w:rPr>
          <w:lang w:val="en-US"/>
        </w:rPr>
        <w:t>WP</w:t>
      </w:r>
      <w:r w:rsidRPr="003B5145">
        <w:t>.29). П</w:t>
      </w:r>
      <w:r w:rsidRPr="003B5145">
        <w:t>о</w:t>
      </w:r>
      <w:r w:rsidRPr="003B5145">
        <w:t>скольку начиная с 1 ноября 2014 года большое количество правил ООН стали юридически обязывающими для ЕС нормами в рамках осуществления соотве</w:t>
      </w:r>
      <w:r w:rsidRPr="003B5145">
        <w:t>т</w:t>
      </w:r>
      <w:r w:rsidRPr="003B5145">
        <w:t>ствующих положений Регламента (ЕК) № 661/2009 в отношении общей безопа</w:t>
      </w:r>
      <w:r w:rsidRPr="003B5145">
        <w:t>с</w:t>
      </w:r>
      <w:r w:rsidRPr="003B5145">
        <w:t>ности транспортных средств (Регламент по общей безопасности), который отм</w:t>
      </w:r>
      <w:r w:rsidRPr="003B5145">
        <w:t>е</w:t>
      </w:r>
      <w:r w:rsidRPr="003B5145">
        <w:t>нил более 50 директив ЕС и заменил большинство из них 70 правилами ООН по тому же вопросу.</w:t>
      </w:r>
    </w:p>
    <w:p w:rsidR="003B5145" w:rsidRPr="003B5145" w:rsidRDefault="003B5145" w:rsidP="009F45FC">
      <w:pPr>
        <w:pStyle w:val="SingleTxt"/>
        <w:keepLines/>
        <w:spacing w:line="240" w:lineRule="atLeast"/>
      </w:pPr>
      <w:r w:rsidRPr="003B5145">
        <w:lastRenderedPageBreak/>
        <w:t>96.</w:t>
      </w:r>
      <w:r w:rsidRPr="003B5145">
        <w:tab/>
        <w:t>В центре внимания Комиссии ЕС находилось успешное завершение рефо</w:t>
      </w:r>
      <w:r w:rsidRPr="003B5145">
        <w:t>р</w:t>
      </w:r>
      <w:r w:rsidRPr="003B5145">
        <w:t>мы Соглашения 1958 года путем оперативного принятия его пересмотренного в</w:t>
      </w:r>
      <w:r w:rsidRPr="003B5145">
        <w:t>а</w:t>
      </w:r>
      <w:r w:rsidRPr="003B5145">
        <w:t>рианта 3, в связи с чем ожидаются существенные выгоды в плане упрощения торговли и укрепления конкурентоспособности автомобильной промышленности ЕС на глобальном рынке, центр тяжести которого неуклонного смещается в ст</w:t>
      </w:r>
      <w:r w:rsidRPr="003B5145">
        <w:t>о</w:t>
      </w:r>
      <w:r w:rsidRPr="003B5145">
        <w:t>рону стран с формирующейся экономикой. Уже имеются убедительные свид</w:t>
      </w:r>
      <w:r w:rsidRPr="003B5145">
        <w:t>е</w:t>
      </w:r>
      <w:r w:rsidRPr="003B5145">
        <w:t>тельства заинтересованности в присоединении к Соглашению 1958 года таких важных партнеров ЕС, как Бразилия, Индия и Китай, а также других стран Аз</w:t>
      </w:r>
      <w:r w:rsidRPr="003B5145">
        <w:t>и</w:t>
      </w:r>
      <w:r w:rsidRPr="003B5145">
        <w:t>атского региона.</w:t>
      </w:r>
    </w:p>
    <w:p w:rsidR="003B5145" w:rsidRPr="003B5145" w:rsidRDefault="003B5145" w:rsidP="003B5145">
      <w:pPr>
        <w:pStyle w:val="SingleTxt"/>
        <w:spacing w:line="240" w:lineRule="atLeast"/>
      </w:pPr>
      <w:r w:rsidRPr="003B5145">
        <w:t>97.</w:t>
      </w:r>
      <w:r w:rsidRPr="003B5145">
        <w:tab/>
        <w:t>В рамках реформирования Соглашения 1958 года прилагаются весьма эне</w:t>
      </w:r>
      <w:r w:rsidRPr="003B5145">
        <w:t>р</w:t>
      </w:r>
      <w:r w:rsidRPr="003B5145">
        <w:t>гичные усилия по возможному принятию новых Правил ООН в отношении ме</w:t>
      </w:r>
      <w:r w:rsidRPr="003B5145">
        <w:t>ж</w:t>
      </w:r>
      <w:r w:rsidRPr="003B5145">
        <w:t>дународного официального утверждения типа комплектного транспортного сре</w:t>
      </w:r>
      <w:r w:rsidRPr="003B5145">
        <w:t>д</w:t>
      </w:r>
      <w:r w:rsidRPr="003B5145">
        <w:t>ства (МОУТКТС) в целях создания условий, позволяющих по крайней мере обеспечить частичное применение этой системы Договаривающимися сторонами в 2016 году. С учетом того, что МОУТКТС будет проводиться только между Д</w:t>
      </w:r>
      <w:r w:rsidRPr="003B5145">
        <w:t>о</w:t>
      </w:r>
      <w:r w:rsidRPr="003B5145">
        <w:t>говаривающимися сторонами Соглашения 1958 года, исключая таким образом важных партнеров ЕС, необходимость содействовать присоединению к этому С</w:t>
      </w:r>
      <w:r w:rsidRPr="003B5145">
        <w:t>о</w:t>
      </w:r>
      <w:r w:rsidRPr="003B5145">
        <w:t xml:space="preserve">глашению большего числа стран приобретает все более осязаемый характер. </w:t>
      </w:r>
    </w:p>
    <w:p w:rsidR="003B5145" w:rsidRPr="003B5145" w:rsidRDefault="003B5145" w:rsidP="003B5145">
      <w:pPr>
        <w:pStyle w:val="SingleTxt"/>
        <w:spacing w:line="240" w:lineRule="atLeast"/>
      </w:pPr>
      <w:r w:rsidRPr="003B5145">
        <w:t>98.</w:t>
      </w:r>
      <w:r w:rsidRPr="003B5145">
        <w:tab/>
        <w:t>Усилия Европейской комиссии направлены на активизацию осуществления принятых на международном уровне стандартов в рамках ЕЭК ООН и их допо</w:t>
      </w:r>
      <w:r w:rsidRPr="003B5145">
        <w:t>л</w:t>
      </w:r>
      <w:r w:rsidRPr="003B5145">
        <w:t>нение двусторонним сотрудничеством в области нормативного регулирования с ключевыми партнерами ЕС. В этой связи первостепенное значение имеют пер</w:t>
      </w:r>
      <w:r w:rsidRPr="003B5145">
        <w:t>е</w:t>
      </w:r>
      <w:r w:rsidRPr="003B5145">
        <w:t>говоры с Соединенными Штатами Америки по заключению трансатлантического соглашения о торговом и инвестиционном партнерстве.</w:t>
      </w:r>
    </w:p>
    <w:p w:rsidR="003B5145" w:rsidRPr="003B5145" w:rsidRDefault="003B5145" w:rsidP="009F45FC">
      <w:pPr>
        <w:pStyle w:val="SingleTxt"/>
        <w:spacing w:line="240" w:lineRule="atLeast"/>
      </w:pPr>
      <w:r w:rsidRPr="003B5145">
        <w:t>99.</w:t>
      </w:r>
      <w:r w:rsidRPr="003B5145">
        <w:tab/>
        <w:t>На европейском уровне Комиссия провела интенсивную работу по разр</w:t>
      </w:r>
      <w:r w:rsidRPr="003B5145">
        <w:t>а</w:t>
      </w:r>
      <w:r w:rsidRPr="003B5145">
        <w:t>ботке устойчивых процедур испытаний транспортных средств на выбросы. В</w:t>
      </w:r>
      <w:r w:rsidR="009F45FC">
        <w:t> </w:t>
      </w:r>
      <w:r w:rsidRPr="003B5145">
        <w:t>настоящее время выбросы дизельными транспортными средствами оксидов азота (</w:t>
      </w:r>
      <w:r w:rsidRPr="003B5145">
        <w:rPr>
          <w:lang w:val="en-GB"/>
        </w:rPr>
        <w:t>NO</w:t>
      </w:r>
      <w:r w:rsidRPr="003B5145">
        <w:rPr>
          <w:vertAlign w:val="subscript"/>
          <w:lang w:val="en-GB"/>
        </w:rPr>
        <w:t>x</w:t>
      </w:r>
      <w:r w:rsidRPr="003B5145">
        <w:t>), измеряемые в процессе движения, превышают такие выбросы, изм</w:t>
      </w:r>
      <w:r w:rsidRPr="003B5145">
        <w:t>е</w:t>
      </w:r>
      <w:r w:rsidRPr="003B5145">
        <w:t>рение которых проводится в рамках процедуры испытаний (НЕЕЦ). С целью устранения этого пробела Комиссия занималась разработкой процедур испыт</w:t>
      </w:r>
      <w:r w:rsidRPr="003B5145">
        <w:t>а</w:t>
      </w:r>
      <w:r w:rsidRPr="003B5145">
        <w:t xml:space="preserve">ний на выбросы в реальных условиях вождения (ВРУВ). </w:t>
      </w:r>
    </w:p>
    <w:p w:rsidR="003B5145" w:rsidRPr="003B5145" w:rsidRDefault="003B5145" w:rsidP="003B5145">
      <w:pPr>
        <w:pStyle w:val="SingleTxt"/>
        <w:spacing w:line="240" w:lineRule="atLeast"/>
      </w:pPr>
      <w:r w:rsidRPr="003B5145">
        <w:t>100.</w:t>
      </w:r>
      <w:r w:rsidRPr="003B5145">
        <w:tab/>
        <w:t>Процедура испытаний на ВРУВ дополнит применяемую в настоящее время процедуру лабораторных испытаний (НЕЕЦ) по проверке уровней выбросов о</w:t>
      </w:r>
      <w:r w:rsidRPr="003B5145">
        <w:t>к</w:t>
      </w:r>
      <w:r w:rsidRPr="003B5145">
        <w:t>сидов азота (</w:t>
      </w:r>
      <w:r w:rsidRPr="003B5145">
        <w:rPr>
          <w:lang w:val="en-GB"/>
        </w:rPr>
        <w:t>NO</w:t>
      </w:r>
      <w:r w:rsidRPr="003B5145">
        <w:rPr>
          <w:vertAlign w:val="subscript"/>
          <w:lang w:val="en-GB"/>
        </w:rPr>
        <w:t>x</w:t>
      </w:r>
      <w:r w:rsidRPr="003B5145">
        <w:t>), а на более позднем этапе и испытаний, связанных с измерен</w:t>
      </w:r>
      <w:r w:rsidRPr="003B5145">
        <w:t>и</w:t>
      </w:r>
      <w:r w:rsidRPr="003B5145">
        <w:t>ем количества частиц (КЧ), с тем чтобы измеренные в ходе лабораторных исп</w:t>
      </w:r>
      <w:r w:rsidRPr="003B5145">
        <w:t>ы</w:t>
      </w:r>
      <w:r w:rsidRPr="003B5145">
        <w:t>таний значения получали подтверждения в условиях реального вождения. В</w:t>
      </w:r>
      <w:r w:rsidRPr="003B5145">
        <w:t>ы</w:t>
      </w:r>
      <w:r w:rsidRPr="003B5145">
        <w:t>бросы загрязнителей будет измеряться с помощью переносных систем измерения выбросов (ПСИВ), которые будут устанавливаться на соответствующем легковом автомобиле. Испытания на ВРУВ позволят существенно сократить наблюдаемые в настоящее время различия между выбросами, измеряемыми в лабораторных условиях, и выбросами, измеряемыми в реальных условиях дорожного движения, а также в значительной степени снизить риск мошенничества с использованием блокирующего устройства.</w:t>
      </w:r>
    </w:p>
    <w:p w:rsidR="003B5145" w:rsidRPr="003B5145" w:rsidRDefault="003B5145" w:rsidP="003B5145">
      <w:pPr>
        <w:pStyle w:val="SingleTxt"/>
        <w:spacing w:line="240" w:lineRule="atLeast"/>
      </w:pPr>
      <w:r w:rsidRPr="003B5145">
        <w:t>101.</w:t>
      </w:r>
      <w:r w:rsidRPr="003B5145">
        <w:tab/>
        <w:t>В случае одобрения Европейским парламентом не подлежащие превыш</w:t>
      </w:r>
      <w:r w:rsidRPr="003B5145">
        <w:t>е</w:t>
      </w:r>
      <w:r w:rsidRPr="003B5145">
        <w:t xml:space="preserve">нию предельные значения выбросов, которые были согласованы государствами-членами в октябре 2015 года, будут введены с сентября 2017 года.  </w:t>
      </w:r>
    </w:p>
    <w:p w:rsidR="009F45FC" w:rsidRPr="009F45FC" w:rsidRDefault="009F45FC" w:rsidP="009F45FC">
      <w:pPr>
        <w:pStyle w:val="SingleTxt"/>
        <w:spacing w:after="0" w:line="120" w:lineRule="exact"/>
        <w:rPr>
          <w:b/>
          <w:sz w:val="10"/>
        </w:rPr>
      </w:pPr>
    </w:p>
    <w:p w:rsidR="009F45FC" w:rsidRPr="009F45FC" w:rsidRDefault="009F45FC" w:rsidP="009F45FC">
      <w:pPr>
        <w:pStyle w:val="SingleTxt"/>
        <w:spacing w:after="0" w:line="120" w:lineRule="exact"/>
        <w:rPr>
          <w:b/>
          <w:sz w:val="10"/>
        </w:rPr>
      </w:pPr>
    </w:p>
    <w:p w:rsidR="003B5145" w:rsidRPr="003B5145" w:rsidRDefault="003B5145" w:rsidP="009F45F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5145">
        <w:lastRenderedPageBreak/>
        <w:tab/>
        <w:t>X.</w:t>
      </w:r>
      <w:r w:rsidRPr="003B5145">
        <w:tab/>
        <w:t>Публикации</w:t>
      </w:r>
    </w:p>
    <w:p w:rsidR="009F45FC" w:rsidRPr="009F45FC" w:rsidRDefault="009F45FC" w:rsidP="009F45FC">
      <w:pPr>
        <w:pStyle w:val="SingleTxt"/>
        <w:keepNext/>
        <w:spacing w:after="0" w:line="120" w:lineRule="exact"/>
        <w:rPr>
          <w:b/>
          <w:sz w:val="10"/>
        </w:rPr>
      </w:pPr>
    </w:p>
    <w:p w:rsidR="009F45FC" w:rsidRPr="009F45FC" w:rsidRDefault="009F45FC" w:rsidP="009F45FC">
      <w:pPr>
        <w:pStyle w:val="SingleTxt"/>
        <w:keepNext/>
        <w:spacing w:after="0" w:line="120" w:lineRule="exact"/>
        <w:rPr>
          <w:b/>
          <w:sz w:val="10"/>
        </w:rPr>
      </w:pPr>
    </w:p>
    <w:p w:rsidR="003B5145" w:rsidRPr="003B5145" w:rsidRDefault="003B5145" w:rsidP="009F45FC">
      <w:pPr>
        <w:pStyle w:val="H1"/>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5145">
        <w:tab/>
        <w:t>A.</w:t>
      </w:r>
      <w:r w:rsidRPr="003B5145">
        <w:tab/>
        <w:t>Транспорт ЕС в цифрах, 2015 год</w:t>
      </w:r>
    </w:p>
    <w:p w:rsidR="009F45FC" w:rsidRPr="009F45FC" w:rsidRDefault="009F45FC" w:rsidP="009F45FC">
      <w:pPr>
        <w:pStyle w:val="SingleTxt"/>
        <w:keepNext/>
        <w:spacing w:after="0" w:line="120" w:lineRule="exact"/>
        <w:rPr>
          <w:b/>
          <w:sz w:val="10"/>
        </w:rPr>
      </w:pPr>
    </w:p>
    <w:p w:rsidR="009F45FC" w:rsidRPr="009F45FC" w:rsidRDefault="009F45FC" w:rsidP="009F45FC">
      <w:pPr>
        <w:pStyle w:val="SingleTxt"/>
        <w:keepNext/>
        <w:spacing w:after="0" w:line="120" w:lineRule="exact"/>
        <w:rPr>
          <w:b/>
          <w:sz w:val="10"/>
        </w:rPr>
      </w:pPr>
    </w:p>
    <w:p w:rsidR="003B5145" w:rsidRPr="003B5145" w:rsidRDefault="009F45FC" w:rsidP="009F45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5145">
        <w:rPr>
          <w:noProof/>
          <w:lang w:val="en-US" w:eastAsia="en-US"/>
        </w:rPr>
        <w:drawing>
          <wp:anchor distT="0" distB="0" distL="114300" distR="114300" simplePos="0" relativeHeight="251663360" behindDoc="0" locked="0" layoutInCell="1" allowOverlap="1" wp14:anchorId="7AD55C78" wp14:editId="66497475">
            <wp:simplePos x="0" y="0"/>
            <wp:positionH relativeFrom="column">
              <wp:posOffset>4516120</wp:posOffset>
            </wp:positionH>
            <wp:positionV relativeFrom="paragraph">
              <wp:posOffset>65405</wp:posOffset>
            </wp:positionV>
            <wp:extent cx="1113155" cy="1741170"/>
            <wp:effectExtent l="0" t="0" r="0" b="0"/>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l="36855" t="7840" r="37878" b="2625"/>
                    <a:stretch>
                      <a:fillRect/>
                    </a:stretch>
                  </pic:blipFill>
                  <pic:spPr bwMode="auto">
                    <a:xfrm>
                      <a:off x="0" y="0"/>
                      <a:ext cx="1113155" cy="174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3B5145" w:rsidRPr="003B5145">
        <w:tab/>
        <w:t>1.</w:t>
      </w:r>
      <w:r w:rsidR="003B5145" w:rsidRPr="003B5145">
        <w:tab/>
        <w:t>Валовая добавленная стоимость</w:t>
      </w:r>
    </w:p>
    <w:p w:rsidR="009F45FC" w:rsidRPr="009F45FC" w:rsidRDefault="009F45FC" w:rsidP="009F45FC">
      <w:pPr>
        <w:pStyle w:val="SingleTxt"/>
        <w:keepNext/>
        <w:spacing w:after="0" w:line="120" w:lineRule="exact"/>
        <w:rPr>
          <w:sz w:val="10"/>
        </w:rPr>
      </w:pPr>
    </w:p>
    <w:p w:rsidR="003B5145" w:rsidRPr="003B5145" w:rsidRDefault="003B5145" w:rsidP="003B5145">
      <w:pPr>
        <w:pStyle w:val="SingleTxt"/>
        <w:spacing w:line="240" w:lineRule="atLeast"/>
      </w:pPr>
      <w:r w:rsidRPr="003B5145">
        <w:t>102.</w:t>
      </w:r>
      <w:r w:rsidRPr="003B5145">
        <w:tab/>
        <w:t>На сектор транспортных услуг и услуг по хранению (включая почтовую и курьерскую деятельность), в котором валовая добавленная стоимость (ВДС) по базовым ценам с</w:t>
      </w:r>
      <w:r w:rsidRPr="003B5145">
        <w:t>о</w:t>
      </w:r>
      <w:r w:rsidRPr="003B5145">
        <w:t>ставляет 562</w:t>
      </w:r>
      <w:r w:rsidR="00AA108E">
        <w:t> млрд. </w:t>
      </w:r>
      <w:r w:rsidRPr="003B5145">
        <w:t>евро, в 2012 году в ЕС-28 пришлось около 4,9% от общей ВДС. Однако этот показатель включает в себя только ВДС компаний, основным видом деятельности кот</w:t>
      </w:r>
      <w:r w:rsidRPr="003B5145">
        <w:t>о</w:t>
      </w:r>
      <w:r w:rsidRPr="003B5145">
        <w:t>рых является предоставление транспортных (и связанных с транспортом) услуг, и в него не включены перевозки, прои</w:t>
      </w:r>
      <w:r w:rsidRPr="003B5145">
        <w:t>з</w:t>
      </w:r>
      <w:r w:rsidRPr="003B5145">
        <w:t>водимые компаниями за собственный счет.</w:t>
      </w:r>
    </w:p>
    <w:p w:rsidR="009F45FC" w:rsidRPr="009F45FC" w:rsidRDefault="009F45FC" w:rsidP="009F45FC">
      <w:pPr>
        <w:pStyle w:val="SingleTxt"/>
        <w:spacing w:after="0" w:line="120" w:lineRule="exact"/>
        <w:rPr>
          <w:b/>
          <w:sz w:val="10"/>
        </w:rPr>
      </w:pPr>
    </w:p>
    <w:p w:rsidR="003B5145" w:rsidRPr="003B5145" w:rsidRDefault="003B5145" w:rsidP="009F45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5145">
        <w:tab/>
        <w:t>2.</w:t>
      </w:r>
      <w:r w:rsidRPr="003B5145">
        <w:tab/>
        <w:t>Занятость</w:t>
      </w:r>
    </w:p>
    <w:p w:rsidR="009F45FC" w:rsidRPr="009F45FC" w:rsidRDefault="009F45FC" w:rsidP="009F45FC">
      <w:pPr>
        <w:pStyle w:val="SingleTxt"/>
        <w:spacing w:after="0" w:line="120" w:lineRule="exact"/>
        <w:rPr>
          <w:sz w:val="10"/>
        </w:rPr>
      </w:pPr>
    </w:p>
    <w:p w:rsidR="003B5145" w:rsidRPr="003B5145" w:rsidRDefault="003B5145" w:rsidP="003B5145">
      <w:pPr>
        <w:pStyle w:val="SingleTxt"/>
        <w:spacing w:line="240" w:lineRule="atLeast"/>
      </w:pPr>
      <w:r w:rsidRPr="003B5145">
        <w:t>103.</w:t>
      </w:r>
      <w:r w:rsidRPr="003B5145">
        <w:tab/>
        <w:t>В 2013 году в секторе транспортных услуг и услуг по хранению (включая почтово-курьерскую деятельность) в ЕС-28 было занято около 11 млн. человек, т.е. около 5,1% от общей численности рабочей силы. Около 53% из них работали в секторе наземного транспорта (автодорожный, железнодорожный и трубопр</w:t>
      </w:r>
      <w:r w:rsidRPr="003B5145">
        <w:t>о</w:t>
      </w:r>
      <w:r w:rsidRPr="003B5145">
        <w:t>водный), 3% на водном транспорте (морские и внутренние водные пути), 4% на воздушном транспорте и 25% в сфере складского хозяйства и вспомогательных транспортн</w:t>
      </w:r>
      <w:r w:rsidR="00165402">
        <w:t>ых операций (например, погрузка–</w:t>
      </w:r>
      <w:r w:rsidRPr="003B5145">
        <w:t>выгрузка, хранение, и складское хозяйство), а остальные 16% были заняты в сфере почтово-курьерской деятел</w:t>
      </w:r>
      <w:r w:rsidRPr="003B5145">
        <w:t>ь</w:t>
      </w:r>
      <w:r w:rsidRPr="003B5145">
        <w:t>ности.</w:t>
      </w:r>
    </w:p>
    <w:p w:rsidR="009F45FC" w:rsidRPr="009F45FC" w:rsidRDefault="009F45FC" w:rsidP="009F45FC">
      <w:pPr>
        <w:pStyle w:val="SingleTxt"/>
        <w:spacing w:after="0" w:line="120" w:lineRule="exact"/>
        <w:rPr>
          <w:b/>
          <w:sz w:val="10"/>
        </w:rPr>
      </w:pPr>
    </w:p>
    <w:p w:rsidR="003B5145" w:rsidRPr="003B5145" w:rsidRDefault="003B5145" w:rsidP="009F45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5145">
        <w:tab/>
        <w:t>3.</w:t>
      </w:r>
      <w:r w:rsidRPr="003B5145">
        <w:tab/>
        <w:t>Расходы домохозяйств</w:t>
      </w:r>
    </w:p>
    <w:p w:rsidR="009F45FC" w:rsidRPr="009F45FC" w:rsidRDefault="009F45FC" w:rsidP="009F45FC">
      <w:pPr>
        <w:pStyle w:val="SingleTxt"/>
        <w:spacing w:after="0" w:line="120" w:lineRule="exact"/>
        <w:rPr>
          <w:sz w:val="10"/>
        </w:rPr>
      </w:pPr>
    </w:p>
    <w:p w:rsidR="003B5145" w:rsidRPr="003B5145" w:rsidRDefault="003B5145" w:rsidP="003B5145">
      <w:pPr>
        <w:pStyle w:val="SingleTxt"/>
        <w:spacing w:line="240" w:lineRule="atLeast"/>
      </w:pPr>
      <w:r w:rsidRPr="003B5145">
        <w:t>104.</w:t>
      </w:r>
      <w:r w:rsidRPr="003B5145">
        <w:tab/>
        <w:t>Согласно оценкам в 2013 году частные домохозяйства в ЕС-28 израсходов</w:t>
      </w:r>
      <w:r w:rsidRPr="003B5145">
        <w:t>а</w:t>
      </w:r>
      <w:r w:rsidRPr="003B5145">
        <w:t>ли на связанные с транспортом товары и услуги 961</w:t>
      </w:r>
      <w:r w:rsidR="00AA108E">
        <w:t> млрд. </w:t>
      </w:r>
      <w:r w:rsidRPr="003B5145">
        <w:t>евро, или около 12,8% от общего объема расходов на потребление. Почти 26% от этой суммы (около 248</w:t>
      </w:r>
      <w:r w:rsidR="00AA108E">
        <w:t> млрд. </w:t>
      </w:r>
      <w:r w:rsidRPr="003B5145">
        <w:t>евро) было израсходовано на покупку транспортных средств, и более половины этой суммы (520</w:t>
      </w:r>
      <w:r w:rsidR="00AA108E">
        <w:t> млрд. </w:t>
      </w:r>
      <w:r w:rsidRPr="003B5145">
        <w:t>евро) – на цели эксплуатации личного тран</w:t>
      </w:r>
      <w:r w:rsidRPr="003B5145">
        <w:t>с</w:t>
      </w:r>
      <w:r w:rsidRPr="003B5145">
        <w:t>портного оборудования (например</w:t>
      </w:r>
      <w:r w:rsidR="00165402">
        <w:t>,</w:t>
      </w:r>
      <w:r w:rsidRPr="003B5145">
        <w:t xml:space="preserve"> на покупку топлива для легковых автомоб</w:t>
      </w:r>
      <w:r w:rsidRPr="003B5145">
        <w:t>и</w:t>
      </w:r>
      <w:r w:rsidRPr="003B5145">
        <w:t>лей), а остальная сумма (193</w:t>
      </w:r>
      <w:r w:rsidR="00AA108E">
        <w:t> млрд. </w:t>
      </w:r>
      <w:r w:rsidRPr="003B5145">
        <w:t>евро) была израсходована на транспортные услуги (например, на приобретение билетов на автобусы, поезда, самолеты).</w:t>
      </w:r>
    </w:p>
    <w:p w:rsidR="009F45FC" w:rsidRPr="009F45FC" w:rsidRDefault="009F45FC" w:rsidP="009F45FC">
      <w:pPr>
        <w:pStyle w:val="SingleTxt"/>
        <w:spacing w:after="0" w:line="120" w:lineRule="exact"/>
        <w:rPr>
          <w:b/>
          <w:sz w:val="10"/>
        </w:rPr>
      </w:pPr>
    </w:p>
    <w:p w:rsidR="003B5145" w:rsidRPr="003B5145" w:rsidRDefault="009F45FC" w:rsidP="009F45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B5145" w:rsidRPr="003B5145">
        <w:t>4.</w:t>
      </w:r>
      <w:r w:rsidR="003B5145" w:rsidRPr="003B5145">
        <w:tab/>
        <w:t>Грузовой транспорт</w:t>
      </w:r>
    </w:p>
    <w:p w:rsidR="009F45FC" w:rsidRPr="009F45FC" w:rsidRDefault="009F45FC" w:rsidP="009F45FC">
      <w:pPr>
        <w:pStyle w:val="SingleTxt"/>
        <w:spacing w:after="0" w:line="120" w:lineRule="exact"/>
        <w:rPr>
          <w:sz w:val="10"/>
        </w:rPr>
      </w:pPr>
    </w:p>
    <w:p w:rsidR="003B5145" w:rsidRPr="003B5145" w:rsidRDefault="003B5145" w:rsidP="00165402">
      <w:pPr>
        <w:pStyle w:val="SingleTxt"/>
        <w:spacing w:line="240" w:lineRule="atLeast"/>
      </w:pPr>
      <w:r w:rsidRPr="003B5145">
        <w:t>105.</w:t>
      </w:r>
      <w:r w:rsidRPr="003B5145">
        <w:tab/>
        <w:t>В 2013 году общий объем грузовых перевозок в ЕС-28 согласно оценкам д</w:t>
      </w:r>
      <w:r w:rsidRPr="003B5145">
        <w:t>о</w:t>
      </w:r>
      <w:r w:rsidRPr="003B5145">
        <w:t>стиг 3</w:t>
      </w:r>
      <w:r w:rsidR="004A542C">
        <w:t> </w:t>
      </w:r>
      <w:r w:rsidRPr="003B5145">
        <w:t>481</w:t>
      </w:r>
      <w:r w:rsidR="00AA108E">
        <w:t> млрд. </w:t>
      </w:r>
      <w:r w:rsidRPr="003B5145">
        <w:t>т-км. Этот показатель включает в себя воздушные и морские п</w:t>
      </w:r>
      <w:r w:rsidRPr="003B5145">
        <w:t>е</w:t>
      </w:r>
      <w:r w:rsidRPr="003B5145">
        <w:t>ревозки в пределах ЕС, но не включает транспортную деятельность между ЕС и остальным миром. На автодорожный транспорт приходится 49,4% от общего зн</w:t>
      </w:r>
      <w:r w:rsidRPr="003B5145">
        <w:t>а</w:t>
      </w:r>
      <w:r w:rsidRPr="003B5145">
        <w:t>чения, на железнодорожный транспорт – 11,7%, внутренний водный транспорт – 4,4% и на транспортировку нефти – 3,2%. Морские перевозки внутри ЕС являю</w:t>
      </w:r>
      <w:r w:rsidRPr="003B5145">
        <w:t>т</w:t>
      </w:r>
      <w:r w:rsidRPr="003B5145">
        <w:t>ся вторым по значению видом транспорта, доля которого достигает 31,3%, в то время как на воздушные перевозки внутри ЕС приходится только 0,1% от общего объема.</w:t>
      </w:r>
    </w:p>
    <w:p w:rsidR="009F45FC" w:rsidRPr="009F45FC" w:rsidRDefault="009F45FC" w:rsidP="009F45FC">
      <w:pPr>
        <w:pStyle w:val="SingleTxt"/>
        <w:spacing w:after="0" w:line="120" w:lineRule="exact"/>
        <w:rPr>
          <w:b/>
          <w:sz w:val="10"/>
        </w:rPr>
      </w:pPr>
    </w:p>
    <w:p w:rsidR="003B5145" w:rsidRPr="003B5145" w:rsidRDefault="003B5145" w:rsidP="009F45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5145">
        <w:tab/>
        <w:t>5.</w:t>
      </w:r>
      <w:r w:rsidRPr="003B5145">
        <w:tab/>
        <w:t>Пассажирские перевозки</w:t>
      </w:r>
    </w:p>
    <w:p w:rsidR="009F45FC" w:rsidRPr="009F45FC" w:rsidRDefault="009F45FC" w:rsidP="009F45FC">
      <w:pPr>
        <w:pStyle w:val="SingleTxt"/>
        <w:spacing w:after="0" w:line="120" w:lineRule="exact"/>
        <w:rPr>
          <w:sz w:val="10"/>
        </w:rPr>
      </w:pPr>
    </w:p>
    <w:p w:rsidR="003B5145" w:rsidRPr="003B5145" w:rsidRDefault="003B5145" w:rsidP="009F45FC">
      <w:pPr>
        <w:pStyle w:val="SingleTxt"/>
        <w:spacing w:line="240" w:lineRule="atLeast"/>
      </w:pPr>
      <w:r w:rsidRPr="003B5145">
        <w:t>106.</w:t>
      </w:r>
      <w:r w:rsidRPr="003B5145">
        <w:tab/>
        <w:t>В 2013 году общий показатель пассажирских перевозок в ЕС-28 всеми транспортными средствами согласно оценкам достиг 6 465</w:t>
      </w:r>
      <w:r w:rsidR="00AA108E">
        <w:t> млрд. </w:t>
      </w:r>
      <w:r w:rsidRPr="003B5145">
        <w:t>пассажиро-км, или в среднем около 12</w:t>
      </w:r>
      <w:r w:rsidR="009F45FC">
        <w:t> </w:t>
      </w:r>
      <w:r w:rsidRPr="003B5145">
        <w:t>700 км на человека. Этот показатель включает в себя во</w:t>
      </w:r>
      <w:r w:rsidRPr="003B5145">
        <w:t>з</w:t>
      </w:r>
      <w:r w:rsidRPr="003B5145">
        <w:lastRenderedPageBreak/>
        <w:t>душные и морские перевозки в пределах ЕС, но не включает транспортную де</w:t>
      </w:r>
      <w:r w:rsidRPr="003B5145">
        <w:t>я</w:t>
      </w:r>
      <w:r w:rsidRPr="003B5145">
        <w:t>тельность между ЕС и остальным миром. На легковые автомобили пришлось 72,3% от этого общего показателя, механизированные двухколесные транспор</w:t>
      </w:r>
      <w:r w:rsidRPr="003B5145">
        <w:t>т</w:t>
      </w:r>
      <w:r w:rsidRPr="003B5145">
        <w:t>ные средства – 1,9%, городские и междугородные автобусы – 8,1%, железнод</w:t>
      </w:r>
      <w:r w:rsidRPr="003B5145">
        <w:t>о</w:t>
      </w:r>
      <w:r w:rsidRPr="003B5145">
        <w:t>рожный транспорт – 6,6% и на трамвай и метро – 1,5%. На долю воздушных и морских перевозок в пределах ЕС пришлось 9% или 0,6% соответственно.</w:t>
      </w:r>
    </w:p>
    <w:p w:rsidR="009F45FC" w:rsidRPr="009F45FC" w:rsidRDefault="009F45FC" w:rsidP="009F45FC">
      <w:pPr>
        <w:pStyle w:val="SingleTxt"/>
        <w:spacing w:after="0" w:line="120" w:lineRule="exact"/>
        <w:rPr>
          <w:b/>
          <w:sz w:val="10"/>
        </w:rPr>
      </w:pPr>
    </w:p>
    <w:p w:rsidR="003B5145" w:rsidRPr="003B5145" w:rsidRDefault="003B5145" w:rsidP="009F45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5145">
        <w:tab/>
        <w:t>6.</w:t>
      </w:r>
      <w:r w:rsidRPr="003B5145">
        <w:tab/>
        <w:t>Эксплуатационная безопасность</w:t>
      </w:r>
    </w:p>
    <w:p w:rsidR="009F45FC" w:rsidRPr="009F45FC" w:rsidRDefault="009F45FC" w:rsidP="009F45FC">
      <w:pPr>
        <w:pStyle w:val="SingleTxt"/>
        <w:spacing w:after="0" w:line="120" w:lineRule="exact"/>
        <w:rPr>
          <w:sz w:val="10"/>
        </w:rPr>
      </w:pPr>
    </w:p>
    <w:p w:rsidR="003B5145" w:rsidRPr="003B5145" w:rsidRDefault="003B5145" w:rsidP="004A542C">
      <w:pPr>
        <w:pStyle w:val="SingleTxt"/>
        <w:spacing w:line="240" w:lineRule="atLeast"/>
      </w:pPr>
      <w:r w:rsidRPr="003B5145">
        <w:t>107.</w:t>
      </w:r>
      <w:r w:rsidRPr="003B5145">
        <w:tab/>
        <w:t>Автодорожный транспорт: в 2013 году в дорожно-транспортных происш</w:t>
      </w:r>
      <w:r w:rsidRPr="003B5145">
        <w:t>е</w:t>
      </w:r>
      <w:r w:rsidRPr="003B5145">
        <w:t>ствиях (со смертельным исходом в течение 30 суток) погибло 25</w:t>
      </w:r>
      <w:r w:rsidR="004A542C">
        <w:t> </w:t>
      </w:r>
      <w:r w:rsidR="00165402">
        <w:t>938 человек, т.е. </w:t>
      </w:r>
      <w:r w:rsidRPr="003B5145">
        <w:t>на 7,8% меньше, чем в 2012 году (когда свою жизнь потеряли 28</w:t>
      </w:r>
      <w:r w:rsidR="004A542C">
        <w:t> </w:t>
      </w:r>
      <w:r w:rsidRPr="003B5145">
        <w:t>143 человек). По</w:t>
      </w:r>
      <w:r w:rsidR="009F45FC">
        <w:t> </w:t>
      </w:r>
      <w:r w:rsidRPr="003B5145">
        <w:t>сравнению с 2001 годом количество дорожно-транспортных происшествий со смертельным исходом снизилось более чем в два раза (–52,8%). Железнодоро</w:t>
      </w:r>
      <w:r w:rsidRPr="003B5145">
        <w:t>ж</w:t>
      </w:r>
      <w:r w:rsidRPr="003B5145">
        <w:t>ный транспорт: в 2013 году погибло 97 пассажиров; этот показатель не включает в себя жертвы среди работников железных дорог или лиц, пострадавших от нае</w:t>
      </w:r>
      <w:r w:rsidRPr="003B5145">
        <w:t>з</w:t>
      </w:r>
      <w:r w:rsidRPr="003B5145">
        <w:t>да поездов. Воздушный транспорт: в 2013 году погибло 120 человек.</w:t>
      </w:r>
    </w:p>
    <w:p w:rsidR="009F45FC" w:rsidRPr="009F45FC" w:rsidRDefault="009F45FC" w:rsidP="009F45FC">
      <w:pPr>
        <w:pStyle w:val="SingleTxt"/>
        <w:spacing w:after="0" w:line="120" w:lineRule="exact"/>
        <w:rPr>
          <w:b/>
          <w:sz w:val="10"/>
        </w:rPr>
      </w:pPr>
    </w:p>
    <w:p w:rsidR="009F45FC" w:rsidRPr="009F45FC" w:rsidRDefault="009F45FC" w:rsidP="009F45FC">
      <w:pPr>
        <w:pStyle w:val="SingleTxt"/>
        <w:spacing w:after="0" w:line="120" w:lineRule="exact"/>
        <w:rPr>
          <w:b/>
          <w:sz w:val="10"/>
        </w:rPr>
      </w:pPr>
    </w:p>
    <w:p w:rsidR="003B5145" w:rsidRPr="003B5145" w:rsidRDefault="003B5145" w:rsidP="009F45F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5145">
        <w:tab/>
      </w:r>
      <w:r w:rsidRPr="003B5145">
        <w:rPr>
          <w:lang w:val="en-GB"/>
        </w:rPr>
        <w:t>XI</w:t>
      </w:r>
      <w:r w:rsidRPr="003B5145">
        <w:t>.</w:t>
      </w:r>
      <w:r w:rsidRPr="003B5145">
        <w:tab/>
        <w:t xml:space="preserve">Сотрудничество между ЕЭК ООН и Европейским союзом </w:t>
      </w:r>
    </w:p>
    <w:p w:rsidR="009F45FC" w:rsidRPr="009F45FC" w:rsidRDefault="009F45FC" w:rsidP="009F45FC">
      <w:pPr>
        <w:pStyle w:val="SingleTxt"/>
        <w:spacing w:after="0" w:line="120" w:lineRule="exact"/>
        <w:rPr>
          <w:sz w:val="10"/>
        </w:rPr>
      </w:pPr>
    </w:p>
    <w:p w:rsidR="009F45FC" w:rsidRPr="009F45FC" w:rsidRDefault="009F45FC" w:rsidP="009F45FC">
      <w:pPr>
        <w:pStyle w:val="SingleTxt"/>
        <w:spacing w:after="0" w:line="120" w:lineRule="exact"/>
        <w:rPr>
          <w:sz w:val="10"/>
        </w:rPr>
      </w:pPr>
    </w:p>
    <w:p w:rsidR="000325D5" w:rsidRDefault="003B5145" w:rsidP="003B5145">
      <w:pPr>
        <w:pStyle w:val="SingleTxt"/>
        <w:spacing w:line="240" w:lineRule="atLeast"/>
      </w:pPr>
      <w:r w:rsidRPr="003B5145">
        <w:t>108.</w:t>
      </w:r>
      <w:r w:rsidRPr="003B5145">
        <w:tab/>
        <w:t>ЕС и его государства-члены принимали активное участие во всех межпр</w:t>
      </w:r>
      <w:r w:rsidRPr="003B5145">
        <w:t>а</w:t>
      </w:r>
      <w:r w:rsidRPr="003B5145">
        <w:t>вительственных форумах Организации Объединенных Наций по вопросам транспорта, которые обслуживались секретариатом ЕЭК ООН, т.е. в работе К</w:t>
      </w:r>
      <w:r w:rsidRPr="003B5145">
        <w:t>о</w:t>
      </w:r>
      <w:r w:rsidRPr="003B5145">
        <w:t>митета экспертов по перевозке опасных грузов Экономического и Социального Совета (ЭКОСОС) и Согласованной на глобальном уровне системе классифик</w:t>
      </w:r>
      <w:r w:rsidRPr="003B5145">
        <w:t>а</w:t>
      </w:r>
      <w:r w:rsidRPr="003B5145">
        <w:t>ции и маркировки химических веществ, а также в работе Комитета по внутре</w:t>
      </w:r>
      <w:r w:rsidRPr="003B5145">
        <w:t>н</w:t>
      </w:r>
      <w:r w:rsidRPr="003B5145">
        <w:t>нему транспорту и его вспомогательных органов.</w:t>
      </w:r>
    </w:p>
    <w:p w:rsidR="003B5145" w:rsidRPr="003B5145" w:rsidRDefault="003B5145" w:rsidP="003B5145">
      <w:pPr>
        <w:pStyle w:val="SingleTxt"/>
        <w:spacing w:after="0" w:line="240" w:lineRule="auto"/>
      </w:pPr>
      <w:r>
        <w:rPr>
          <w:noProof/>
          <w:w w:val="100"/>
          <w:lang w:val="en-US" w:eastAsia="en-US"/>
        </w:rPr>
        <mc:AlternateContent>
          <mc:Choice Requires="wps">
            <w:drawing>
              <wp:anchor distT="0" distB="0" distL="114300" distR="114300" simplePos="0" relativeHeight="251680768"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KhN&#10;9EbZAQAADAQAAA4AAAAAAAAAAAAAAAAALgIAAGRycy9lMm9Eb2MueG1sUEsBAi0AFAAGAAgAAAAh&#10;ALEnoefeAAAACQEAAA8AAAAAAAAAAAAAAAAAMwQAAGRycy9kb3ducmV2LnhtbFBLBQYAAAAABAAE&#10;APMAAAA+BQAAAAA=&#10;" strokecolor="#010000" strokeweight=".25pt"/>
            </w:pict>
          </mc:Fallback>
        </mc:AlternateContent>
      </w:r>
    </w:p>
    <w:sectPr w:rsidR="003B5145" w:rsidRPr="003B5145" w:rsidSect="000325D5">
      <w:type w:val="continuous"/>
      <w:pgSz w:w="11909" w:h="16834"/>
      <w:pgMar w:top="1742" w:right="936" w:bottom="1898" w:left="936" w:header="576" w:footer="1030" w:gutter="0"/>
      <w:pgNumType w:start="1"/>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1-15T09:30:00Z" w:initials="Start">
    <w:p w:rsidR="00DB6825" w:rsidRPr="006F30C1" w:rsidRDefault="00DB6825">
      <w:pPr>
        <w:pStyle w:val="CommentText"/>
        <w:rPr>
          <w:lang w:val="en-US"/>
        </w:rPr>
      </w:pPr>
      <w:r>
        <w:fldChar w:fldCharType="begin"/>
      </w:r>
      <w:r w:rsidRPr="006F30C1">
        <w:rPr>
          <w:rStyle w:val="CommentReference"/>
          <w:lang w:val="en-US"/>
        </w:rPr>
        <w:instrText xml:space="preserve"> </w:instrText>
      </w:r>
      <w:r w:rsidRPr="006F30C1">
        <w:rPr>
          <w:lang w:val="en-US"/>
        </w:rPr>
        <w:instrText>PAGE \# "'Page: '#'</w:instrText>
      </w:r>
      <w:r w:rsidRPr="006F30C1">
        <w:rPr>
          <w:lang w:val="en-US"/>
        </w:rPr>
        <w:br/>
        <w:instrText>'"</w:instrText>
      </w:r>
      <w:r w:rsidRPr="006F30C1">
        <w:rPr>
          <w:rStyle w:val="CommentReference"/>
          <w:lang w:val="en-US"/>
        </w:rPr>
        <w:instrText xml:space="preserve"> </w:instrText>
      </w:r>
      <w:r>
        <w:fldChar w:fldCharType="end"/>
      </w:r>
      <w:r>
        <w:rPr>
          <w:rStyle w:val="CommentReference"/>
        </w:rPr>
        <w:annotationRef/>
      </w:r>
      <w:r w:rsidRPr="006F30C1">
        <w:rPr>
          <w:lang w:val="en-US"/>
        </w:rPr>
        <w:t>&lt;&lt;ODS JOB NO&gt;&gt;N1528763R&lt;&lt;ODS JOB NO&gt;&gt;</w:t>
      </w:r>
    </w:p>
    <w:p w:rsidR="00DB6825" w:rsidRDefault="00DB6825">
      <w:pPr>
        <w:pStyle w:val="CommentText"/>
      </w:pPr>
      <w:r>
        <w:t>&lt;&lt;ODS DOC SYMBOL1&gt;&gt;ECE/TRANS/2016/33&lt;&lt;ODS DOC SYMBOL1&gt;&gt;</w:t>
      </w:r>
    </w:p>
    <w:p w:rsidR="00DB6825" w:rsidRDefault="00DB682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825" w:rsidRDefault="00DB6825" w:rsidP="008A1A7A">
      <w:pPr>
        <w:spacing w:line="240" w:lineRule="auto"/>
      </w:pPr>
      <w:r>
        <w:separator/>
      </w:r>
    </w:p>
  </w:endnote>
  <w:endnote w:type="continuationSeparator" w:id="0">
    <w:p w:rsidR="00DB6825" w:rsidRDefault="00DB6825"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DB6825" w:rsidTr="000325D5">
      <w:trPr>
        <w:jc w:val="center"/>
      </w:trPr>
      <w:tc>
        <w:tcPr>
          <w:tcW w:w="5126" w:type="dxa"/>
          <w:shd w:val="clear" w:color="auto" w:fill="auto"/>
          <w:vAlign w:val="bottom"/>
        </w:tcPr>
        <w:p w:rsidR="00DB6825" w:rsidRPr="000325D5" w:rsidRDefault="00DB6825" w:rsidP="000325D5">
          <w:pPr>
            <w:pStyle w:val="Footer"/>
            <w:rPr>
              <w:color w:val="000000"/>
            </w:rPr>
          </w:pPr>
          <w:r>
            <w:fldChar w:fldCharType="begin"/>
          </w:r>
          <w:r>
            <w:instrText xml:space="preserve"> PAGE  \* Arabic  \* MERGEFORMAT </w:instrText>
          </w:r>
          <w:r>
            <w:fldChar w:fldCharType="separate"/>
          </w:r>
          <w:r w:rsidR="009010CD">
            <w:rPr>
              <w:noProof/>
            </w:rPr>
            <w:t>22</w:t>
          </w:r>
          <w:r>
            <w:fldChar w:fldCharType="end"/>
          </w:r>
          <w:r>
            <w:t>/</w:t>
          </w:r>
          <w:fldSimple w:instr=" NUMPAGES  \* Arabic  \* MERGEFORMAT ">
            <w:r w:rsidR="009010CD">
              <w:rPr>
                <w:noProof/>
              </w:rPr>
              <w:t>22</w:t>
            </w:r>
          </w:fldSimple>
        </w:p>
      </w:tc>
      <w:tc>
        <w:tcPr>
          <w:tcW w:w="5127" w:type="dxa"/>
          <w:shd w:val="clear" w:color="auto" w:fill="auto"/>
          <w:vAlign w:val="bottom"/>
        </w:tcPr>
        <w:p w:rsidR="00DB6825" w:rsidRPr="000325D5" w:rsidRDefault="00DB6825" w:rsidP="000325D5">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D1369">
            <w:rPr>
              <w:b w:val="0"/>
              <w:color w:val="000000"/>
              <w:sz w:val="14"/>
            </w:rPr>
            <w:t>GE.15-22147</w:t>
          </w:r>
          <w:r>
            <w:rPr>
              <w:b w:val="0"/>
              <w:color w:val="000000"/>
              <w:sz w:val="14"/>
            </w:rPr>
            <w:fldChar w:fldCharType="end"/>
          </w:r>
        </w:p>
      </w:tc>
    </w:tr>
  </w:tbl>
  <w:p w:rsidR="00DB6825" w:rsidRPr="000325D5" w:rsidRDefault="00DB6825" w:rsidP="000325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DB6825" w:rsidTr="000325D5">
      <w:trPr>
        <w:jc w:val="center"/>
      </w:trPr>
      <w:tc>
        <w:tcPr>
          <w:tcW w:w="5126" w:type="dxa"/>
          <w:shd w:val="clear" w:color="auto" w:fill="auto"/>
          <w:vAlign w:val="bottom"/>
        </w:tcPr>
        <w:p w:rsidR="00DB6825" w:rsidRPr="000325D5" w:rsidRDefault="00DB6825" w:rsidP="000325D5">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D1369">
            <w:rPr>
              <w:b w:val="0"/>
              <w:color w:val="000000"/>
              <w:sz w:val="14"/>
            </w:rPr>
            <w:t>GE.15-22147</w:t>
          </w:r>
          <w:r>
            <w:rPr>
              <w:b w:val="0"/>
              <w:color w:val="000000"/>
              <w:sz w:val="14"/>
            </w:rPr>
            <w:fldChar w:fldCharType="end"/>
          </w:r>
        </w:p>
      </w:tc>
      <w:tc>
        <w:tcPr>
          <w:tcW w:w="5127" w:type="dxa"/>
          <w:shd w:val="clear" w:color="auto" w:fill="auto"/>
          <w:vAlign w:val="bottom"/>
        </w:tcPr>
        <w:p w:rsidR="00DB6825" w:rsidRPr="000325D5" w:rsidRDefault="00DB6825" w:rsidP="000325D5">
          <w:pPr>
            <w:pStyle w:val="Footer"/>
            <w:jc w:val="right"/>
          </w:pPr>
          <w:r>
            <w:fldChar w:fldCharType="begin"/>
          </w:r>
          <w:r>
            <w:instrText xml:space="preserve"> PAGE  \* Arabic  \* MERGEFORMAT </w:instrText>
          </w:r>
          <w:r>
            <w:fldChar w:fldCharType="separate"/>
          </w:r>
          <w:r w:rsidR="009010CD">
            <w:rPr>
              <w:noProof/>
            </w:rPr>
            <w:t>21</w:t>
          </w:r>
          <w:r>
            <w:fldChar w:fldCharType="end"/>
          </w:r>
          <w:r>
            <w:t>/</w:t>
          </w:r>
          <w:fldSimple w:instr=" NUMPAGES  \* Arabic  \* MERGEFORMAT ">
            <w:r w:rsidR="009010CD">
              <w:rPr>
                <w:noProof/>
              </w:rPr>
              <w:t>21</w:t>
            </w:r>
          </w:fldSimple>
        </w:p>
      </w:tc>
    </w:tr>
  </w:tbl>
  <w:p w:rsidR="00DB6825" w:rsidRPr="000325D5" w:rsidRDefault="00DB6825" w:rsidP="000325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DB6825" w:rsidTr="000325D5">
      <w:tc>
        <w:tcPr>
          <w:tcW w:w="3873" w:type="dxa"/>
        </w:tcPr>
        <w:p w:rsidR="00DB6825" w:rsidRDefault="00DB6825" w:rsidP="006F30C1">
          <w:pPr>
            <w:pStyle w:val="ReleaseDate"/>
            <w:rPr>
              <w:color w:val="010000"/>
            </w:rPr>
          </w:pPr>
          <w:r>
            <w:rPr>
              <w:noProof/>
              <w:lang w:val="en-US" w:eastAsia="en-US"/>
            </w:rPr>
            <w:drawing>
              <wp:anchor distT="0" distB="0" distL="114300" distR="114300" simplePos="0" relativeHeight="251658240" behindDoc="0" locked="0" layoutInCell="1" allowOverlap="1" wp14:anchorId="39985147" wp14:editId="2372DCB3">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ECE/TRANS/2016/33&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2016/33&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GE.15-22147 (R)</w:t>
          </w:r>
          <w:r>
            <w:rPr>
              <w:color w:val="010000"/>
            </w:rPr>
            <w:t xml:space="preserve">    1</w:t>
          </w:r>
          <w:r>
            <w:rPr>
              <w:color w:val="010000"/>
              <w:lang w:val="en-US"/>
            </w:rPr>
            <w:t>4</w:t>
          </w:r>
          <w:r>
            <w:rPr>
              <w:color w:val="010000"/>
            </w:rPr>
            <w:t>0116    150116</w:t>
          </w:r>
        </w:p>
        <w:p w:rsidR="00DB6825" w:rsidRPr="000325D5" w:rsidRDefault="00DB6825" w:rsidP="000325D5">
          <w:pPr>
            <w:spacing w:before="80" w:line="210" w:lineRule="exact"/>
            <w:rPr>
              <w:rFonts w:ascii="Barcode 3 of 9 by request" w:hAnsi="Barcode 3 of 9 by request"/>
              <w:w w:val="100"/>
              <w:sz w:val="24"/>
            </w:rPr>
          </w:pPr>
          <w:r>
            <w:rPr>
              <w:rFonts w:ascii="Barcode 3 of 9 by request" w:hAnsi="Barcode 3 of 9 by request" w:hint="eastAsia"/>
              <w:w w:val="100"/>
              <w:sz w:val="24"/>
            </w:rPr>
            <w:t>*1522147*</w:t>
          </w:r>
        </w:p>
      </w:tc>
      <w:tc>
        <w:tcPr>
          <w:tcW w:w="5127" w:type="dxa"/>
        </w:tcPr>
        <w:p w:rsidR="00DB6825" w:rsidRDefault="00DB6825" w:rsidP="000325D5">
          <w:pPr>
            <w:pStyle w:val="Footer"/>
            <w:spacing w:line="240" w:lineRule="atLeast"/>
            <w:jc w:val="right"/>
            <w:rPr>
              <w:b w:val="0"/>
              <w:sz w:val="20"/>
            </w:rPr>
          </w:pPr>
          <w:r>
            <w:rPr>
              <w:b w:val="0"/>
              <w:noProof/>
              <w:sz w:val="20"/>
              <w:lang w:val="en-US" w:eastAsia="en-US"/>
            </w:rPr>
            <w:drawing>
              <wp:inline distT="0" distB="0" distL="0" distR="0" wp14:anchorId="74393824" wp14:editId="522BADD8">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DB6825" w:rsidRPr="000325D5" w:rsidRDefault="00DB6825" w:rsidP="000325D5">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825" w:rsidRPr="003B5145" w:rsidRDefault="00DB6825" w:rsidP="003B5145">
      <w:pPr>
        <w:pStyle w:val="Footer"/>
        <w:spacing w:after="80"/>
        <w:ind w:left="792"/>
        <w:rPr>
          <w:sz w:val="16"/>
        </w:rPr>
      </w:pPr>
      <w:r w:rsidRPr="003B5145">
        <w:rPr>
          <w:sz w:val="16"/>
        </w:rPr>
        <w:t>__________________</w:t>
      </w:r>
    </w:p>
  </w:footnote>
  <w:footnote w:type="continuationSeparator" w:id="0">
    <w:p w:rsidR="00DB6825" w:rsidRPr="003B5145" w:rsidRDefault="00DB6825" w:rsidP="003B5145">
      <w:pPr>
        <w:pStyle w:val="Footer"/>
        <w:spacing w:after="80"/>
        <w:ind w:left="792"/>
        <w:rPr>
          <w:sz w:val="16"/>
        </w:rPr>
      </w:pPr>
      <w:r w:rsidRPr="003B5145">
        <w:rPr>
          <w:sz w:val="16"/>
        </w:rPr>
        <w:t>__________________</w:t>
      </w:r>
    </w:p>
  </w:footnote>
  <w:footnote w:id="1">
    <w:p w:rsidR="00DB6825" w:rsidRPr="003B5145" w:rsidRDefault="00DB6825" w:rsidP="003B5145">
      <w:pPr>
        <w:pStyle w:val="FootnoteText"/>
        <w:tabs>
          <w:tab w:val="right" w:pos="1195"/>
          <w:tab w:val="left" w:pos="1267"/>
          <w:tab w:val="left" w:pos="1742"/>
          <w:tab w:val="left" w:pos="2218"/>
          <w:tab w:val="left" w:pos="2693"/>
        </w:tabs>
        <w:ind w:left="1267" w:right="1260" w:hanging="432"/>
      </w:pPr>
      <w:r>
        <w:rPr>
          <w:lang w:val="en-US"/>
        </w:rPr>
        <w:tab/>
      </w:r>
      <w:r w:rsidRPr="003B5145">
        <w:rPr>
          <w:rStyle w:val="FootnoteReference"/>
          <w:vertAlign w:val="baseline"/>
        </w:rPr>
        <w:t>*</w:t>
      </w:r>
      <w:r w:rsidRPr="003B5145">
        <w:t xml:space="preserve"> </w:t>
      </w:r>
      <w:r w:rsidRPr="003B5145">
        <w:tab/>
      </w:r>
      <w:r>
        <w:t>Настоящий документ был представлен с опозданием ввиду несвоевременного получения материалов из других источников.</w:t>
      </w:r>
    </w:p>
  </w:footnote>
  <w:footnote w:id="2">
    <w:p w:rsidR="00DB6825" w:rsidRDefault="00DB6825" w:rsidP="003B5145">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В отношении прим</w:t>
      </w:r>
      <w:r w:rsidR="00951E2D">
        <w:t>енения статей 9, 11, 12, 19, 20</w:t>
      </w:r>
      <w:r>
        <w:t xml:space="preserve">(1) и 26 исключения не допускаются.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DB6825" w:rsidTr="000325D5">
      <w:trPr>
        <w:trHeight w:hRule="exact" w:val="864"/>
        <w:jc w:val="center"/>
      </w:trPr>
      <w:tc>
        <w:tcPr>
          <w:tcW w:w="4882" w:type="dxa"/>
          <w:shd w:val="clear" w:color="auto" w:fill="auto"/>
          <w:vAlign w:val="bottom"/>
        </w:tcPr>
        <w:p w:rsidR="00DB6825" w:rsidRPr="000325D5" w:rsidRDefault="00DB6825" w:rsidP="000325D5">
          <w:pPr>
            <w:pStyle w:val="Header"/>
            <w:spacing w:after="80"/>
            <w:rPr>
              <w:b/>
            </w:rPr>
          </w:pPr>
          <w:r>
            <w:rPr>
              <w:b/>
            </w:rPr>
            <w:fldChar w:fldCharType="begin"/>
          </w:r>
          <w:r>
            <w:rPr>
              <w:b/>
            </w:rPr>
            <w:instrText xml:space="preserve"> DOCVARIABLE "sss1" \* MERGEFORMAT </w:instrText>
          </w:r>
          <w:r>
            <w:rPr>
              <w:b/>
            </w:rPr>
            <w:fldChar w:fldCharType="separate"/>
          </w:r>
          <w:r w:rsidR="004D1369">
            <w:rPr>
              <w:b/>
            </w:rPr>
            <w:t>ECE/TRANS/2016/33</w:t>
          </w:r>
          <w:r>
            <w:rPr>
              <w:b/>
            </w:rPr>
            <w:fldChar w:fldCharType="end"/>
          </w:r>
        </w:p>
      </w:tc>
      <w:tc>
        <w:tcPr>
          <w:tcW w:w="5127" w:type="dxa"/>
          <w:shd w:val="clear" w:color="auto" w:fill="auto"/>
          <w:vAlign w:val="bottom"/>
        </w:tcPr>
        <w:p w:rsidR="00DB6825" w:rsidRDefault="00DB6825" w:rsidP="000325D5">
          <w:pPr>
            <w:pStyle w:val="Header"/>
          </w:pPr>
        </w:p>
      </w:tc>
    </w:tr>
  </w:tbl>
  <w:p w:rsidR="00DB6825" w:rsidRPr="000325D5" w:rsidRDefault="00DB6825" w:rsidP="000325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DB6825" w:rsidTr="000325D5">
      <w:trPr>
        <w:trHeight w:hRule="exact" w:val="864"/>
        <w:jc w:val="center"/>
      </w:trPr>
      <w:tc>
        <w:tcPr>
          <w:tcW w:w="4882" w:type="dxa"/>
          <w:shd w:val="clear" w:color="auto" w:fill="auto"/>
          <w:vAlign w:val="bottom"/>
        </w:tcPr>
        <w:p w:rsidR="00DB6825" w:rsidRDefault="00DB6825" w:rsidP="000325D5">
          <w:pPr>
            <w:pStyle w:val="Header"/>
          </w:pPr>
        </w:p>
      </w:tc>
      <w:tc>
        <w:tcPr>
          <w:tcW w:w="5127" w:type="dxa"/>
          <w:shd w:val="clear" w:color="auto" w:fill="auto"/>
          <w:vAlign w:val="bottom"/>
        </w:tcPr>
        <w:p w:rsidR="00DB6825" w:rsidRPr="000325D5" w:rsidRDefault="00DB6825" w:rsidP="000325D5">
          <w:pPr>
            <w:pStyle w:val="Header"/>
            <w:spacing w:after="80"/>
            <w:jc w:val="right"/>
            <w:rPr>
              <w:b/>
            </w:rPr>
          </w:pPr>
          <w:r>
            <w:rPr>
              <w:b/>
            </w:rPr>
            <w:fldChar w:fldCharType="begin"/>
          </w:r>
          <w:r>
            <w:rPr>
              <w:b/>
            </w:rPr>
            <w:instrText xml:space="preserve"> DOCVARIABLE "sss1" \* MERGEFORMAT </w:instrText>
          </w:r>
          <w:r>
            <w:rPr>
              <w:b/>
            </w:rPr>
            <w:fldChar w:fldCharType="separate"/>
          </w:r>
          <w:r w:rsidR="004D1369">
            <w:rPr>
              <w:b/>
            </w:rPr>
            <w:t>ECE/TRANS/2016/33</w:t>
          </w:r>
          <w:r>
            <w:rPr>
              <w:b/>
            </w:rPr>
            <w:fldChar w:fldCharType="end"/>
          </w:r>
        </w:p>
      </w:tc>
    </w:tr>
  </w:tbl>
  <w:p w:rsidR="00DB6825" w:rsidRPr="000325D5" w:rsidRDefault="00DB6825" w:rsidP="000325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DB6825" w:rsidTr="000325D5">
      <w:trPr>
        <w:trHeight w:hRule="exact" w:val="864"/>
      </w:trPr>
      <w:tc>
        <w:tcPr>
          <w:tcW w:w="4421" w:type="dxa"/>
          <w:gridSpan w:val="2"/>
          <w:tcBorders>
            <w:bottom w:val="single" w:sz="4" w:space="0" w:color="auto"/>
          </w:tcBorders>
          <w:shd w:val="clear" w:color="auto" w:fill="auto"/>
          <w:vAlign w:val="bottom"/>
        </w:tcPr>
        <w:p w:rsidR="00DB6825" w:rsidRPr="000325D5" w:rsidRDefault="00DB6825" w:rsidP="000325D5">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DB6825" w:rsidRDefault="00DB6825" w:rsidP="000325D5">
          <w:pPr>
            <w:pStyle w:val="Header"/>
            <w:spacing w:after="120"/>
          </w:pPr>
        </w:p>
      </w:tc>
      <w:tc>
        <w:tcPr>
          <w:tcW w:w="5357" w:type="dxa"/>
          <w:gridSpan w:val="3"/>
          <w:tcBorders>
            <w:bottom w:val="single" w:sz="4" w:space="0" w:color="auto"/>
          </w:tcBorders>
          <w:shd w:val="clear" w:color="auto" w:fill="auto"/>
          <w:vAlign w:val="bottom"/>
        </w:tcPr>
        <w:p w:rsidR="00DB6825" w:rsidRPr="000325D5" w:rsidRDefault="00DB6825" w:rsidP="000325D5">
          <w:pPr>
            <w:pStyle w:val="Header"/>
            <w:spacing w:after="20"/>
            <w:jc w:val="right"/>
            <w:rPr>
              <w:sz w:val="20"/>
            </w:rPr>
          </w:pPr>
          <w:r>
            <w:rPr>
              <w:sz w:val="40"/>
            </w:rPr>
            <w:t>ECE</w:t>
          </w:r>
          <w:r>
            <w:rPr>
              <w:sz w:val="20"/>
            </w:rPr>
            <w:t>/TRANS/2016/33</w:t>
          </w:r>
        </w:p>
      </w:tc>
    </w:tr>
    <w:tr w:rsidR="00DB6825" w:rsidRPr="003A0B5E" w:rsidTr="000325D5">
      <w:trPr>
        <w:trHeight w:hRule="exact" w:val="2880"/>
      </w:trPr>
      <w:tc>
        <w:tcPr>
          <w:tcW w:w="1267" w:type="dxa"/>
          <w:tcBorders>
            <w:top w:val="single" w:sz="4" w:space="0" w:color="auto"/>
            <w:bottom w:val="single" w:sz="12" w:space="0" w:color="auto"/>
          </w:tcBorders>
          <w:shd w:val="clear" w:color="auto" w:fill="auto"/>
        </w:tcPr>
        <w:p w:rsidR="00DB6825" w:rsidRPr="000325D5" w:rsidRDefault="00DB6825" w:rsidP="000325D5">
          <w:pPr>
            <w:pStyle w:val="Header"/>
            <w:spacing w:before="120"/>
            <w:jc w:val="center"/>
          </w:pPr>
          <w:r>
            <w:t xml:space="preserve"> </w:t>
          </w:r>
          <w:r>
            <w:rPr>
              <w:noProof/>
              <w:lang w:val="en-US" w:eastAsia="en-US"/>
            </w:rPr>
            <w:drawing>
              <wp:inline distT="0" distB="0" distL="0" distR="0" wp14:anchorId="44791DFD" wp14:editId="7580576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DB6825" w:rsidRPr="000325D5" w:rsidRDefault="00DB6825" w:rsidP="000325D5">
          <w:pPr>
            <w:pStyle w:val="XLarge"/>
            <w:spacing w:before="109"/>
          </w:pPr>
          <w:r>
            <w:t>Экономический</w:t>
          </w:r>
          <w:r>
            <w:br/>
            <w:t>и Социальный Совет</w:t>
          </w:r>
        </w:p>
      </w:tc>
      <w:tc>
        <w:tcPr>
          <w:tcW w:w="245" w:type="dxa"/>
          <w:tcBorders>
            <w:top w:val="single" w:sz="4" w:space="0" w:color="auto"/>
            <w:bottom w:val="single" w:sz="12" w:space="0" w:color="auto"/>
          </w:tcBorders>
          <w:shd w:val="clear" w:color="auto" w:fill="auto"/>
        </w:tcPr>
        <w:p w:rsidR="00DB6825" w:rsidRPr="000325D5" w:rsidRDefault="00DB6825" w:rsidP="000325D5">
          <w:pPr>
            <w:pStyle w:val="Header"/>
            <w:spacing w:before="109"/>
          </w:pPr>
        </w:p>
      </w:tc>
      <w:tc>
        <w:tcPr>
          <w:tcW w:w="3280" w:type="dxa"/>
          <w:tcBorders>
            <w:top w:val="single" w:sz="4" w:space="0" w:color="auto"/>
            <w:bottom w:val="single" w:sz="12" w:space="0" w:color="auto"/>
          </w:tcBorders>
          <w:shd w:val="clear" w:color="auto" w:fill="auto"/>
        </w:tcPr>
        <w:p w:rsidR="00DB6825" w:rsidRPr="006F30C1" w:rsidRDefault="00DB6825" w:rsidP="000325D5">
          <w:pPr>
            <w:pStyle w:val="Distribution"/>
            <w:rPr>
              <w:color w:val="000000"/>
              <w:lang w:val="en-US"/>
            </w:rPr>
          </w:pPr>
          <w:r w:rsidRPr="006F30C1">
            <w:rPr>
              <w:color w:val="000000"/>
              <w:lang w:val="en-US"/>
            </w:rPr>
            <w:t>Distr.: General</w:t>
          </w:r>
        </w:p>
        <w:p w:rsidR="00DB6825" w:rsidRPr="006F30C1" w:rsidRDefault="00DB6825" w:rsidP="006F30C1">
          <w:pPr>
            <w:pStyle w:val="Publication"/>
            <w:rPr>
              <w:color w:val="000000"/>
              <w:lang w:val="en-US"/>
            </w:rPr>
          </w:pPr>
          <w:r w:rsidRPr="006F30C1">
            <w:rPr>
              <w:color w:val="000000"/>
              <w:lang w:val="en-US"/>
            </w:rPr>
            <w:t>17 December 2015</w:t>
          </w:r>
        </w:p>
        <w:p w:rsidR="00DB6825" w:rsidRPr="006F30C1" w:rsidRDefault="00DB6825" w:rsidP="000325D5">
          <w:pPr>
            <w:rPr>
              <w:color w:val="000000"/>
              <w:lang w:val="en-US"/>
            </w:rPr>
          </w:pPr>
          <w:r w:rsidRPr="006F30C1">
            <w:rPr>
              <w:color w:val="000000"/>
              <w:lang w:val="en-US"/>
            </w:rPr>
            <w:t>Russian</w:t>
          </w:r>
        </w:p>
        <w:p w:rsidR="00DB6825" w:rsidRPr="006F30C1" w:rsidRDefault="00DB6825" w:rsidP="000325D5">
          <w:pPr>
            <w:pStyle w:val="Original"/>
            <w:rPr>
              <w:color w:val="000000"/>
              <w:lang w:val="en-US"/>
            </w:rPr>
          </w:pPr>
          <w:r w:rsidRPr="006F30C1">
            <w:rPr>
              <w:color w:val="000000"/>
              <w:lang w:val="en-US"/>
            </w:rPr>
            <w:t>Original: English</w:t>
          </w:r>
        </w:p>
        <w:p w:rsidR="00DB6825" w:rsidRPr="006F30C1" w:rsidRDefault="00DB6825" w:rsidP="000325D5">
          <w:pPr>
            <w:rPr>
              <w:lang w:val="en-US"/>
            </w:rPr>
          </w:pPr>
        </w:p>
      </w:tc>
    </w:tr>
  </w:tbl>
  <w:p w:rsidR="00DB6825" w:rsidRPr="006F30C1" w:rsidRDefault="00DB6825" w:rsidP="000325D5">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0"/>
  </w:num>
  <w:num w:numId="8">
    <w:abstractNumId w:val="5"/>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revisionView w:markup="0"/>
  <w:defaultTabStop w:val="475"/>
  <w:autoHyphenation/>
  <w:hyphenationZone w:val="220"/>
  <w:doNotHyphenateCaps/>
  <w:evenAndOddHeaders/>
  <w:drawingGridHorizontalSpacing w:val="209"/>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22147*"/>
    <w:docVar w:name="CreationDt" w:val="1/15/2016 9:30: AM"/>
    <w:docVar w:name="DocCategory" w:val="Doc"/>
    <w:docVar w:name="DocType" w:val="Final"/>
    <w:docVar w:name="DutyStation" w:val="Geneva"/>
    <w:docVar w:name="FooterJN" w:val="GE.15-22147"/>
    <w:docVar w:name="jobn" w:val="GE.15-22147 (R)"/>
    <w:docVar w:name="jobnDT" w:val="GE.15-22147 (R)   150116"/>
    <w:docVar w:name="jobnDTDT" w:val="GE.15-22147 (R)   150116   150116"/>
    <w:docVar w:name="JobNo" w:val="GE.1522147R"/>
    <w:docVar w:name="JobNo2" w:val="1528763R"/>
    <w:docVar w:name="LocalDrive" w:val="0"/>
    <w:docVar w:name="OandT" w:val=" "/>
    <w:docVar w:name="PaperSize" w:val="A4"/>
    <w:docVar w:name="sss1" w:val="ECE/TRANS/2016/33"/>
    <w:docVar w:name="sss2" w:val="-"/>
    <w:docVar w:name="Symbol1" w:val="ECE/TRANS/2016/33"/>
    <w:docVar w:name="Symbol2" w:val="-"/>
  </w:docVars>
  <w:rsids>
    <w:rsidRoot w:val="00AB3E27"/>
    <w:rsid w:val="00004615"/>
    <w:rsid w:val="00004756"/>
    <w:rsid w:val="00010735"/>
    <w:rsid w:val="00013E03"/>
    <w:rsid w:val="00015201"/>
    <w:rsid w:val="0001588C"/>
    <w:rsid w:val="000162FB"/>
    <w:rsid w:val="00024A67"/>
    <w:rsid w:val="00025CF3"/>
    <w:rsid w:val="0002669B"/>
    <w:rsid w:val="000325D5"/>
    <w:rsid w:val="00033C1F"/>
    <w:rsid w:val="00041A49"/>
    <w:rsid w:val="000513EF"/>
    <w:rsid w:val="0005420D"/>
    <w:rsid w:val="00055EA2"/>
    <w:rsid w:val="00067A5A"/>
    <w:rsid w:val="00067A90"/>
    <w:rsid w:val="00070C37"/>
    <w:rsid w:val="000738BD"/>
    <w:rsid w:val="00076F88"/>
    <w:rsid w:val="0007796A"/>
    <w:rsid w:val="0008067C"/>
    <w:rsid w:val="00091DC8"/>
    <w:rsid w:val="00092464"/>
    <w:rsid w:val="000A111E"/>
    <w:rsid w:val="000A1DF3"/>
    <w:rsid w:val="000A4A11"/>
    <w:rsid w:val="000B02B7"/>
    <w:rsid w:val="000C069D"/>
    <w:rsid w:val="000C67BC"/>
    <w:rsid w:val="000D300C"/>
    <w:rsid w:val="000D64CF"/>
    <w:rsid w:val="000E0F08"/>
    <w:rsid w:val="000E30BA"/>
    <w:rsid w:val="000E35C6"/>
    <w:rsid w:val="000E3712"/>
    <w:rsid w:val="000E4411"/>
    <w:rsid w:val="000F1ACD"/>
    <w:rsid w:val="000F5D07"/>
    <w:rsid w:val="00102A7F"/>
    <w:rsid w:val="00105B0E"/>
    <w:rsid w:val="00113678"/>
    <w:rsid w:val="001235FD"/>
    <w:rsid w:val="0013404B"/>
    <w:rsid w:val="0014308F"/>
    <w:rsid w:val="001444A3"/>
    <w:rsid w:val="00145BAE"/>
    <w:rsid w:val="00153645"/>
    <w:rsid w:val="00153E04"/>
    <w:rsid w:val="00153E8C"/>
    <w:rsid w:val="001565FD"/>
    <w:rsid w:val="00160648"/>
    <w:rsid w:val="00161F29"/>
    <w:rsid w:val="00162200"/>
    <w:rsid w:val="00162E88"/>
    <w:rsid w:val="00165402"/>
    <w:rsid w:val="00167FE9"/>
    <w:rsid w:val="00171F41"/>
    <w:rsid w:val="001726A4"/>
    <w:rsid w:val="001744B4"/>
    <w:rsid w:val="00175AC4"/>
    <w:rsid w:val="00177361"/>
    <w:rsid w:val="001802BD"/>
    <w:rsid w:val="001862BD"/>
    <w:rsid w:val="00193822"/>
    <w:rsid w:val="0019704E"/>
    <w:rsid w:val="001A0D31"/>
    <w:rsid w:val="001A39EE"/>
    <w:rsid w:val="001A4338"/>
    <w:rsid w:val="001A6777"/>
    <w:rsid w:val="001A76E4"/>
    <w:rsid w:val="001C072D"/>
    <w:rsid w:val="001C54CE"/>
    <w:rsid w:val="001D15F8"/>
    <w:rsid w:val="001D1749"/>
    <w:rsid w:val="001D2679"/>
    <w:rsid w:val="001D502D"/>
    <w:rsid w:val="001D60ED"/>
    <w:rsid w:val="001E21CE"/>
    <w:rsid w:val="001E25A2"/>
    <w:rsid w:val="001E61AD"/>
    <w:rsid w:val="001E639C"/>
    <w:rsid w:val="001F1B08"/>
    <w:rsid w:val="001F4353"/>
    <w:rsid w:val="001F639D"/>
    <w:rsid w:val="00205CBD"/>
    <w:rsid w:val="00206603"/>
    <w:rsid w:val="002078A2"/>
    <w:rsid w:val="00210CC6"/>
    <w:rsid w:val="00211A7E"/>
    <w:rsid w:val="00215955"/>
    <w:rsid w:val="00217A24"/>
    <w:rsid w:val="0022024A"/>
    <w:rsid w:val="00223C57"/>
    <w:rsid w:val="00227D15"/>
    <w:rsid w:val="00242477"/>
    <w:rsid w:val="00244051"/>
    <w:rsid w:val="002524D1"/>
    <w:rsid w:val="002535D8"/>
    <w:rsid w:val="00254046"/>
    <w:rsid w:val="002564AC"/>
    <w:rsid w:val="002608F3"/>
    <w:rsid w:val="00261386"/>
    <w:rsid w:val="00261C41"/>
    <w:rsid w:val="00264124"/>
    <w:rsid w:val="00264A43"/>
    <w:rsid w:val="002726BA"/>
    <w:rsid w:val="0027350A"/>
    <w:rsid w:val="00277697"/>
    <w:rsid w:val="00281B96"/>
    <w:rsid w:val="002853F1"/>
    <w:rsid w:val="00285565"/>
    <w:rsid w:val="00297C3D"/>
    <w:rsid w:val="002A04A3"/>
    <w:rsid w:val="002A0BAE"/>
    <w:rsid w:val="002A2DD8"/>
    <w:rsid w:val="002A712C"/>
    <w:rsid w:val="002A7921"/>
    <w:rsid w:val="002B1213"/>
    <w:rsid w:val="002B6501"/>
    <w:rsid w:val="002B6E2A"/>
    <w:rsid w:val="002C0A4B"/>
    <w:rsid w:val="002C3DE6"/>
    <w:rsid w:val="002C66D0"/>
    <w:rsid w:val="002D396F"/>
    <w:rsid w:val="002D4606"/>
    <w:rsid w:val="002D4A88"/>
    <w:rsid w:val="002D666D"/>
    <w:rsid w:val="002E1F79"/>
    <w:rsid w:val="002F3CF9"/>
    <w:rsid w:val="002F5C45"/>
    <w:rsid w:val="002F6149"/>
    <w:rsid w:val="002F7D25"/>
    <w:rsid w:val="00310EA4"/>
    <w:rsid w:val="00310ED4"/>
    <w:rsid w:val="00325C10"/>
    <w:rsid w:val="00326F5F"/>
    <w:rsid w:val="00332D90"/>
    <w:rsid w:val="00333B06"/>
    <w:rsid w:val="00337D91"/>
    <w:rsid w:val="00343513"/>
    <w:rsid w:val="00343FF7"/>
    <w:rsid w:val="00346BFB"/>
    <w:rsid w:val="00350756"/>
    <w:rsid w:val="003542EE"/>
    <w:rsid w:val="00360D26"/>
    <w:rsid w:val="00362148"/>
    <w:rsid w:val="00362FFE"/>
    <w:rsid w:val="003658B0"/>
    <w:rsid w:val="0038044D"/>
    <w:rsid w:val="00384AEE"/>
    <w:rsid w:val="0038527A"/>
    <w:rsid w:val="00386A98"/>
    <w:rsid w:val="00391367"/>
    <w:rsid w:val="0039505F"/>
    <w:rsid w:val="003A0B5E"/>
    <w:rsid w:val="003A150E"/>
    <w:rsid w:val="003A2730"/>
    <w:rsid w:val="003B16B4"/>
    <w:rsid w:val="003B5145"/>
    <w:rsid w:val="003B5A03"/>
    <w:rsid w:val="003B6E50"/>
    <w:rsid w:val="003C12AC"/>
    <w:rsid w:val="003C2842"/>
    <w:rsid w:val="003D0825"/>
    <w:rsid w:val="003D2003"/>
    <w:rsid w:val="003D5DA2"/>
    <w:rsid w:val="003E5193"/>
    <w:rsid w:val="0040037E"/>
    <w:rsid w:val="00401CDD"/>
    <w:rsid w:val="00402244"/>
    <w:rsid w:val="00410A3F"/>
    <w:rsid w:val="00415DEC"/>
    <w:rsid w:val="00427FE5"/>
    <w:rsid w:val="00433222"/>
    <w:rsid w:val="00436A23"/>
    <w:rsid w:val="00436F13"/>
    <w:rsid w:val="00437F47"/>
    <w:rsid w:val="004420FB"/>
    <w:rsid w:val="00445A4E"/>
    <w:rsid w:val="00445BBD"/>
    <w:rsid w:val="004502EC"/>
    <w:rsid w:val="004504A6"/>
    <w:rsid w:val="00460D23"/>
    <w:rsid w:val="004645DD"/>
    <w:rsid w:val="0046710A"/>
    <w:rsid w:val="0047759D"/>
    <w:rsid w:val="00487893"/>
    <w:rsid w:val="0049612D"/>
    <w:rsid w:val="004964B8"/>
    <w:rsid w:val="004A04A6"/>
    <w:rsid w:val="004A21EE"/>
    <w:rsid w:val="004A36EE"/>
    <w:rsid w:val="004A542C"/>
    <w:rsid w:val="004A5D8D"/>
    <w:rsid w:val="004A7499"/>
    <w:rsid w:val="004B1314"/>
    <w:rsid w:val="004B16C7"/>
    <w:rsid w:val="004B722C"/>
    <w:rsid w:val="004C1B79"/>
    <w:rsid w:val="004C27B4"/>
    <w:rsid w:val="004C3F11"/>
    <w:rsid w:val="004C6A2C"/>
    <w:rsid w:val="004D1369"/>
    <w:rsid w:val="004D275F"/>
    <w:rsid w:val="004D474D"/>
    <w:rsid w:val="004D6276"/>
    <w:rsid w:val="004D656E"/>
    <w:rsid w:val="004E3FA6"/>
    <w:rsid w:val="004E6443"/>
    <w:rsid w:val="004E7743"/>
    <w:rsid w:val="004F36B2"/>
    <w:rsid w:val="00504669"/>
    <w:rsid w:val="005058E0"/>
    <w:rsid w:val="00511EAC"/>
    <w:rsid w:val="005121DC"/>
    <w:rsid w:val="00513113"/>
    <w:rsid w:val="005135CF"/>
    <w:rsid w:val="00515869"/>
    <w:rsid w:val="005160BC"/>
    <w:rsid w:val="005214BA"/>
    <w:rsid w:val="00522E6D"/>
    <w:rsid w:val="00524A24"/>
    <w:rsid w:val="005251C4"/>
    <w:rsid w:val="00526E12"/>
    <w:rsid w:val="00532578"/>
    <w:rsid w:val="00533411"/>
    <w:rsid w:val="00533DAB"/>
    <w:rsid w:val="00540BD6"/>
    <w:rsid w:val="005427EA"/>
    <w:rsid w:val="00545562"/>
    <w:rsid w:val="0054563F"/>
    <w:rsid w:val="005469E1"/>
    <w:rsid w:val="0055087F"/>
    <w:rsid w:val="00552E08"/>
    <w:rsid w:val="00557DA1"/>
    <w:rsid w:val="005635F7"/>
    <w:rsid w:val="00563A41"/>
    <w:rsid w:val="0056579C"/>
    <w:rsid w:val="00567706"/>
    <w:rsid w:val="00572298"/>
    <w:rsid w:val="005734C2"/>
    <w:rsid w:val="00574AA1"/>
    <w:rsid w:val="00574BF2"/>
    <w:rsid w:val="0057633B"/>
    <w:rsid w:val="00577545"/>
    <w:rsid w:val="00585859"/>
    <w:rsid w:val="00590EDF"/>
    <w:rsid w:val="0059185A"/>
    <w:rsid w:val="005933CB"/>
    <w:rsid w:val="00593E2F"/>
    <w:rsid w:val="00595A74"/>
    <w:rsid w:val="005A002C"/>
    <w:rsid w:val="005A1D01"/>
    <w:rsid w:val="005A5601"/>
    <w:rsid w:val="005A62A9"/>
    <w:rsid w:val="005A7964"/>
    <w:rsid w:val="005B01FC"/>
    <w:rsid w:val="005B064E"/>
    <w:rsid w:val="005B499C"/>
    <w:rsid w:val="005B7528"/>
    <w:rsid w:val="005C0440"/>
    <w:rsid w:val="005C185B"/>
    <w:rsid w:val="005D38B6"/>
    <w:rsid w:val="005D7642"/>
    <w:rsid w:val="005E0A46"/>
    <w:rsid w:val="005E3D0D"/>
    <w:rsid w:val="005E7DCF"/>
    <w:rsid w:val="005F02E0"/>
    <w:rsid w:val="005F4979"/>
    <w:rsid w:val="005F6E5C"/>
    <w:rsid w:val="00602F9D"/>
    <w:rsid w:val="0060593E"/>
    <w:rsid w:val="00611EE5"/>
    <w:rsid w:val="00616833"/>
    <w:rsid w:val="00616B8D"/>
    <w:rsid w:val="006261A6"/>
    <w:rsid w:val="0062751F"/>
    <w:rsid w:val="00632AFD"/>
    <w:rsid w:val="0063491E"/>
    <w:rsid w:val="00634A27"/>
    <w:rsid w:val="00634BC5"/>
    <w:rsid w:val="00635AF8"/>
    <w:rsid w:val="006409EF"/>
    <w:rsid w:val="006457F1"/>
    <w:rsid w:val="006459C6"/>
    <w:rsid w:val="00646363"/>
    <w:rsid w:val="00647668"/>
    <w:rsid w:val="00655212"/>
    <w:rsid w:val="00657EE4"/>
    <w:rsid w:val="00672D0E"/>
    <w:rsid w:val="006816AA"/>
    <w:rsid w:val="00682A27"/>
    <w:rsid w:val="00684FCA"/>
    <w:rsid w:val="0069689E"/>
    <w:rsid w:val="006A1698"/>
    <w:rsid w:val="006A1D06"/>
    <w:rsid w:val="006A3F10"/>
    <w:rsid w:val="006A71EB"/>
    <w:rsid w:val="006B12A2"/>
    <w:rsid w:val="006B34CB"/>
    <w:rsid w:val="006B452C"/>
    <w:rsid w:val="006B590B"/>
    <w:rsid w:val="006C44B7"/>
    <w:rsid w:val="006C59D5"/>
    <w:rsid w:val="006D58BE"/>
    <w:rsid w:val="006E09D5"/>
    <w:rsid w:val="006E12EC"/>
    <w:rsid w:val="006E1418"/>
    <w:rsid w:val="006E3D95"/>
    <w:rsid w:val="006F30C1"/>
    <w:rsid w:val="006F3683"/>
    <w:rsid w:val="00700738"/>
    <w:rsid w:val="007042EA"/>
    <w:rsid w:val="007043B9"/>
    <w:rsid w:val="00705549"/>
    <w:rsid w:val="0071210D"/>
    <w:rsid w:val="00716BC5"/>
    <w:rsid w:val="007170E5"/>
    <w:rsid w:val="00723115"/>
    <w:rsid w:val="00723A18"/>
    <w:rsid w:val="00724550"/>
    <w:rsid w:val="00726A54"/>
    <w:rsid w:val="0073004B"/>
    <w:rsid w:val="00730859"/>
    <w:rsid w:val="00731830"/>
    <w:rsid w:val="00736A19"/>
    <w:rsid w:val="00743C8D"/>
    <w:rsid w:val="00745258"/>
    <w:rsid w:val="00763C4A"/>
    <w:rsid w:val="00767AED"/>
    <w:rsid w:val="0077374B"/>
    <w:rsid w:val="007746A3"/>
    <w:rsid w:val="007766E6"/>
    <w:rsid w:val="00781ACA"/>
    <w:rsid w:val="00785F8F"/>
    <w:rsid w:val="00787B44"/>
    <w:rsid w:val="00790CD9"/>
    <w:rsid w:val="00791E5D"/>
    <w:rsid w:val="00791F20"/>
    <w:rsid w:val="00795A5A"/>
    <w:rsid w:val="00796EC3"/>
    <w:rsid w:val="007A0441"/>
    <w:rsid w:val="007A7058"/>
    <w:rsid w:val="007B098D"/>
    <w:rsid w:val="007B1DE5"/>
    <w:rsid w:val="007B5785"/>
    <w:rsid w:val="007B5CF3"/>
    <w:rsid w:val="007B67AE"/>
    <w:rsid w:val="007B6EBF"/>
    <w:rsid w:val="007C4E4D"/>
    <w:rsid w:val="007C62D1"/>
    <w:rsid w:val="007C706F"/>
    <w:rsid w:val="007C7320"/>
    <w:rsid w:val="007D01FF"/>
    <w:rsid w:val="007E0E39"/>
    <w:rsid w:val="007E2B60"/>
    <w:rsid w:val="007E5E30"/>
    <w:rsid w:val="007F0E54"/>
    <w:rsid w:val="007F5107"/>
    <w:rsid w:val="00803EC5"/>
    <w:rsid w:val="008040BA"/>
    <w:rsid w:val="008042D6"/>
    <w:rsid w:val="00806380"/>
    <w:rsid w:val="00812E71"/>
    <w:rsid w:val="00821CE2"/>
    <w:rsid w:val="00830FF8"/>
    <w:rsid w:val="00833A04"/>
    <w:rsid w:val="00833B8D"/>
    <w:rsid w:val="00842DFF"/>
    <w:rsid w:val="0084324F"/>
    <w:rsid w:val="00843750"/>
    <w:rsid w:val="00844407"/>
    <w:rsid w:val="00853B24"/>
    <w:rsid w:val="00853E2A"/>
    <w:rsid w:val="008541E9"/>
    <w:rsid w:val="00856EEB"/>
    <w:rsid w:val="00873020"/>
    <w:rsid w:val="008739EB"/>
    <w:rsid w:val="008776BB"/>
    <w:rsid w:val="00880540"/>
    <w:rsid w:val="0088396E"/>
    <w:rsid w:val="00884EB1"/>
    <w:rsid w:val="008862E4"/>
    <w:rsid w:val="008A1A7A"/>
    <w:rsid w:val="008A45EE"/>
    <w:rsid w:val="008B01B2"/>
    <w:rsid w:val="008B0632"/>
    <w:rsid w:val="008B08A3"/>
    <w:rsid w:val="008B4F64"/>
    <w:rsid w:val="008B53C0"/>
    <w:rsid w:val="008B5F7F"/>
    <w:rsid w:val="008B64B1"/>
    <w:rsid w:val="008B6A49"/>
    <w:rsid w:val="008B709D"/>
    <w:rsid w:val="008C11F5"/>
    <w:rsid w:val="008C2A03"/>
    <w:rsid w:val="008C3A6F"/>
    <w:rsid w:val="008C6372"/>
    <w:rsid w:val="008D0CE3"/>
    <w:rsid w:val="008D323B"/>
    <w:rsid w:val="008E7A0A"/>
    <w:rsid w:val="008F12FD"/>
    <w:rsid w:val="008F13EA"/>
    <w:rsid w:val="008F24E6"/>
    <w:rsid w:val="008F39F4"/>
    <w:rsid w:val="009010CD"/>
    <w:rsid w:val="00904F3C"/>
    <w:rsid w:val="0090623F"/>
    <w:rsid w:val="00906702"/>
    <w:rsid w:val="00907279"/>
    <w:rsid w:val="00907EDB"/>
    <w:rsid w:val="009110C5"/>
    <w:rsid w:val="00912FB5"/>
    <w:rsid w:val="00913A54"/>
    <w:rsid w:val="00915944"/>
    <w:rsid w:val="00915A9F"/>
    <w:rsid w:val="00922460"/>
    <w:rsid w:val="009228D9"/>
    <w:rsid w:val="0092525C"/>
    <w:rsid w:val="00930B74"/>
    <w:rsid w:val="009312DC"/>
    <w:rsid w:val="009327BF"/>
    <w:rsid w:val="00934047"/>
    <w:rsid w:val="0093512D"/>
    <w:rsid w:val="00935F33"/>
    <w:rsid w:val="009403E4"/>
    <w:rsid w:val="0094745A"/>
    <w:rsid w:val="00951E2D"/>
    <w:rsid w:val="00952B5F"/>
    <w:rsid w:val="00953546"/>
    <w:rsid w:val="009541F6"/>
    <w:rsid w:val="0095649D"/>
    <w:rsid w:val="009565AD"/>
    <w:rsid w:val="00960332"/>
    <w:rsid w:val="0096173B"/>
    <w:rsid w:val="00963BDB"/>
    <w:rsid w:val="0097006F"/>
    <w:rsid w:val="00970DDD"/>
    <w:rsid w:val="00984EE4"/>
    <w:rsid w:val="00990168"/>
    <w:rsid w:val="0099354F"/>
    <w:rsid w:val="00996CBB"/>
    <w:rsid w:val="009A5318"/>
    <w:rsid w:val="009B16EA"/>
    <w:rsid w:val="009B3444"/>
    <w:rsid w:val="009B5DCD"/>
    <w:rsid w:val="009B5EE6"/>
    <w:rsid w:val="009B7193"/>
    <w:rsid w:val="009C02FB"/>
    <w:rsid w:val="009C0F43"/>
    <w:rsid w:val="009C20B9"/>
    <w:rsid w:val="009C382E"/>
    <w:rsid w:val="009C490E"/>
    <w:rsid w:val="009C495F"/>
    <w:rsid w:val="009C6A25"/>
    <w:rsid w:val="009D28B9"/>
    <w:rsid w:val="009D6E3D"/>
    <w:rsid w:val="009E5E58"/>
    <w:rsid w:val="009F0808"/>
    <w:rsid w:val="009F45FC"/>
    <w:rsid w:val="00A0688A"/>
    <w:rsid w:val="00A070E6"/>
    <w:rsid w:val="00A1426A"/>
    <w:rsid w:val="00A14F1D"/>
    <w:rsid w:val="00A152DC"/>
    <w:rsid w:val="00A1703F"/>
    <w:rsid w:val="00A2180A"/>
    <w:rsid w:val="00A22293"/>
    <w:rsid w:val="00A255E6"/>
    <w:rsid w:val="00A26973"/>
    <w:rsid w:val="00A312E7"/>
    <w:rsid w:val="00A3401C"/>
    <w:rsid w:val="00A344D5"/>
    <w:rsid w:val="00A37E33"/>
    <w:rsid w:val="00A452CF"/>
    <w:rsid w:val="00A46574"/>
    <w:rsid w:val="00A471A3"/>
    <w:rsid w:val="00A47B1B"/>
    <w:rsid w:val="00A5253A"/>
    <w:rsid w:val="00A63339"/>
    <w:rsid w:val="00A90F41"/>
    <w:rsid w:val="00A910E7"/>
    <w:rsid w:val="00A93B3B"/>
    <w:rsid w:val="00A951DD"/>
    <w:rsid w:val="00A95CBB"/>
    <w:rsid w:val="00A9600A"/>
    <w:rsid w:val="00A96C80"/>
    <w:rsid w:val="00AA0ABF"/>
    <w:rsid w:val="00AA108E"/>
    <w:rsid w:val="00AA27C2"/>
    <w:rsid w:val="00AB2CCF"/>
    <w:rsid w:val="00AB3E27"/>
    <w:rsid w:val="00AB49FD"/>
    <w:rsid w:val="00AB69B0"/>
    <w:rsid w:val="00AC271B"/>
    <w:rsid w:val="00AD12DB"/>
    <w:rsid w:val="00AD6322"/>
    <w:rsid w:val="00AD6752"/>
    <w:rsid w:val="00AD78B1"/>
    <w:rsid w:val="00AF0B91"/>
    <w:rsid w:val="00AF1A65"/>
    <w:rsid w:val="00AF3B70"/>
    <w:rsid w:val="00B03D42"/>
    <w:rsid w:val="00B11766"/>
    <w:rsid w:val="00B17439"/>
    <w:rsid w:val="00B17940"/>
    <w:rsid w:val="00B17A11"/>
    <w:rsid w:val="00B217F6"/>
    <w:rsid w:val="00B2296A"/>
    <w:rsid w:val="00B2472B"/>
    <w:rsid w:val="00B2753B"/>
    <w:rsid w:val="00B30444"/>
    <w:rsid w:val="00B33139"/>
    <w:rsid w:val="00B36652"/>
    <w:rsid w:val="00B44E4D"/>
    <w:rsid w:val="00B4595A"/>
    <w:rsid w:val="00B46796"/>
    <w:rsid w:val="00B47187"/>
    <w:rsid w:val="00B5129B"/>
    <w:rsid w:val="00B56376"/>
    <w:rsid w:val="00B5741E"/>
    <w:rsid w:val="00B606B7"/>
    <w:rsid w:val="00B62C69"/>
    <w:rsid w:val="00B666EC"/>
    <w:rsid w:val="00B77560"/>
    <w:rsid w:val="00B77FC0"/>
    <w:rsid w:val="00BA6AD7"/>
    <w:rsid w:val="00BB052D"/>
    <w:rsid w:val="00BB1F92"/>
    <w:rsid w:val="00BB2E06"/>
    <w:rsid w:val="00BB46C6"/>
    <w:rsid w:val="00BB5B7F"/>
    <w:rsid w:val="00BB5C4E"/>
    <w:rsid w:val="00BB7E8A"/>
    <w:rsid w:val="00BC1DDE"/>
    <w:rsid w:val="00BC20A0"/>
    <w:rsid w:val="00BC27F5"/>
    <w:rsid w:val="00BC5F6D"/>
    <w:rsid w:val="00BC75AA"/>
    <w:rsid w:val="00BD0770"/>
    <w:rsid w:val="00BD2F16"/>
    <w:rsid w:val="00BE1C7B"/>
    <w:rsid w:val="00BE2488"/>
    <w:rsid w:val="00BE2D25"/>
    <w:rsid w:val="00BE448A"/>
    <w:rsid w:val="00BE531D"/>
    <w:rsid w:val="00BE7378"/>
    <w:rsid w:val="00BF2725"/>
    <w:rsid w:val="00BF3D60"/>
    <w:rsid w:val="00BF5FCB"/>
    <w:rsid w:val="00BF72EA"/>
    <w:rsid w:val="00C00290"/>
    <w:rsid w:val="00C05FFF"/>
    <w:rsid w:val="00C10BAE"/>
    <w:rsid w:val="00C15F35"/>
    <w:rsid w:val="00C16B93"/>
    <w:rsid w:val="00C2210E"/>
    <w:rsid w:val="00C2524E"/>
    <w:rsid w:val="00C32802"/>
    <w:rsid w:val="00C35DFA"/>
    <w:rsid w:val="00C36272"/>
    <w:rsid w:val="00C40B0B"/>
    <w:rsid w:val="00C41B6F"/>
    <w:rsid w:val="00C42BBF"/>
    <w:rsid w:val="00C44979"/>
    <w:rsid w:val="00C45525"/>
    <w:rsid w:val="00C45A45"/>
    <w:rsid w:val="00C47EFE"/>
    <w:rsid w:val="00C50728"/>
    <w:rsid w:val="00C56B0F"/>
    <w:rsid w:val="00C57690"/>
    <w:rsid w:val="00C57E6A"/>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2CF3"/>
    <w:rsid w:val="00CB519E"/>
    <w:rsid w:val="00CC2E58"/>
    <w:rsid w:val="00CC3D89"/>
    <w:rsid w:val="00CC5B37"/>
    <w:rsid w:val="00CD2ED3"/>
    <w:rsid w:val="00CD3C62"/>
    <w:rsid w:val="00CE4211"/>
    <w:rsid w:val="00CF021B"/>
    <w:rsid w:val="00CF066B"/>
    <w:rsid w:val="00CF07BE"/>
    <w:rsid w:val="00CF40E0"/>
    <w:rsid w:val="00CF4412"/>
    <w:rsid w:val="00CF5B33"/>
    <w:rsid w:val="00D01748"/>
    <w:rsid w:val="00D028FF"/>
    <w:rsid w:val="00D03ECD"/>
    <w:rsid w:val="00D05963"/>
    <w:rsid w:val="00D07231"/>
    <w:rsid w:val="00D107E0"/>
    <w:rsid w:val="00D11640"/>
    <w:rsid w:val="00D1470E"/>
    <w:rsid w:val="00D20AA4"/>
    <w:rsid w:val="00D25A7B"/>
    <w:rsid w:val="00D32157"/>
    <w:rsid w:val="00D35B2E"/>
    <w:rsid w:val="00D40F84"/>
    <w:rsid w:val="00D434AF"/>
    <w:rsid w:val="00D44FA6"/>
    <w:rsid w:val="00D554C9"/>
    <w:rsid w:val="00D60D62"/>
    <w:rsid w:val="00D61B62"/>
    <w:rsid w:val="00D61BB7"/>
    <w:rsid w:val="00D62DA9"/>
    <w:rsid w:val="00D70D97"/>
    <w:rsid w:val="00D7165D"/>
    <w:rsid w:val="00D75705"/>
    <w:rsid w:val="00D961D6"/>
    <w:rsid w:val="00D97B17"/>
    <w:rsid w:val="00DA1A4A"/>
    <w:rsid w:val="00DA4AFE"/>
    <w:rsid w:val="00DA4BD0"/>
    <w:rsid w:val="00DA7B41"/>
    <w:rsid w:val="00DB058E"/>
    <w:rsid w:val="00DB326E"/>
    <w:rsid w:val="00DB6825"/>
    <w:rsid w:val="00DC1E7E"/>
    <w:rsid w:val="00DC31D2"/>
    <w:rsid w:val="00DC7A5F"/>
    <w:rsid w:val="00DD0CE6"/>
    <w:rsid w:val="00DD6A66"/>
    <w:rsid w:val="00DE0D15"/>
    <w:rsid w:val="00DF1CF0"/>
    <w:rsid w:val="00DF6656"/>
    <w:rsid w:val="00DF7388"/>
    <w:rsid w:val="00E02FA4"/>
    <w:rsid w:val="00E04C73"/>
    <w:rsid w:val="00E079A3"/>
    <w:rsid w:val="00E11718"/>
    <w:rsid w:val="00E12674"/>
    <w:rsid w:val="00E132AC"/>
    <w:rsid w:val="00E15CCC"/>
    <w:rsid w:val="00E15CF3"/>
    <w:rsid w:val="00E15D7D"/>
    <w:rsid w:val="00E17234"/>
    <w:rsid w:val="00E23ABA"/>
    <w:rsid w:val="00E261F5"/>
    <w:rsid w:val="00E34A5B"/>
    <w:rsid w:val="00E35895"/>
    <w:rsid w:val="00E3623B"/>
    <w:rsid w:val="00E455D9"/>
    <w:rsid w:val="00E4741B"/>
    <w:rsid w:val="00E478DE"/>
    <w:rsid w:val="00E5157F"/>
    <w:rsid w:val="00E5226F"/>
    <w:rsid w:val="00E53135"/>
    <w:rsid w:val="00E54141"/>
    <w:rsid w:val="00E54D94"/>
    <w:rsid w:val="00E57E26"/>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D3E61"/>
    <w:rsid w:val="00EE0CDC"/>
    <w:rsid w:val="00EE3586"/>
    <w:rsid w:val="00EE63A7"/>
    <w:rsid w:val="00EE7479"/>
    <w:rsid w:val="00EE7954"/>
    <w:rsid w:val="00EF1FBD"/>
    <w:rsid w:val="00EF29BE"/>
    <w:rsid w:val="00EF7FD0"/>
    <w:rsid w:val="00F07943"/>
    <w:rsid w:val="00F07DDF"/>
    <w:rsid w:val="00F11204"/>
    <w:rsid w:val="00F16256"/>
    <w:rsid w:val="00F209ED"/>
    <w:rsid w:val="00F231E8"/>
    <w:rsid w:val="00F26EA8"/>
    <w:rsid w:val="00F30632"/>
    <w:rsid w:val="00F31B97"/>
    <w:rsid w:val="00F329D8"/>
    <w:rsid w:val="00F32BCD"/>
    <w:rsid w:val="00F33544"/>
    <w:rsid w:val="00F35ACF"/>
    <w:rsid w:val="00F36445"/>
    <w:rsid w:val="00F402F3"/>
    <w:rsid w:val="00F40CAB"/>
    <w:rsid w:val="00F414C3"/>
    <w:rsid w:val="00F51C87"/>
    <w:rsid w:val="00F5214D"/>
    <w:rsid w:val="00F55457"/>
    <w:rsid w:val="00F6077B"/>
    <w:rsid w:val="00F60D85"/>
    <w:rsid w:val="00F624BD"/>
    <w:rsid w:val="00F62A5E"/>
    <w:rsid w:val="00F631B9"/>
    <w:rsid w:val="00F634A6"/>
    <w:rsid w:val="00F6634F"/>
    <w:rsid w:val="00F72CD1"/>
    <w:rsid w:val="00F74A39"/>
    <w:rsid w:val="00F8138E"/>
    <w:rsid w:val="00F85203"/>
    <w:rsid w:val="00F87D5A"/>
    <w:rsid w:val="00F87EF6"/>
    <w:rsid w:val="00F906DA"/>
    <w:rsid w:val="00F92676"/>
    <w:rsid w:val="00F94262"/>
    <w:rsid w:val="00F947D0"/>
    <w:rsid w:val="00F9616B"/>
    <w:rsid w:val="00F979A8"/>
    <w:rsid w:val="00FA0173"/>
    <w:rsid w:val="00FA1B93"/>
    <w:rsid w:val="00FA5551"/>
    <w:rsid w:val="00FA6D66"/>
    <w:rsid w:val="00FA7C7A"/>
    <w:rsid w:val="00FC1C00"/>
    <w:rsid w:val="00FD213B"/>
    <w:rsid w:val="00FD3CE8"/>
    <w:rsid w:val="00FD5B91"/>
    <w:rsid w:val="00FD7004"/>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semiHidden="0" w:uiPriority="2" w:unhideWhenUsed="0"/>
    <w:lsdException w:name="footer" w:semiHidden="0" w:uiPriority="2"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0325D5"/>
    <w:rPr>
      <w:sz w:val="16"/>
      <w:szCs w:val="16"/>
    </w:rPr>
  </w:style>
  <w:style w:type="paragraph" w:styleId="CommentText">
    <w:name w:val="annotation text"/>
    <w:basedOn w:val="Normal"/>
    <w:link w:val="CommentTextChar"/>
    <w:uiPriority w:val="99"/>
    <w:semiHidden/>
    <w:unhideWhenUsed/>
    <w:rsid w:val="000325D5"/>
    <w:pPr>
      <w:spacing w:line="240" w:lineRule="auto"/>
    </w:pPr>
    <w:rPr>
      <w:szCs w:val="20"/>
    </w:rPr>
  </w:style>
  <w:style w:type="character" w:customStyle="1" w:styleId="CommentTextChar">
    <w:name w:val="Comment Text Char"/>
    <w:basedOn w:val="DefaultParagraphFont"/>
    <w:link w:val="CommentText"/>
    <w:uiPriority w:val="99"/>
    <w:semiHidden/>
    <w:rsid w:val="000325D5"/>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0325D5"/>
    <w:rPr>
      <w:b/>
      <w:bCs/>
    </w:rPr>
  </w:style>
  <w:style w:type="character" w:customStyle="1" w:styleId="CommentSubjectChar">
    <w:name w:val="Comment Subject Char"/>
    <w:basedOn w:val="CommentTextChar"/>
    <w:link w:val="CommentSubject"/>
    <w:uiPriority w:val="99"/>
    <w:semiHidden/>
    <w:rsid w:val="000325D5"/>
    <w:rPr>
      <w:rFonts w:ascii="Times New Roman" w:hAnsi="Times New Roman" w:cs="Times New Roman"/>
      <w:b/>
      <w:bCs/>
      <w:spacing w:val="4"/>
      <w:w w:val="103"/>
      <w:kern w:val="14"/>
      <w:sz w:val="20"/>
      <w:szCs w:val="20"/>
      <w:lang w:val="ru-RU"/>
    </w:rPr>
  </w:style>
  <w:style w:type="paragraph" w:customStyle="1" w:styleId="Bullet1G">
    <w:name w:val="_Bullet 1_G"/>
    <w:basedOn w:val="Normal"/>
    <w:rsid w:val="003B5145"/>
    <w:pPr>
      <w:numPr>
        <w:numId w:val="11"/>
      </w:numPr>
      <w:suppressAutoHyphens/>
      <w:spacing w:after="120" w:line="240" w:lineRule="atLeast"/>
      <w:ind w:right="1134"/>
      <w:jc w:val="both"/>
    </w:pPr>
    <w:rPr>
      <w:rFonts w:eastAsia="Times New Roman"/>
      <w:spacing w:val="0"/>
      <w:w w:val="100"/>
      <w:kern w:val="0"/>
      <w:szCs w:val="20"/>
      <w:lang w:val="en-GB" w:eastAsia="en-US"/>
    </w:rPr>
  </w:style>
  <w:style w:type="paragraph" w:styleId="BalloonText">
    <w:name w:val="Balloon Text"/>
    <w:basedOn w:val="Normal"/>
    <w:link w:val="BalloonTextChar"/>
    <w:uiPriority w:val="99"/>
    <w:semiHidden/>
    <w:unhideWhenUsed/>
    <w:rsid w:val="003B5145"/>
    <w:pPr>
      <w:spacing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B5145"/>
    <w:rPr>
      <w:rFonts w:ascii="Tahoma" w:eastAsiaTheme="minorHAnsi" w:hAnsi="Tahoma" w:cs="Tahoma"/>
      <w:spacing w:val="4"/>
      <w:w w:val="103"/>
      <w:kern w:val="14"/>
      <w:sz w:val="16"/>
      <w:szCs w:val="16"/>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semiHidden="0" w:uiPriority="2" w:unhideWhenUsed="0"/>
    <w:lsdException w:name="footer" w:semiHidden="0" w:uiPriority="2"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0325D5"/>
    <w:rPr>
      <w:sz w:val="16"/>
      <w:szCs w:val="16"/>
    </w:rPr>
  </w:style>
  <w:style w:type="paragraph" w:styleId="CommentText">
    <w:name w:val="annotation text"/>
    <w:basedOn w:val="Normal"/>
    <w:link w:val="CommentTextChar"/>
    <w:uiPriority w:val="99"/>
    <w:semiHidden/>
    <w:unhideWhenUsed/>
    <w:rsid w:val="000325D5"/>
    <w:pPr>
      <w:spacing w:line="240" w:lineRule="auto"/>
    </w:pPr>
    <w:rPr>
      <w:szCs w:val="20"/>
    </w:rPr>
  </w:style>
  <w:style w:type="character" w:customStyle="1" w:styleId="CommentTextChar">
    <w:name w:val="Comment Text Char"/>
    <w:basedOn w:val="DefaultParagraphFont"/>
    <w:link w:val="CommentText"/>
    <w:uiPriority w:val="99"/>
    <w:semiHidden/>
    <w:rsid w:val="000325D5"/>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0325D5"/>
    <w:rPr>
      <w:b/>
      <w:bCs/>
    </w:rPr>
  </w:style>
  <w:style w:type="character" w:customStyle="1" w:styleId="CommentSubjectChar">
    <w:name w:val="Comment Subject Char"/>
    <w:basedOn w:val="CommentTextChar"/>
    <w:link w:val="CommentSubject"/>
    <w:uiPriority w:val="99"/>
    <w:semiHidden/>
    <w:rsid w:val="000325D5"/>
    <w:rPr>
      <w:rFonts w:ascii="Times New Roman" w:hAnsi="Times New Roman" w:cs="Times New Roman"/>
      <w:b/>
      <w:bCs/>
      <w:spacing w:val="4"/>
      <w:w w:val="103"/>
      <w:kern w:val="14"/>
      <w:sz w:val="20"/>
      <w:szCs w:val="20"/>
      <w:lang w:val="ru-RU"/>
    </w:rPr>
  </w:style>
  <w:style w:type="paragraph" w:customStyle="1" w:styleId="Bullet1G">
    <w:name w:val="_Bullet 1_G"/>
    <w:basedOn w:val="Normal"/>
    <w:rsid w:val="003B5145"/>
    <w:pPr>
      <w:numPr>
        <w:numId w:val="11"/>
      </w:numPr>
      <w:suppressAutoHyphens/>
      <w:spacing w:after="120" w:line="240" w:lineRule="atLeast"/>
      <w:ind w:right="1134"/>
      <w:jc w:val="both"/>
    </w:pPr>
    <w:rPr>
      <w:rFonts w:eastAsia="Times New Roman"/>
      <w:spacing w:val="0"/>
      <w:w w:val="100"/>
      <w:kern w:val="0"/>
      <w:szCs w:val="20"/>
      <w:lang w:val="en-GB" w:eastAsia="en-US"/>
    </w:rPr>
  </w:style>
  <w:style w:type="paragraph" w:styleId="BalloonText">
    <w:name w:val="Balloon Text"/>
    <w:basedOn w:val="Normal"/>
    <w:link w:val="BalloonTextChar"/>
    <w:uiPriority w:val="99"/>
    <w:semiHidden/>
    <w:unhideWhenUsed/>
    <w:rsid w:val="003B5145"/>
    <w:pPr>
      <w:spacing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B5145"/>
    <w:rPr>
      <w:rFonts w:ascii="Tahoma" w:eastAsiaTheme="minorHAnsi" w:hAnsi="Tahoma" w:cs="Tahoma"/>
      <w:spacing w:val="4"/>
      <w:w w:val="103"/>
      <w:kern w:val="14"/>
      <w:sz w:val="16"/>
      <w:szCs w:val="1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http://ec.europa.eu/transport/images/highlights/ten-t-corridors-2013.jpg"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9602F-74A3-4EED-B272-F10418407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9376</Words>
  <Characters>53444</Characters>
  <Application>Microsoft Office Word</Application>
  <DocSecurity>4</DocSecurity>
  <Lines>445</Lines>
  <Paragraphs>125</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62695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Maykov</dc:creator>
  <cp:lastModifiedBy>Anastasia Barinova</cp:lastModifiedBy>
  <cp:revision>2</cp:revision>
  <cp:lastPrinted>2016-01-15T15:47:00Z</cp:lastPrinted>
  <dcterms:created xsi:type="dcterms:W3CDTF">2016-02-19T17:51:00Z</dcterms:created>
  <dcterms:modified xsi:type="dcterms:W3CDTF">2016-02-19T17:51:00Z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1522147R</vt:lpwstr>
  </property>
  <property fmtid="{D5CDD505-2E9C-101B-9397-08002B2CF9AE}" pid="3" name="ODSRefJobNo">
    <vt:lpwstr>1528763R</vt:lpwstr>
  </property>
  <property fmtid="{D5CDD505-2E9C-101B-9397-08002B2CF9AE}" pid="4" name="Symbol1">
    <vt:lpwstr>ECE/TRANS/2016/33</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17 December 2015</vt:lpwstr>
  </property>
  <property fmtid="{D5CDD505-2E9C-101B-9397-08002B2CF9AE}" pid="12" name="Original">
    <vt:lpwstr>English</vt:lpwstr>
  </property>
  <property fmtid="{D5CDD505-2E9C-101B-9397-08002B2CF9AE}" pid="13" name="Release Date">
    <vt:lpwstr>150116</vt:lpwstr>
  </property>
</Properties>
</file>