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51" w:rsidRDefault="00901051" w:rsidP="00901051">
      <w:pPr>
        <w:spacing w:line="240" w:lineRule="auto"/>
        <w:rPr>
          <w:sz w:val="2"/>
        </w:rPr>
        <w:sectPr w:rsidR="00901051" w:rsidSect="0090105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901051" w:rsidRDefault="00901051" w:rsidP="00901051">
      <w:pPr>
        <w:pStyle w:val="H1"/>
        <w:spacing w:after="120"/>
        <w:rPr>
          <w:sz w:val="28"/>
        </w:rPr>
      </w:pPr>
      <w:r>
        <w:rPr>
          <w:sz w:val="28"/>
        </w:rPr>
        <w:lastRenderedPageBreak/>
        <w:t>Commission économique pour l’Europe</w:t>
      </w:r>
    </w:p>
    <w:p w:rsidR="00901051" w:rsidRDefault="00901051" w:rsidP="00901051">
      <w:pPr>
        <w:pStyle w:val="H1"/>
        <w:spacing w:after="120" w:line="300" w:lineRule="exact"/>
        <w:rPr>
          <w:b w:val="0"/>
          <w:sz w:val="28"/>
        </w:rPr>
      </w:pPr>
      <w:r>
        <w:rPr>
          <w:b w:val="0"/>
          <w:sz w:val="28"/>
        </w:rPr>
        <w:t>Comité des transports intérieurs</w:t>
      </w:r>
    </w:p>
    <w:p w:rsidR="00377420" w:rsidRPr="00CA02B6" w:rsidRDefault="00377420" w:rsidP="0047403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FR"/>
        </w:rPr>
      </w:pPr>
      <w:r w:rsidRPr="00CA02B6">
        <w:rPr>
          <w:lang w:val="fr-FR"/>
        </w:rPr>
        <w:t>Soixante-dix-huitième session</w:t>
      </w:r>
    </w:p>
    <w:p w:rsidR="0047403E" w:rsidRDefault="0047403E" w:rsidP="0047403E">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Genève, 23-26 </w:t>
      </w:r>
      <w:r w:rsidR="00377420" w:rsidRPr="00CA02B6">
        <w:rPr>
          <w:lang w:val="fr-FR"/>
        </w:rPr>
        <w:t>février 2016</w:t>
      </w:r>
    </w:p>
    <w:p w:rsidR="0047403E" w:rsidRDefault="0047403E" w:rsidP="0047403E">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Point 5 </w:t>
      </w:r>
      <w:r w:rsidR="00377420" w:rsidRPr="00CA02B6">
        <w:rPr>
          <w:lang w:val="fr-FR"/>
        </w:rPr>
        <w:t>g) de l</w:t>
      </w:r>
      <w:r w:rsidR="00377420">
        <w:rPr>
          <w:lang w:val="fr-FR"/>
        </w:rPr>
        <w:t>’</w:t>
      </w:r>
      <w:r w:rsidR="00377420" w:rsidRPr="00CA02B6">
        <w:rPr>
          <w:lang w:val="fr-FR"/>
        </w:rPr>
        <w:t>ordre du jour provisoire</w:t>
      </w:r>
    </w:p>
    <w:p w:rsidR="00377420" w:rsidRDefault="00377420" w:rsidP="0047403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A02B6">
        <w:rPr>
          <w:lang w:val="fr-FR"/>
        </w:rPr>
        <w:t>Questions stratégiques à caractère modal et thématique</w:t>
      </w:r>
      <w:r w:rsidR="0047403E">
        <w:rPr>
          <w:lang w:val="fr-FR"/>
        </w:rPr>
        <w:t> </w:t>
      </w:r>
      <w:r w:rsidRPr="00CA02B6">
        <w:rPr>
          <w:lang w:val="fr-FR"/>
        </w:rPr>
        <w:t xml:space="preserve">: </w:t>
      </w:r>
      <w:r w:rsidR="0047403E">
        <w:rPr>
          <w:lang w:val="fr-FR"/>
        </w:rPr>
        <w:br/>
      </w:r>
      <w:r w:rsidRPr="00CA02B6">
        <w:rPr>
          <w:lang w:val="fr-FR"/>
        </w:rPr>
        <w:t>Transport par voie navigable</w:t>
      </w:r>
    </w:p>
    <w:p w:rsidR="0047403E" w:rsidRPr="0047403E" w:rsidRDefault="0047403E" w:rsidP="0047403E">
      <w:pPr>
        <w:spacing w:line="120" w:lineRule="exact"/>
        <w:rPr>
          <w:sz w:val="10"/>
          <w:lang w:val="fr-FR"/>
        </w:rPr>
      </w:pPr>
    </w:p>
    <w:p w:rsidR="0047403E" w:rsidRPr="0047403E" w:rsidRDefault="0047403E" w:rsidP="0047403E">
      <w:pPr>
        <w:spacing w:line="120" w:lineRule="exact"/>
        <w:rPr>
          <w:sz w:val="10"/>
          <w:lang w:val="fr-FR"/>
        </w:rPr>
      </w:pPr>
    </w:p>
    <w:p w:rsidR="0047403E" w:rsidRPr="0047403E" w:rsidRDefault="0047403E" w:rsidP="0047403E">
      <w:pPr>
        <w:spacing w:line="120" w:lineRule="exact"/>
        <w:rPr>
          <w:sz w:val="10"/>
          <w:lang w:val="fr-FR"/>
        </w:rPr>
      </w:pPr>
    </w:p>
    <w:p w:rsidR="00377420" w:rsidRDefault="00377420" w:rsidP="004740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02B6">
        <w:rPr>
          <w:lang w:val="fr-FR"/>
        </w:rPr>
        <w:tab/>
      </w:r>
      <w:r w:rsidRPr="00CA02B6">
        <w:rPr>
          <w:lang w:val="fr-FR"/>
        </w:rPr>
        <w:tab/>
        <w:t>État de l</w:t>
      </w:r>
      <w:r>
        <w:rPr>
          <w:lang w:val="fr-FR"/>
        </w:rPr>
        <w:t>’</w:t>
      </w:r>
      <w:r w:rsidRPr="00CA02B6">
        <w:rPr>
          <w:lang w:val="fr-FR"/>
        </w:rPr>
        <w:t>application des recommandations</w:t>
      </w:r>
      <w:r w:rsidR="0047403E">
        <w:rPr>
          <w:lang w:val="fr-FR"/>
        </w:rPr>
        <w:t xml:space="preserve"> </w:t>
      </w:r>
      <w:r w:rsidRPr="00CA02B6">
        <w:rPr>
          <w:lang w:val="fr-FR"/>
        </w:rPr>
        <w:t xml:space="preserve">figurant </w:t>
      </w:r>
      <w:r w:rsidR="0047403E">
        <w:rPr>
          <w:lang w:val="fr-FR"/>
        </w:rPr>
        <w:br/>
      </w:r>
      <w:r w:rsidRPr="00CA02B6">
        <w:rPr>
          <w:lang w:val="fr-FR"/>
        </w:rPr>
        <w:t>dans le Livre blanc sur l</w:t>
      </w:r>
      <w:r>
        <w:rPr>
          <w:lang w:val="fr-FR"/>
        </w:rPr>
        <w:t>’</w:t>
      </w:r>
      <w:r w:rsidRPr="00CA02B6">
        <w:rPr>
          <w:lang w:val="fr-FR"/>
        </w:rPr>
        <w:t>effic</w:t>
      </w:r>
      <w:bookmarkStart w:id="1" w:name="insstart"/>
      <w:bookmarkEnd w:id="1"/>
      <w:r w:rsidRPr="00CA02B6">
        <w:rPr>
          <w:lang w:val="fr-FR"/>
        </w:rPr>
        <w:t xml:space="preserve">acité et la viabilité </w:t>
      </w:r>
      <w:r w:rsidR="0047403E">
        <w:rPr>
          <w:lang w:val="fr-FR"/>
        </w:rPr>
        <w:br/>
      </w:r>
      <w:r w:rsidRPr="00CA02B6">
        <w:rPr>
          <w:lang w:val="fr-FR"/>
        </w:rPr>
        <w:t>du transport par voie navigable en Europe</w:t>
      </w:r>
    </w:p>
    <w:p w:rsidR="0047403E" w:rsidRPr="0047403E" w:rsidRDefault="0047403E" w:rsidP="0047403E">
      <w:pPr>
        <w:pStyle w:val="SingleTxt"/>
        <w:spacing w:after="0" w:line="120" w:lineRule="exact"/>
        <w:rPr>
          <w:sz w:val="10"/>
          <w:lang w:val="fr-FR"/>
        </w:rPr>
      </w:pPr>
    </w:p>
    <w:p w:rsidR="0047403E" w:rsidRPr="0047403E" w:rsidRDefault="0047403E" w:rsidP="0047403E">
      <w:pPr>
        <w:pStyle w:val="SingleTxt"/>
        <w:spacing w:after="0" w:line="120" w:lineRule="exact"/>
        <w:rPr>
          <w:sz w:val="10"/>
          <w:lang w:val="fr-FR"/>
        </w:rPr>
      </w:pPr>
    </w:p>
    <w:p w:rsidR="00901051" w:rsidRDefault="00377420" w:rsidP="004740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02B6">
        <w:rPr>
          <w:lang w:val="fr-FR"/>
        </w:rPr>
        <w:tab/>
      </w:r>
      <w:r w:rsidRPr="00CA02B6">
        <w:rPr>
          <w:lang w:val="fr-FR"/>
        </w:rPr>
        <w:tab/>
        <w:t>Note du secrétariat</w:t>
      </w:r>
    </w:p>
    <w:p w:rsidR="0047403E" w:rsidRPr="0047403E" w:rsidRDefault="0047403E" w:rsidP="0047403E">
      <w:pPr>
        <w:pStyle w:val="SingleTxt"/>
        <w:spacing w:after="0" w:line="120" w:lineRule="exact"/>
        <w:rPr>
          <w:sz w:val="10"/>
          <w:lang w:val="fr-FR"/>
        </w:rPr>
      </w:pPr>
    </w:p>
    <w:p w:rsidR="0047403E" w:rsidRPr="0047403E" w:rsidRDefault="0047403E" w:rsidP="0047403E">
      <w:pPr>
        <w:pStyle w:val="SingleTxt"/>
        <w:spacing w:after="0" w:line="120" w:lineRule="exact"/>
        <w:rPr>
          <w:sz w:val="10"/>
          <w:lang w:val="fr-FR"/>
        </w:rPr>
      </w:pPr>
    </w:p>
    <w:p w:rsidR="0047403E" w:rsidRPr="0047403E" w:rsidRDefault="0047403E" w:rsidP="0047403E">
      <w:pPr>
        <w:pStyle w:val="SingleTxt"/>
        <w:spacing w:after="0" w:line="120" w:lineRule="exact"/>
        <w:rPr>
          <w:sz w:val="10"/>
          <w:lang w:val="fr-FR"/>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377420" w:rsidTr="00377420">
        <w:tc>
          <w:tcPr>
            <w:tcW w:w="10051" w:type="dxa"/>
            <w:tcBorders>
              <w:top w:val="single" w:sz="2" w:space="0" w:color="auto"/>
            </w:tcBorders>
            <w:shd w:val="clear" w:color="auto" w:fill="auto"/>
          </w:tcPr>
          <w:p w:rsidR="00377420" w:rsidRPr="00377420" w:rsidRDefault="00377420" w:rsidP="00377420">
            <w:pPr>
              <w:tabs>
                <w:tab w:val="left" w:pos="240"/>
              </w:tabs>
              <w:spacing w:before="240" w:after="120"/>
              <w:rPr>
                <w:i/>
                <w:sz w:val="24"/>
              </w:rPr>
            </w:pPr>
            <w:r>
              <w:rPr>
                <w:i/>
                <w:sz w:val="24"/>
              </w:rPr>
              <w:tab/>
              <w:t>Résumé</w:t>
            </w:r>
          </w:p>
        </w:tc>
      </w:tr>
      <w:tr w:rsidR="00377420" w:rsidTr="00377420">
        <w:tc>
          <w:tcPr>
            <w:tcW w:w="10051" w:type="dxa"/>
            <w:shd w:val="clear" w:color="auto" w:fill="auto"/>
          </w:tcPr>
          <w:p w:rsidR="00377420" w:rsidRPr="00377420" w:rsidRDefault="00377420" w:rsidP="00377420">
            <w:pPr>
              <w:pStyle w:val="SingleTxt"/>
            </w:pPr>
            <w:r>
              <w:tab/>
            </w:r>
            <w:r w:rsidRPr="00CA02B6">
              <w:rPr>
                <w:lang w:val="fr-FR"/>
              </w:rPr>
              <w:t>En réponse à la demande qu</w:t>
            </w:r>
            <w:r>
              <w:rPr>
                <w:lang w:val="fr-FR"/>
              </w:rPr>
              <w:t>’</w:t>
            </w:r>
            <w:r w:rsidR="006923F0">
              <w:rPr>
                <w:lang w:val="fr-FR"/>
              </w:rPr>
              <w:t>il avait formulée à sa soixante-</w:t>
            </w:r>
            <w:r w:rsidRPr="00CA02B6">
              <w:rPr>
                <w:lang w:val="fr-FR"/>
              </w:rPr>
              <w:t>dix-septième session, le Comité souhaitera peut-être être informé de l</w:t>
            </w:r>
            <w:r>
              <w:rPr>
                <w:lang w:val="fr-FR"/>
              </w:rPr>
              <w:t>’</w:t>
            </w:r>
            <w:r w:rsidRPr="00CA02B6">
              <w:rPr>
                <w:lang w:val="fr-FR"/>
              </w:rPr>
              <w:t>état d</w:t>
            </w:r>
            <w:r>
              <w:rPr>
                <w:lang w:val="fr-FR"/>
              </w:rPr>
              <w:t>’</w:t>
            </w:r>
            <w:r w:rsidRPr="00CA02B6">
              <w:rPr>
                <w:lang w:val="fr-FR"/>
              </w:rPr>
              <w:t>avancement de l</w:t>
            </w:r>
            <w:r>
              <w:rPr>
                <w:lang w:val="fr-FR"/>
              </w:rPr>
              <w:t>’</w:t>
            </w:r>
            <w:r w:rsidRPr="00CA02B6">
              <w:rPr>
                <w:lang w:val="fr-FR"/>
              </w:rPr>
              <w:t>application des recommandations qui sont énoncées dans le Livre blanc sur l</w:t>
            </w:r>
            <w:r>
              <w:rPr>
                <w:lang w:val="fr-FR"/>
              </w:rPr>
              <w:t>’</w:t>
            </w:r>
            <w:r w:rsidRPr="00CA02B6">
              <w:rPr>
                <w:lang w:val="fr-FR"/>
              </w:rPr>
              <w:t>efficacité et la viabilité du transport par voie navigable en Europe.</w:t>
            </w:r>
          </w:p>
        </w:tc>
      </w:tr>
      <w:tr w:rsidR="00377420" w:rsidTr="00377420">
        <w:tc>
          <w:tcPr>
            <w:tcW w:w="10051" w:type="dxa"/>
            <w:shd w:val="clear" w:color="auto" w:fill="auto"/>
          </w:tcPr>
          <w:p w:rsidR="00377420" w:rsidRPr="00377420" w:rsidRDefault="00377420" w:rsidP="004A5E67">
            <w:pPr>
              <w:pStyle w:val="SingleTxt"/>
            </w:pPr>
            <w:r>
              <w:rPr>
                <w:lang w:val="fr-FR"/>
              </w:rPr>
              <w:tab/>
            </w:r>
            <w:r w:rsidRPr="00CA02B6">
              <w:rPr>
                <w:lang w:val="fr-FR"/>
              </w:rPr>
              <w:t>Il souhaitera peut-être également noter qu</w:t>
            </w:r>
            <w:r>
              <w:rPr>
                <w:lang w:val="fr-FR"/>
              </w:rPr>
              <w:t>’</w:t>
            </w:r>
            <w:r w:rsidRPr="00CA02B6">
              <w:rPr>
                <w:lang w:val="fr-FR"/>
              </w:rPr>
              <w:t xml:space="preserve">en étroite coopération avec les États </w:t>
            </w:r>
            <w:r w:rsidR="004A5E67" w:rsidRPr="00CA02B6">
              <w:rPr>
                <w:lang w:val="fr-FR"/>
              </w:rPr>
              <w:t>membres</w:t>
            </w:r>
            <w:r w:rsidRPr="00CA02B6">
              <w:rPr>
                <w:lang w:val="fr-FR"/>
              </w:rPr>
              <w:t>, les commissions fluviales et d</w:t>
            </w:r>
            <w:r>
              <w:rPr>
                <w:lang w:val="fr-FR"/>
              </w:rPr>
              <w:t>’</w:t>
            </w:r>
            <w:r w:rsidRPr="00CA02B6">
              <w:rPr>
                <w:lang w:val="fr-FR"/>
              </w:rPr>
              <w:t>autres parties prenantes, le Groupe de travail des transports par voie navigable</w:t>
            </w:r>
            <w:r w:rsidR="004A5E67">
              <w:rPr>
                <w:lang w:val="fr-FR"/>
              </w:rPr>
              <w:t xml:space="preserve"> </w:t>
            </w:r>
            <w:r w:rsidRPr="00CA02B6">
              <w:rPr>
                <w:lang w:val="fr-FR"/>
              </w:rPr>
              <w:t xml:space="preserve">(SC.3) a </w:t>
            </w:r>
            <w:r w:rsidR="004A5E67">
              <w:rPr>
                <w:lang w:val="fr-FR"/>
              </w:rPr>
              <w:t>entamé les préparatifs et les travaux d’organisation d’</w:t>
            </w:r>
            <w:r w:rsidRPr="00CA02B6">
              <w:rPr>
                <w:lang w:val="fr-FR"/>
              </w:rPr>
              <w:t>une conférence internationale de haut niveau qui sera ouverte à la participation de tous les pays du monde intéressés par la navigation intérieure et se tiendra en 2016-2017, ainsi que l</w:t>
            </w:r>
            <w:r>
              <w:rPr>
                <w:lang w:val="fr-FR"/>
              </w:rPr>
              <w:t>’</w:t>
            </w:r>
            <w:r w:rsidRPr="00CA02B6">
              <w:rPr>
                <w:lang w:val="fr-FR"/>
              </w:rPr>
              <w:t>a demandé le Comité des transports intéri</w:t>
            </w:r>
            <w:r w:rsidR="0047403E">
              <w:rPr>
                <w:lang w:val="fr-FR"/>
              </w:rPr>
              <w:t>eurs (CTI) (ECE/TRANS/236, par. </w:t>
            </w:r>
            <w:r w:rsidRPr="00CA02B6">
              <w:rPr>
                <w:lang w:val="fr-FR"/>
              </w:rPr>
              <w:t>31). Le suivi de la conférence et l</w:t>
            </w:r>
            <w:r>
              <w:rPr>
                <w:lang w:val="fr-FR"/>
              </w:rPr>
              <w:t>’</w:t>
            </w:r>
            <w:r w:rsidRPr="00CA02B6">
              <w:rPr>
                <w:lang w:val="fr-FR"/>
              </w:rPr>
              <w:t>exécution des tâches prévues après 2015 contribueront à la poursuite de l</w:t>
            </w:r>
            <w:r>
              <w:rPr>
                <w:lang w:val="fr-FR"/>
              </w:rPr>
              <w:t>’</w:t>
            </w:r>
            <w:r w:rsidRPr="00CA02B6">
              <w:rPr>
                <w:lang w:val="fr-FR"/>
              </w:rPr>
              <w:t>application par le SC.3 et par le Groupe de travail de l</w:t>
            </w:r>
            <w:r>
              <w:rPr>
                <w:lang w:val="fr-FR"/>
              </w:rPr>
              <w:t>’</w:t>
            </w:r>
            <w:r w:rsidRPr="00CA02B6">
              <w:rPr>
                <w:lang w:val="fr-FR"/>
              </w:rPr>
              <w:t>unification des prescriptions techniques et de sécurité en navigation intérieure des recommandations énoncées dans le Livre blanc.</w:t>
            </w:r>
          </w:p>
        </w:tc>
      </w:tr>
      <w:tr w:rsidR="00377420" w:rsidTr="00377420">
        <w:tc>
          <w:tcPr>
            <w:tcW w:w="10051" w:type="dxa"/>
            <w:tcBorders>
              <w:bottom w:val="single" w:sz="2" w:space="0" w:color="auto"/>
            </w:tcBorders>
            <w:shd w:val="clear" w:color="auto" w:fill="auto"/>
          </w:tcPr>
          <w:p w:rsidR="00377420" w:rsidRPr="00377420" w:rsidRDefault="00377420" w:rsidP="00377420">
            <w:pPr>
              <w:pStyle w:val="SingleTxt"/>
            </w:pPr>
          </w:p>
        </w:tc>
      </w:tr>
    </w:tbl>
    <w:p w:rsidR="00EC3DAD" w:rsidRPr="0047403E" w:rsidRDefault="00EC3DAD" w:rsidP="0047403E">
      <w:pPr>
        <w:pStyle w:val="SingleTxt"/>
        <w:spacing w:after="0" w:line="120" w:lineRule="exact"/>
        <w:rPr>
          <w:sz w:val="10"/>
        </w:rPr>
      </w:pPr>
    </w:p>
    <w:p w:rsidR="0047403E" w:rsidRPr="0047403E" w:rsidRDefault="0047403E" w:rsidP="0047403E">
      <w:pPr>
        <w:pStyle w:val="SingleTxt"/>
        <w:spacing w:after="0" w:line="120" w:lineRule="exact"/>
        <w:rPr>
          <w:sz w:val="10"/>
        </w:rPr>
      </w:pPr>
    </w:p>
    <w:p w:rsidR="0047403E" w:rsidRPr="0047403E" w:rsidRDefault="0047403E" w:rsidP="0047403E">
      <w:pPr>
        <w:pStyle w:val="SingleTxt"/>
        <w:spacing w:after="0" w:line="120" w:lineRule="exact"/>
        <w:rPr>
          <w:sz w:val="10"/>
        </w:rPr>
      </w:pPr>
    </w:p>
    <w:p w:rsidR="00EC3DAD" w:rsidRDefault="0047403E" w:rsidP="004740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EC3DAD" w:rsidRPr="00CA02B6">
        <w:rPr>
          <w:lang w:val="fr-FR"/>
        </w:rPr>
        <w:t>I.</w:t>
      </w:r>
      <w:r w:rsidR="00EC3DAD" w:rsidRPr="00CA02B6">
        <w:rPr>
          <w:lang w:val="fr-FR"/>
        </w:rPr>
        <w:tab/>
        <w:t>Mandat</w:t>
      </w:r>
    </w:p>
    <w:p w:rsidR="0047403E" w:rsidRPr="0047403E" w:rsidRDefault="0047403E" w:rsidP="0047403E">
      <w:pPr>
        <w:pStyle w:val="SingleTxt"/>
        <w:keepNext/>
        <w:keepLines/>
        <w:spacing w:after="0" w:line="120" w:lineRule="exact"/>
        <w:rPr>
          <w:sz w:val="10"/>
          <w:lang w:val="fr-FR"/>
        </w:rPr>
      </w:pPr>
    </w:p>
    <w:p w:rsidR="0047403E" w:rsidRPr="0047403E" w:rsidRDefault="0047403E" w:rsidP="0047403E">
      <w:pPr>
        <w:pStyle w:val="SingleTxt"/>
        <w:keepNext/>
        <w:keepLines/>
        <w:spacing w:after="0" w:line="120" w:lineRule="exact"/>
        <w:rPr>
          <w:sz w:val="10"/>
          <w:lang w:val="fr-FR"/>
        </w:rPr>
      </w:pPr>
    </w:p>
    <w:p w:rsidR="00EC3DAD" w:rsidRPr="00CA02B6" w:rsidRDefault="00EC3DAD" w:rsidP="0047403E">
      <w:pPr>
        <w:pStyle w:val="SingleTxt"/>
        <w:keepNext/>
        <w:keepLines/>
        <w:numPr>
          <w:ilvl w:val="0"/>
          <w:numId w:val="10"/>
        </w:numPr>
        <w:ind w:left="1267" w:firstLine="0"/>
        <w:rPr>
          <w:szCs w:val="24"/>
          <w:lang w:val="fr-FR"/>
        </w:rPr>
      </w:pPr>
      <w:r w:rsidRPr="00CA02B6">
        <w:rPr>
          <w:lang w:val="fr-FR"/>
        </w:rPr>
        <w:t>Le présent document est soumis conformément aux activités et rés</w:t>
      </w:r>
      <w:r w:rsidR="0047403E">
        <w:rPr>
          <w:lang w:val="fr-FR"/>
        </w:rPr>
        <w:t>ultats escomptés dans le module </w:t>
      </w:r>
      <w:r w:rsidRPr="00CA02B6">
        <w:rPr>
          <w:lang w:val="fr-FR"/>
        </w:rPr>
        <w:t>5</w:t>
      </w:r>
      <w:r w:rsidR="0047403E">
        <w:rPr>
          <w:lang w:val="fr-FR"/>
        </w:rPr>
        <w:t> </w:t>
      </w:r>
      <w:r w:rsidRPr="00CA02B6">
        <w:rPr>
          <w:lang w:val="fr-FR"/>
        </w:rPr>
        <w:t>: transport</w:t>
      </w:r>
      <w:r w:rsidR="0047403E">
        <w:rPr>
          <w:lang w:val="fr-FR"/>
        </w:rPr>
        <w:t xml:space="preserve"> par voie navigable, paragraphe </w:t>
      </w:r>
      <w:r w:rsidRPr="00CA02B6">
        <w:rPr>
          <w:lang w:val="fr-FR"/>
        </w:rPr>
        <w:t xml:space="preserve">5.1 du programme de travail 2014-2015 (ECE/TRANS/2014/23) adopté par le Comité des </w:t>
      </w:r>
      <w:r w:rsidR="0047403E">
        <w:rPr>
          <w:lang w:val="fr-FR"/>
        </w:rPr>
        <w:t>transports intérieurs le 27 </w:t>
      </w:r>
      <w:r w:rsidRPr="00CA02B6">
        <w:rPr>
          <w:lang w:val="fr-FR"/>
        </w:rPr>
        <w:t>février 2014.</w:t>
      </w:r>
    </w:p>
    <w:p w:rsidR="00EC3DAD" w:rsidRPr="00CA02B6" w:rsidRDefault="00EC3DAD" w:rsidP="0047403E">
      <w:pPr>
        <w:pStyle w:val="SingleTxt"/>
        <w:numPr>
          <w:ilvl w:val="0"/>
          <w:numId w:val="10"/>
        </w:numPr>
        <w:ind w:left="1267" w:firstLine="0"/>
        <w:rPr>
          <w:szCs w:val="24"/>
          <w:lang w:val="fr-FR"/>
        </w:rPr>
      </w:pPr>
      <w:r w:rsidRPr="00CA02B6">
        <w:rPr>
          <w:lang w:val="fr-FR"/>
        </w:rPr>
        <w:t>À sa soixante-dix-septième session, le Comité des transports intérieurs (CTI) a rappelé au groupe de travail ses décisions concernant les recommandations énoncées dans le Livre blanc sur l</w:t>
      </w:r>
      <w:r>
        <w:rPr>
          <w:lang w:val="fr-FR"/>
        </w:rPr>
        <w:t>’</w:t>
      </w:r>
      <w:r w:rsidRPr="00CA02B6">
        <w:rPr>
          <w:lang w:val="fr-FR"/>
        </w:rPr>
        <w:t xml:space="preserve">efficacité et la viabilité du transport par voie navigable en Europe, publié en 2011, et a prié le Groupe de travail des transports par voie navigable (ci-après </w:t>
      </w:r>
      <w:r w:rsidR="0047403E">
        <w:rPr>
          <w:lang w:val="fr-FR"/>
        </w:rPr>
        <w:t>« </w:t>
      </w:r>
      <w:r w:rsidRPr="00CA02B6">
        <w:rPr>
          <w:lang w:val="fr-FR"/>
        </w:rPr>
        <w:t>le SC.3</w:t>
      </w:r>
      <w:r w:rsidR="0047403E">
        <w:rPr>
          <w:lang w:val="fr-FR"/>
        </w:rPr>
        <w:t> »</w:t>
      </w:r>
      <w:r w:rsidRPr="00CA02B6">
        <w:rPr>
          <w:lang w:val="fr-FR"/>
        </w:rPr>
        <w:t>), le Groupe de travail de l</w:t>
      </w:r>
      <w:r>
        <w:rPr>
          <w:lang w:val="fr-FR"/>
        </w:rPr>
        <w:t>’</w:t>
      </w:r>
      <w:r w:rsidRPr="00CA02B6">
        <w:rPr>
          <w:lang w:val="fr-FR"/>
        </w:rPr>
        <w:t xml:space="preserve">unification des prescriptions techniques et de sécurité en navigation intérieure (ci-après </w:t>
      </w:r>
      <w:r w:rsidR="0047403E">
        <w:rPr>
          <w:lang w:val="fr-FR"/>
        </w:rPr>
        <w:t>« </w:t>
      </w:r>
      <w:r w:rsidRPr="00CA02B6">
        <w:rPr>
          <w:lang w:val="fr-FR"/>
        </w:rPr>
        <w:t>le SC.3/WP.3</w:t>
      </w:r>
      <w:r w:rsidR="0047403E">
        <w:rPr>
          <w:lang w:val="fr-FR"/>
        </w:rPr>
        <w:t> »</w:t>
      </w:r>
      <w:r w:rsidRPr="00CA02B6">
        <w:rPr>
          <w:lang w:val="fr-FR"/>
        </w:rPr>
        <w:t>) et le secrétariat de présenter un rapport sur l</w:t>
      </w:r>
      <w:r>
        <w:rPr>
          <w:lang w:val="fr-FR"/>
        </w:rPr>
        <w:t>’</w:t>
      </w:r>
      <w:r w:rsidRPr="00CA02B6">
        <w:rPr>
          <w:lang w:val="fr-FR"/>
        </w:rPr>
        <w:t>état d</w:t>
      </w:r>
      <w:r>
        <w:rPr>
          <w:lang w:val="fr-FR"/>
        </w:rPr>
        <w:t>’</w:t>
      </w:r>
      <w:r w:rsidRPr="00CA02B6">
        <w:rPr>
          <w:lang w:val="fr-FR"/>
        </w:rPr>
        <w:t>avancement de la mise en œuvre de ces recommandations à la soixante-dix-huitième sessio</w:t>
      </w:r>
      <w:r w:rsidR="004A5E67">
        <w:rPr>
          <w:lang w:val="fr-FR"/>
        </w:rPr>
        <w:t>n du Comité (ECE/TRANS/248, par. </w:t>
      </w:r>
      <w:r w:rsidRPr="00CA02B6">
        <w:rPr>
          <w:lang w:val="fr-FR"/>
        </w:rPr>
        <w:t>92).</w:t>
      </w:r>
    </w:p>
    <w:p w:rsidR="00EC3DAD" w:rsidRPr="004A5E67" w:rsidRDefault="00EC3DAD" w:rsidP="004A5E67">
      <w:pPr>
        <w:pStyle w:val="SingleTxt"/>
        <w:numPr>
          <w:ilvl w:val="0"/>
          <w:numId w:val="10"/>
        </w:numPr>
        <w:ind w:left="1267" w:firstLine="0"/>
        <w:rPr>
          <w:szCs w:val="24"/>
          <w:lang w:val="fr-FR"/>
        </w:rPr>
      </w:pPr>
      <w:r w:rsidRPr="00CA02B6">
        <w:rPr>
          <w:lang w:val="fr-FR"/>
        </w:rPr>
        <w:t>À sa cinquante-neuvième session, le SC.3 a approuvé le rapport sur l</w:t>
      </w:r>
      <w:r>
        <w:rPr>
          <w:lang w:val="fr-FR"/>
        </w:rPr>
        <w:t>’</w:t>
      </w:r>
      <w:r w:rsidRPr="00CA02B6">
        <w:rPr>
          <w:lang w:val="fr-FR"/>
        </w:rPr>
        <w:t>état d</w:t>
      </w:r>
      <w:r>
        <w:rPr>
          <w:lang w:val="fr-FR"/>
        </w:rPr>
        <w:t>’</w:t>
      </w:r>
      <w:r w:rsidRPr="00CA02B6">
        <w:rPr>
          <w:lang w:val="fr-FR"/>
        </w:rPr>
        <w:t xml:space="preserve">avancement de la mise en œuvre des recommandations de politique générale formulées dans le Livre </w:t>
      </w:r>
      <w:r w:rsidR="004A5E67">
        <w:rPr>
          <w:lang w:val="fr-FR"/>
        </w:rPr>
        <w:t>blanc (ECE/TRANS/SC.3/201, par. </w:t>
      </w:r>
      <w:r w:rsidRPr="00CA02B6">
        <w:rPr>
          <w:lang w:val="fr-FR"/>
        </w:rPr>
        <w:t xml:space="preserve">12) et a demandé au secrétariat de le </w:t>
      </w:r>
      <w:r w:rsidR="008C2835">
        <w:rPr>
          <w:lang w:val="fr-FR"/>
        </w:rPr>
        <w:t>transmettre au CTI à sa</w:t>
      </w:r>
      <w:r w:rsidRPr="00CA02B6">
        <w:rPr>
          <w:lang w:val="fr-FR"/>
        </w:rPr>
        <w:t xml:space="preserve"> soixante-dix-huitième session.</w:t>
      </w:r>
    </w:p>
    <w:p w:rsidR="004A5E67" w:rsidRPr="004A5E67" w:rsidRDefault="004A5E67" w:rsidP="004A5E67">
      <w:pPr>
        <w:pStyle w:val="SingleTxt"/>
        <w:spacing w:after="0" w:line="120" w:lineRule="exact"/>
        <w:rPr>
          <w:sz w:val="10"/>
          <w:lang w:val="fr-FR"/>
        </w:rPr>
      </w:pPr>
    </w:p>
    <w:p w:rsidR="004A5E67" w:rsidRPr="004A5E67" w:rsidRDefault="004A5E67" w:rsidP="004A5E67">
      <w:pPr>
        <w:pStyle w:val="SingleTxt"/>
        <w:spacing w:after="0" w:line="120" w:lineRule="exact"/>
        <w:rPr>
          <w:sz w:val="10"/>
          <w:lang w:val="fr-FR"/>
        </w:rPr>
      </w:pPr>
    </w:p>
    <w:p w:rsidR="00EC3DAD" w:rsidRDefault="00EC3DAD" w:rsidP="00A359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02B6">
        <w:rPr>
          <w:lang w:val="fr-FR"/>
        </w:rPr>
        <w:tab/>
        <w:t>II.</w:t>
      </w:r>
      <w:r w:rsidRPr="00CA02B6">
        <w:rPr>
          <w:lang w:val="fr-FR"/>
        </w:rPr>
        <w:tab/>
        <w:t>Recommandations générale</w:t>
      </w:r>
      <w:r w:rsidR="00A359BD">
        <w:rPr>
          <w:lang w:val="fr-FR"/>
        </w:rPr>
        <w:t>s</w:t>
      </w:r>
      <w:r w:rsidRPr="00CA02B6">
        <w:rPr>
          <w:lang w:val="fr-FR"/>
        </w:rPr>
        <w:t xml:space="preserve"> énoncées </w:t>
      </w:r>
      <w:r w:rsidR="00A359BD">
        <w:rPr>
          <w:lang w:val="fr-FR"/>
        </w:rPr>
        <w:br/>
      </w:r>
      <w:r w:rsidRPr="00CA02B6">
        <w:rPr>
          <w:lang w:val="fr-FR"/>
        </w:rPr>
        <w:t>dans le Livre blanc sur l</w:t>
      </w:r>
      <w:r>
        <w:rPr>
          <w:lang w:val="fr-FR"/>
        </w:rPr>
        <w:t>’</w:t>
      </w:r>
      <w:r w:rsidRPr="00CA02B6">
        <w:rPr>
          <w:lang w:val="fr-FR"/>
        </w:rPr>
        <w:t xml:space="preserve">efficacité et la viabilité </w:t>
      </w:r>
      <w:r w:rsidR="00A359BD">
        <w:rPr>
          <w:lang w:val="fr-FR"/>
        </w:rPr>
        <w:br/>
      </w:r>
      <w:r w:rsidRPr="00CA02B6">
        <w:rPr>
          <w:lang w:val="fr-FR"/>
        </w:rPr>
        <w:t>du transport par voie navigable en Europe</w:t>
      </w:r>
    </w:p>
    <w:p w:rsidR="00A359BD" w:rsidRPr="00A359BD" w:rsidRDefault="00A359BD" w:rsidP="00A359BD">
      <w:pPr>
        <w:pStyle w:val="SingleTxt"/>
        <w:spacing w:after="0" w:line="120" w:lineRule="exact"/>
        <w:rPr>
          <w:sz w:val="10"/>
          <w:lang w:val="fr-FR"/>
        </w:rPr>
      </w:pPr>
    </w:p>
    <w:p w:rsidR="00A359BD" w:rsidRPr="00A359BD" w:rsidRDefault="00A359BD" w:rsidP="00A359BD">
      <w:pPr>
        <w:pStyle w:val="SingleTxt"/>
        <w:spacing w:after="0" w:line="120" w:lineRule="exact"/>
        <w:rPr>
          <w:sz w:val="10"/>
          <w:lang w:val="fr-FR"/>
        </w:rPr>
      </w:pPr>
    </w:p>
    <w:p w:rsidR="00EC3DAD" w:rsidRPr="00CA02B6" w:rsidRDefault="00EC3DAD" w:rsidP="00A359BD">
      <w:pPr>
        <w:pStyle w:val="SingleTxt"/>
        <w:numPr>
          <w:ilvl w:val="0"/>
          <w:numId w:val="10"/>
        </w:numPr>
        <w:ind w:left="1267" w:firstLine="0"/>
        <w:rPr>
          <w:szCs w:val="24"/>
          <w:lang w:val="fr-FR"/>
        </w:rPr>
      </w:pPr>
      <w:r w:rsidRPr="00CA02B6">
        <w:rPr>
          <w:lang w:val="fr-FR"/>
        </w:rPr>
        <w:t>Le Livre blanc sur l</w:t>
      </w:r>
      <w:r>
        <w:rPr>
          <w:lang w:val="fr-FR"/>
        </w:rPr>
        <w:t>’</w:t>
      </w:r>
      <w:r w:rsidRPr="00CA02B6">
        <w:rPr>
          <w:lang w:val="fr-FR"/>
        </w:rPr>
        <w:t>efficacité et la viabilité du transport par voie navigable en Europe, qui contient des recommandations stratégiques générales pour le développement de la navigation intérieure au niveau paneuropéen, a été achevé en 2010, approuvé par le CTI en mars 2011 et publié en juillet 2011.</w:t>
      </w:r>
    </w:p>
    <w:p w:rsidR="00EC3DAD" w:rsidRPr="00CA02B6" w:rsidRDefault="00EC3DAD" w:rsidP="00923BEC">
      <w:pPr>
        <w:pStyle w:val="SingleTxt"/>
        <w:keepNext/>
        <w:numPr>
          <w:ilvl w:val="0"/>
          <w:numId w:val="10"/>
        </w:numPr>
        <w:ind w:left="1267" w:firstLine="0"/>
        <w:rPr>
          <w:szCs w:val="24"/>
          <w:lang w:val="fr-FR"/>
        </w:rPr>
      </w:pPr>
      <w:r w:rsidRPr="00CA02B6">
        <w:rPr>
          <w:lang w:val="fr-FR"/>
        </w:rPr>
        <w:t>Sur la base de l</w:t>
      </w:r>
      <w:r>
        <w:rPr>
          <w:lang w:val="fr-FR"/>
        </w:rPr>
        <w:t>’</w:t>
      </w:r>
      <w:r w:rsidRPr="00CA02B6">
        <w:rPr>
          <w:lang w:val="fr-FR"/>
        </w:rPr>
        <w:t>examen des transports par voie</w:t>
      </w:r>
      <w:r w:rsidR="006923F0">
        <w:rPr>
          <w:lang w:val="fr-FR"/>
        </w:rPr>
        <w:t xml:space="preserve"> navigable pour la période 1996</w:t>
      </w:r>
      <w:r w:rsidR="006923F0">
        <w:rPr>
          <w:lang w:val="fr-FR"/>
        </w:rPr>
        <w:noBreakHyphen/>
      </w:r>
      <w:r w:rsidRPr="00CA02B6">
        <w:rPr>
          <w:lang w:val="fr-FR"/>
        </w:rPr>
        <w:t xml:space="preserve">2011, sept domaines prioritaires ont été recensés dans le Livre blanc </w:t>
      </w:r>
      <w:r w:rsidR="006923F0">
        <w:rPr>
          <w:lang w:val="fr-FR"/>
        </w:rPr>
        <w:t>aux fins du renforcement de</w:t>
      </w:r>
      <w:r w:rsidR="00A359BD">
        <w:rPr>
          <w:lang w:val="fr-FR"/>
        </w:rPr>
        <w:t xml:space="preserve"> </w:t>
      </w:r>
      <w:r w:rsidRPr="00CA02B6">
        <w:rPr>
          <w:lang w:val="fr-FR"/>
        </w:rPr>
        <w:t>l</w:t>
      </w:r>
      <w:r>
        <w:rPr>
          <w:lang w:val="fr-FR"/>
        </w:rPr>
        <w:t>’</w:t>
      </w:r>
      <w:r w:rsidRPr="00CA02B6">
        <w:rPr>
          <w:lang w:val="fr-FR"/>
        </w:rPr>
        <w:t xml:space="preserve">efficacité et </w:t>
      </w:r>
      <w:r w:rsidR="00A359BD">
        <w:rPr>
          <w:lang w:val="fr-FR"/>
        </w:rPr>
        <w:t xml:space="preserve">de </w:t>
      </w:r>
      <w:r w:rsidRPr="00CA02B6">
        <w:rPr>
          <w:lang w:val="fr-FR"/>
        </w:rPr>
        <w:t>la viabilité de ces transports dans la région de la CEE et des recommandations ont été p</w:t>
      </w:r>
      <w:r w:rsidR="00A359BD">
        <w:rPr>
          <w:lang w:val="fr-FR"/>
        </w:rPr>
        <w:t>roposées dans ces sept domaines </w:t>
      </w:r>
      <w:r w:rsidRPr="00CA02B6">
        <w:rPr>
          <w:lang w:val="fr-FR"/>
        </w:rPr>
        <w:t>:</w:t>
      </w:r>
    </w:p>
    <w:p w:rsidR="00EC3DAD" w:rsidRPr="00CA02B6" w:rsidRDefault="00A359BD" w:rsidP="00A359BD">
      <w:pPr>
        <w:pStyle w:val="SingleTxt"/>
        <w:rPr>
          <w:szCs w:val="24"/>
          <w:lang w:val="fr-FR"/>
        </w:rPr>
      </w:pPr>
      <w:r>
        <w:rPr>
          <w:lang w:val="fr-FR"/>
        </w:rPr>
        <w:tab/>
      </w:r>
      <w:r w:rsidR="00EC3DAD" w:rsidRPr="00CA02B6">
        <w:rPr>
          <w:lang w:val="fr-FR"/>
        </w:rPr>
        <w:t>a)</w:t>
      </w:r>
      <w:r w:rsidR="00EC3DAD" w:rsidRPr="00CA02B6">
        <w:rPr>
          <w:lang w:val="fr-FR"/>
        </w:rPr>
        <w:tab/>
        <w:t>Recommandation n</w:t>
      </w:r>
      <w:r w:rsidR="00EC3DAD" w:rsidRPr="00DE526D">
        <w:rPr>
          <w:vertAlign w:val="superscript"/>
          <w:lang w:val="fr-FR"/>
        </w:rPr>
        <w:t>o</w:t>
      </w:r>
      <w:r w:rsidR="00EC3DAD" w:rsidRPr="00A359BD">
        <w:rPr>
          <w:lang w:val="fr-FR"/>
        </w:rPr>
        <w:t> </w:t>
      </w:r>
      <w:r>
        <w:rPr>
          <w:lang w:val="fr-FR"/>
        </w:rPr>
        <w:t>1 </w:t>
      </w:r>
      <w:r w:rsidR="00EC3DAD" w:rsidRPr="00CA02B6">
        <w:rPr>
          <w:lang w:val="fr-FR"/>
        </w:rPr>
        <w:t>: Mettre pleinement à profit les mécanismes paneuropéens lors du développement coordonné du réseau de voies navigables de catégorie E (Promouvoir l</w:t>
      </w:r>
      <w:r w:rsidR="00EC3DAD">
        <w:rPr>
          <w:lang w:val="fr-FR"/>
        </w:rPr>
        <w:t>’</w:t>
      </w:r>
      <w:r>
        <w:rPr>
          <w:lang w:val="fr-FR"/>
        </w:rPr>
        <w:t>Accord AGN, renforcer</w:t>
      </w:r>
      <w:r w:rsidR="00EC3DAD" w:rsidRPr="00CA02B6">
        <w:rPr>
          <w:lang w:val="fr-FR"/>
        </w:rPr>
        <w:t xml:space="preserve"> le</w:t>
      </w:r>
      <w:r>
        <w:rPr>
          <w:lang w:val="fr-FR"/>
        </w:rPr>
        <w:t>s</w:t>
      </w:r>
      <w:r w:rsidR="00EC3DAD" w:rsidRPr="00CA02B6">
        <w:rPr>
          <w:lang w:val="fr-FR"/>
        </w:rPr>
        <w:t xml:space="preserve"> mécanisme</w:t>
      </w:r>
      <w:r>
        <w:rPr>
          <w:lang w:val="fr-FR"/>
        </w:rPr>
        <w:t>s</w:t>
      </w:r>
      <w:r w:rsidR="00EC3DAD" w:rsidRPr="00CA02B6">
        <w:rPr>
          <w:lang w:val="fr-FR"/>
        </w:rPr>
        <w:t xml:space="preserve"> de contrôle et établir des groupes d</w:t>
      </w:r>
      <w:r w:rsidR="00EC3DAD">
        <w:rPr>
          <w:lang w:val="fr-FR"/>
        </w:rPr>
        <w:t>’</w:t>
      </w:r>
      <w:r w:rsidR="00EC3DAD" w:rsidRPr="00CA02B6">
        <w:rPr>
          <w:lang w:val="fr-FR"/>
        </w:rPr>
        <w:t>experts chargés de coordonner le développement du réseau des voies navigables E);</w:t>
      </w:r>
    </w:p>
    <w:p w:rsidR="00EC3DAD" w:rsidRPr="00CA02B6" w:rsidRDefault="00EC3DAD" w:rsidP="00A359BD">
      <w:pPr>
        <w:pStyle w:val="SingleTxt"/>
        <w:rPr>
          <w:szCs w:val="24"/>
          <w:lang w:val="fr-FR"/>
        </w:rPr>
      </w:pPr>
      <w:r w:rsidRPr="00CA02B6">
        <w:rPr>
          <w:lang w:val="fr-FR"/>
        </w:rPr>
        <w:tab/>
        <w:t>b)</w:t>
      </w:r>
      <w:r w:rsidRPr="00CA02B6">
        <w:rPr>
          <w:lang w:val="fr-FR"/>
        </w:rPr>
        <w:tab/>
        <w:t>Recommandation n</w:t>
      </w:r>
      <w:r w:rsidRPr="00DE526D">
        <w:rPr>
          <w:vertAlign w:val="superscript"/>
          <w:lang w:val="fr-FR"/>
        </w:rPr>
        <w:t>o</w:t>
      </w:r>
      <w:r w:rsidRPr="00A359BD">
        <w:rPr>
          <w:lang w:val="fr-FR"/>
        </w:rPr>
        <w:t> </w:t>
      </w:r>
      <w:r w:rsidR="00A359BD">
        <w:rPr>
          <w:lang w:val="fr-FR"/>
        </w:rPr>
        <w:t>2 </w:t>
      </w:r>
      <w:r w:rsidRPr="00CA02B6">
        <w:rPr>
          <w:lang w:val="fr-FR"/>
        </w:rPr>
        <w:t>: Coordonner et appuyer des mesures visant à moderniser la flotte fluviale à l</w:t>
      </w:r>
      <w:r>
        <w:rPr>
          <w:lang w:val="fr-FR"/>
        </w:rPr>
        <w:t>’</w:t>
      </w:r>
      <w:r w:rsidRPr="00CA02B6">
        <w:rPr>
          <w:lang w:val="fr-FR"/>
        </w:rPr>
        <w:t>échelle paneuropéenne (renforcer le travail sur la mise à jour des normes paneuropéennes relatives aux prescriptions techniques applicables aux bateaux de navigation intérieure; promouvoir les études à l</w:t>
      </w:r>
      <w:r>
        <w:rPr>
          <w:lang w:val="fr-FR"/>
        </w:rPr>
        <w:t>’</w:t>
      </w:r>
      <w:r w:rsidRPr="00CA02B6">
        <w:rPr>
          <w:lang w:val="fr-FR"/>
        </w:rPr>
        <w:t>échelle de l</w:t>
      </w:r>
      <w:r>
        <w:rPr>
          <w:lang w:val="fr-FR"/>
        </w:rPr>
        <w:t>’</w:t>
      </w:r>
      <w:r w:rsidRPr="00CA02B6">
        <w:rPr>
          <w:lang w:val="fr-FR"/>
        </w:rPr>
        <w:t xml:space="preserve">Europe sur la modernisation de la flotte et le renforcement de son efficacité et poursuivre les travaux pour élaborer des prescriptions techniques applicables aux bateaux </w:t>
      </w:r>
      <w:proofErr w:type="spellStart"/>
      <w:r w:rsidRPr="00CA02B6">
        <w:rPr>
          <w:lang w:val="fr-FR"/>
        </w:rPr>
        <w:t>fluvio-maritimes</w:t>
      </w:r>
      <w:proofErr w:type="spellEnd"/>
      <w:r w:rsidRPr="00CA02B6">
        <w:rPr>
          <w:lang w:val="fr-FR"/>
        </w:rPr>
        <w:t xml:space="preserve">); </w:t>
      </w:r>
    </w:p>
    <w:p w:rsidR="00EC3DAD" w:rsidRPr="00CA02B6" w:rsidRDefault="00EC3DAD" w:rsidP="00A359BD">
      <w:pPr>
        <w:pStyle w:val="SingleTxt"/>
        <w:rPr>
          <w:szCs w:val="24"/>
          <w:lang w:val="fr-FR"/>
        </w:rPr>
      </w:pPr>
      <w:r w:rsidRPr="00CA02B6">
        <w:rPr>
          <w:lang w:val="fr-FR"/>
        </w:rPr>
        <w:tab/>
        <w:t>c)</w:t>
      </w:r>
      <w:r w:rsidRPr="00CA02B6">
        <w:rPr>
          <w:lang w:val="fr-FR"/>
        </w:rPr>
        <w:tab/>
        <w:t>Recommandation n</w:t>
      </w:r>
      <w:r w:rsidRPr="00DE526D">
        <w:rPr>
          <w:vertAlign w:val="superscript"/>
          <w:lang w:val="fr-FR"/>
        </w:rPr>
        <w:t>o</w:t>
      </w:r>
      <w:r w:rsidRPr="00A359BD">
        <w:rPr>
          <w:lang w:val="fr-FR"/>
        </w:rPr>
        <w:t> </w:t>
      </w:r>
      <w:r w:rsidR="00A359BD">
        <w:rPr>
          <w:lang w:val="fr-FR"/>
        </w:rPr>
        <w:t>3 </w:t>
      </w:r>
      <w:r w:rsidRPr="00CA02B6">
        <w:rPr>
          <w:lang w:val="fr-FR"/>
        </w:rPr>
        <w:t>: Promouvoir l</w:t>
      </w:r>
      <w:r>
        <w:rPr>
          <w:lang w:val="fr-FR"/>
        </w:rPr>
        <w:t>’</w:t>
      </w:r>
      <w:r w:rsidRPr="00CA02B6">
        <w:rPr>
          <w:lang w:val="fr-FR"/>
        </w:rPr>
        <w:t>usage des services d</w:t>
      </w:r>
      <w:r>
        <w:rPr>
          <w:lang w:val="fr-FR"/>
        </w:rPr>
        <w:t>’</w:t>
      </w:r>
      <w:r w:rsidRPr="00CA02B6">
        <w:rPr>
          <w:lang w:val="fr-FR"/>
        </w:rPr>
        <w:t>information fluviale et d</w:t>
      </w:r>
      <w:r>
        <w:rPr>
          <w:lang w:val="fr-FR"/>
        </w:rPr>
        <w:t>’</w:t>
      </w:r>
      <w:r w:rsidRPr="00CA02B6">
        <w:rPr>
          <w:lang w:val="fr-FR"/>
        </w:rPr>
        <w:t>autres technologies de l</w:t>
      </w:r>
      <w:r>
        <w:rPr>
          <w:lang w:val="fr-FR"/>
        </w:rPr>
        <w:t>’</w:t>
      </w:r>
      <w:r w:rsidRPr="00CA02B6">
        <w:rPr>
          <w:lang w:val="fr-FR"/>
        </w:rPr>
        <w:t>information et de la communication (appuyer une concertation paneuropéenne sur la mise en œuvre et le perfectionnement des services d</w:t>
      </w:r>
      <w:r>
        <w:rPr>
          <w:lang w:val="fr-FR"/>
        </w:rPr>
        <w:t>’</w:t>
      </w:r>
      <w:r w:rsidRPr="00CA02B6">
        <w:rPr>
          <w:lang w:val="fr-FR"/>
        </w:rPr>
        <w:t>information fluviale; appuyer les efforts déployés actuellement en vue d</w:t>
      </w:r>
      <w:r>
        <w:rPr>
          <w:lang w:val="fr-FR"/>
        </w:rPr>
        <w:t>’</w:t>
      </w:r>
      <w:r w:rsidRPr="00CA02B6">
        <w:rPr>
          <w:lang w:val="fr-FR"/>
        </w:rPr>
        <w:t>établir une base de données internationale sur les coques et encourager d</w:t>
      </w:r>
      <w:r>
        <w:rPr>
          <w:lang w:val="fr-FR"/>
        </w:rPr>
        <w:t>’</w:t>
      </w:r>
      <w:r w:rsidRPr="00CA02B6">
        <w:rPr>
          <w:lang w:val="fr-FR"/>
        </w:rPr>
        <w:t xml:space="preserve">autres utilisations des </w:t>
      </w:r>
      <w:r w:rsidRPr="00CA02B6">
        <w:rPr>
          <w:lang w:val="fr-FR"/>
        </w:rPr>
        <w:lastRenderedPageBreak/>
        <w:t>technologies de l</w:t>
      </w:r>
      <w:r>
        <w:rPr>
          <w:lang w:val="fr-FR"/>
        </w:rPr>
        <w:t>’</w:t>
      </w:r>
      <w:r w:rsidRPr="00CA02B6">
        <w:rPr>
          <w:lang w:val="fr-FR"/>
        </w:rPr>
        <w:t>information et de la communication afin de faciliter les opérations de</w:t>
      </w:r>
      <w:r w:rsidR="00A359BD">
        <w:rPr>
          <w:lang w:val="fr-FR"/>
        </w:rPr>
        <w:t xml:space="preserve"> transport par voie navigable);</w:t>
      </w:r>
    </w:p>
    <w:p w:rsidR="00EC3DAD" w:rsidRPr="00CA02B6" w:rsidRDefault="00EC3DAD" w:rsidP="00A359BD">
      <w:pPr>
        <w:pStyle w:val="SingleTxt"/>
        <w:rPr>
          <w:szCs w:val="24"/>
          <w:lang w:val="fr-FR"/>
        </w:rPr>
      </w:pPr>
      <w:r w:rsidRPr="00CA02B6">
        <w:rPr>
          <w:lang w:val="fr-FR"/>
        </w:rPr>
        <w:tab/>
        <w:t>d)</w:t>
      </w:r>
      <w:r w:rsidRPr="00CA02B6">
        <w:rPr>
          <w:lang w:val="fr-FR"/>
        </w:rPr>
        <w:tab/>
        <w:t>Recommandation n</w:t>
      </w:r>
      <w:r w:rsidRPr="00DE526D">
        <w:rPr>
          <w:vertAlign w:val="superscript"/>
          <w:lang w:val="fr-FR"/>
        </w:rPr>
        <w:t>o</w:t>
      </w:r>
      <w:r w:rsidRPr="00A359BD">
        <w:rPr>
          <w:lang w:val="fr-FR"/>
        </w:rPr>
        <w:t> </w:t>
      </w:r>
      <w:r w:rsidR="00A359BD">
        <w:rPr>
          <w:lang w:val="fr-FR"/>
        </w:rPr>
        <w:t>4 </w:t>
      </w:r>
      <w:r w:rsidRPr="00CA02B6">
        <w:rPr>
          <w:lang w:val="fr-FR"/>
        </w:rPr>
        <w:t>: Réagir avec efficacité aux nouvelles exigences du marché (continuer à faire mieux connaître les avantages du transport par voie navigable par rapport aux autres modes de transport; renforcer la coopération entre les opérateurs des secteurs du transport par voie navigable, du transport ferroviaire et du transport routier; faire connaître les instruments internationaux sur l</w:t>
      </w:r>
      <w:r>
        <w:rPr>
          <w:lang w:val="fr-FR"/>
        </w:rPr>
        <w:t>’</w:t>
      </w:r>
      <w:proofErr w:type="spellStart"/>
      <w:r w:rsidRPr="00CA02B6">
        <w:rPr>
          <w:lang w:val="fr-FR"/>
        </w:rPr>
        <w:t>intermodalité</w:t>
      </w:r>
      <w:proofErr w:type="spellEnd"/>
      <w:r w:rsidRPr="00CA02B6">
        <w:rPr>
          <w:lang w:val="fr-FR"/>
        </w:rPr>
        <w:t xml:space="preserve"> des opérations de transport; appuyer toutes les autres initiatives visant à améliorer le rôle du transport par voie navigable en ce qui concerne la sécurité des chaînes de transport intermodal; et étudier la question de la tarification des infrastructures relatives aux voies navigables);</w:t>
      </w:r>
    </w:p>
    <w:p w:rsidR="00EC3DAD" w:rsidRPr="00CA02B6" w:rsidRDefault="00EC3DAD" w:rsidP="00A359BD">
      <w:pPr>
        <w:pStyle w:val="SingleTxt"/>
        <w:rPr>
          <w:szCs w:val="24"/>
          <w:lang w:val="fr-FR"/>
        </w:rPr>
      </w:pPr>
      <w:r w:rsidRPr="00CA02B6">
        <w:rPr>
          <w:lang w:val="fr-FR"/>
        </w:rPr>
        <w:tab/>
        <w:t>e)</w:t>
      </w:r>
      <w:r w:rsidRPr="00CA02B6">
        <w:rPr>
          <w:lang w:val="fr-FR"/>
        </w:rPr>
        <w:tab/>
        <w:t>Recommandation n</w:t>
      </w:r>
      <w:r w:rsidRPr="00DE526D">
        <w:rPr>
          <w:vertAlign w:val="superscript"/>
          <w:lang w:val="fr-FR"/>
        </w:rPr>
        <w:t>o</w:t>
      </w:r>
      <w:r w:rsidRPr="00A359BD">
        <w:rPr>
          <w:lang w:val="fr-FR"/>
        </w:rPr>
        <w:t> </w:t>
      </w:r>
      <w:r w:rsidR="00A359BD">
        <w:rPr>
          <w:lang w:val="fr-FR"/>
        </w:rPr>
        <w:t>5 </w:t>
      </w:r>
      <w:r w:rsidRPr="00CA02B6">
        <w:rPr>
          <w:lang w:val="fr-FR"/>
        </w:rPr>
        <w:t>: Faire face aux défis ayant trait au marché du travail à l</w:t>
      </w:r>
      <w:r>
        <w:rPr>
          <w:lang w:val="fr-FR"/>
        </w:rPr>
        <w:t>’</w:t>
      </w:r>
      <w:r w:rsidRPr="00CA02B6">
        <w:rPr>
          <w:lang w:val="fr-FR"/>
        </w:rPr>
        <w:t>échelle paneuropéenne (appuyer et promouvoir les travaux menés actuellement par l</w:t>
      </w:r>
      <w:r>
        <w:rPr>
          <w:lang w:val="fr-FR"/>
        </w:rPr>
        <w:t>’</w:t>
      </w:r>
      <w:r w:rsidRPr="00CA02B6">
        <w:rPr>
          <w:lang w:val="fr-FR"/>
        </w:rPr>
        <w:t>UE et les commissions fluviales en vue de faire face aux défis auxquels est confrontée la main-d</w:t>
      </w:r>
      <w:r>
        <w:rPr>
          <w:lang w:val="fr-FR"/>
        </w:rPr>
        <w:t>’</w:t>
      </w:r>
      <w:r w:rsidRPr="00CA02B6">
        <w:rPr>
          <w:lang w:val="fr-FR"/>
        </w:rPr>
        <w:t>œuvre et de redorer l</w:t>
      </w:r>
      <w:r>
        <w:rPr>
          <w:lang w:val="fr-FR"/>
        </w:rPr>
        <w:t>’</w:t>
      </w:r>
      <w:r w:rsidRPr="00CA02B6">
        <w:rPr>
          <w:lang w:val="fr-FR"/>
        </w:rPr>
        <w:t>image du transport par voie navigable, poursuivre les travaux sur l</w:t>
      </w:r>
      <w:r>
        <w:rPr>
          <w:lang w:val="fr-FR"/>
        </w:rPr>
        <w:t>’</w:t>
      </w:r>
      <w:r w:rsidRPr="00CA02B6">
        <w:rPr>
          <w:lang w:val="fr-FR"/>
        </w:rPr>
        <w:t>harmonisation des prescriptions relatives à la délivrance de certificats de conducteurs de bateaux et de membres d</w:t>
      </w:r>
      <w:r>
        <w:rPr>
          <w:lang w:val="fr-FR"/>
        </w:rPr>
        <w:t>’</w:t>
      </w:r>
      <w:r w:rsidRPr="00CA02B6">
        <w:rPr>
          <w:lang w:val="fr-FR"/>
        </w:rPr>
        <w:t>équipage, ainsi qu</w:t>
      </w:r>
      <w:r>
        <w:rPr>
          <w:lang w:val="fr-FR"/>
        </w:rPr>
        <w:t>’</w:t>
      </w:r>
      <w:r w:rsidRPr="00CA02B6">
        <w:rPr>
          <w:lang w:val="fr-FR"/>
        </w:rPr>
        <w:t>aux effectifs des bateaux de navigation intérieure, suivre et appuyer le processus d</w:t>
      </w:r>
      <w:r>
        <w:rPr>
          <w:lang w:val="fr-FR"/>
        </w:rPr>
        <w:t>’</w:t>
      </w:r>
      <w:r w:rsidRPr="00CA02B6">
        <w:rPr>
          <w:lang w:val="fr-FR"/>
        </w:rPr>
        <w:t>ouverture des voies navigables nationales de certains pays de la CEE);</w:t>
      </w:r>
      <w:r>
        <w:rPr>
          <w:lang w:val="fr-FR"/>
        </w:rPr>
        <w:t xml:space="preserve"> </w:t>
      </w:r>
    </w:p>
    <w:p w:rsidR="00EC3DAD" w:rsidRPr="00CA02B6" w:rsidRDefault="00EC3DAD" w:rsidP="00A359BD">
      <w:pPr>
        <w:pStyle w:val="SingleTxt"/>
        <w:rPr>
          <w:szCs w:val="24"/>
          <w:lang w:val="fr-FR"/>
        </w:rPr>
      </w:pPr>
      <w:r w:rsidRPr="00CA02B6">
        <w:rPr>
          <w:lang w:val="fr-FR"/>
        </w:rPr>
        <w:tab/>
        <w:t>f)</w:t>
      </w:r>
      <w:r w:rsidRPr="00CA02B6">
        <w:rPr>
          <w:lang w:val="fr-FR"/>
        </w:rPr>
        <w:tab/>
        <w:t>Recommandation n</w:t>
      </w:r>
      <w:r w:rsidRPr="00DE526D">
        <w:rPr>
          <w:vertAlign w:val="superscript"/>
          <w:lang w:val="fr-FR"/>
        </w:rPr>
        <w:t>o</w:t>
      </w:r>
      <w:r w:rsidRPr="00A359BD">
        <w:rPr>
          <w:lang w:val="fr-FR"/>
        </w:rPr>
        <w:t> </w:t>
      </w:r>
      <w:r w:rsidR="00A359BD">
        <w:rPr>
          <w:lang w:val="fr-FR"/>
        </w:rPr>
        <w:t>6 </w:t>
      </w:r>
      <w:r w:rsidRPr="00CA02B6">
        <w:rPr>
          <w:lang w:val="fr-FR"/>
        </w:rPr>
        <w:t>: Faire face aux défis environnementaux et tenir compte de l</w:t>
      </w:r>
      <w:r>
        <w:rPr>
          <w:lang w:val="fr-FR"/>
        </w:rPr>
        <w:t>’</w:t>
      </w:r>
      <w:r w:rsidRPr="00CA02B6">
        <w:rPr>
          <w:lang w:val="fr-FR"/>
        </w:rPr>
        <w:t>empreinte carbone (encourager la participation active des pays membres de la CEE au projet global du Compte de l</w:t>
      </w:r>
      <w:r>
        <w:rPr>
          <w:lang w:val="fr-FR"/>
        </w:rPr>
        <w:t>’</w:t>
      </w:r>
      <w:r w:rsidRPr="00CA02B6">
        <w:rPr>
          <w:lang w:val="fr-FR"/>
        </w:rPr>
        <w:t>ONU pour le développement concernant l</w:t>
      </w:r>
      <w:r>
        <w:rPr>
          <w:lang w:val="fr-FR"/>
        </w:rPr>
        <w:t>’</w:t>
      </w:r>
      <w:r w:rsidRPr="00CA02B6">
        <w:rPr>
          <w:lang w:val="fr-FR"/>
        </w:rPr>
        <w:t>élaboration et la mise en œuvre d</w:t>
      </w:r>
      <w:r>
        <w:rPr>
          <w:lang w:val="fr-FR"/>
        </w:rPr>
        <w:t>’</w:t>
      </w:r>
      <w:r w:rsidRPr="00CA02B6">
        <w:rPr>
          <w:lang w:val="fr-FR"/>
        </w:rPr>
        <w:t>un instrument de surveillance et d</w:t>
      </w:r>
      <w:r>
        <w:rPr>
          <w:lang w:val="fr-FR"/>
        </w:rPr>
        <w:t>’</w:t>
      </w:r>
      <w:r w:rsidRPr="00CA02B6">
        <w:rPr>
          <w:lang w:val="fr-FR"/>
        </w:rPr>
        <w:t>évaluation des émissions de dioxyde de carbone (CO</w:t>
      </w:r>
      <w:r w:rsidRPr="006923F0">
        <w:rPr>
          <w:vertAlign w:val="subscript"/>
          <w:lang w:val="fr-FR"/>
        </w:rPr>
        <w:t>2</w:t>
      </w:r>
      <w:r w:rsidRPr="00CA02B6">
        <w:rPr>
          <w:lang w:val="fr-FR"/>
        </w:rPr>
        <w:t>) dans les transports intérieurs; tenir à jour un registre des études et réunions pertinentes; continuer à appuyer les activités visant à adapter le transport par voie navigable aux répercussions des changements climatiques, à gérer les déchets et à réduire la pollution provenant des bateaux de navigation intérieure et autres questions liées à l</w:t>
      </w:r>
      <w:r>
        <w:rPr>
          <w:lang w:val="fr-FR"/>
        </w:rPr>
        <w:t>’</w:t>
      </w:r>
      <w:r w:rsidRPr="00CA02B6">
        <w:rPr>
          <w:lang w:val="fr-FR"/>
        </w:rPr>
        <w:t>environnement);</w:t>
      </w:r>
    </w:p>
    <w:p w:rsidR="00EC3DAD" w:rsidRPr="00CA02B6" w:rsidRDefault="00EC3DAD" w:rsidP="00A359BD">
      <w:pPr>
        <w:pStyle w:val="SingleTxt"/>
        <w:rPr>
          <w:szCs w:val="24"/>
          <w:lang w:val="fr-FR"/>
        </w:rPr>
      </w:pPr>
      <w:r w:rsidRPr="00CA02B6">
        <w:rPr>
          <w:lang w:val="fr-FR"/>
        </w:rPr>
        <w:tab/>
        <w:t>g)</w:t>
      </w:r>
      <w:r w:rsidRPr="00CA02B6">
        <w:rPr>
          <w:lang w:val="fr-FR"/>
        </w:rPr>
        <w:tab/>
        <w:t>Recommandation n</w:t>
      </w:r>
      <w:r w:rsidRPr="00DE526D">
        <w:rPr>
          <w:vertAlign w:val="superscript"/>
          <w:lang w:val="fr-FR"/>
        </w:rPr>
        <w:t>o</w:t>
      </w:r>
      <w:r w:rsidRPr="00A359BD">
        <w:rPr>
          <w:lang w:val="fr-FR"/>
        </w:rPr>
        <w:t> </w:t>
      </w:r>
      <w:r w:rsidR="00A359BD">
        <w:rPr>
          <w:lang w:val="fr-FR"/>
        </w:rPr>
        <w:t>7 </w:t>
      </w:r>
      <w:r w:rsidRPr="00CA02B6">
        <w:rPr>
          <w:lang w:val="fr-FR"/>
        </w:rPr>
        <w:t>: Renforcer le cadre institutionnel et réglementaire à l</w:t>
      </w:r>
      <w:r>
        <w:rPr>
          <w:lang w:val="fr-FR"/>
        </w:rPr>
        <w:t>’</w:t>
      </w:r>
      <w:r w:rsidRPr="00CA02B6">
        <w:rPr>
          <w:lang w:val="fr-FR"/>
        </w:rPr>
        <w:t>échelle paneuropéenne (déterminer les domaines dans lesquels il convient de renforcer, à l</w:t>
      </w:r>
      <w:r>
        <w:rPr>
          <w:lang w:val="fr-FR"/>
        </w:rPr>
        <w:t>’</w:t>
      </w:r>
      <w:r w:rsidRPr="00CA02B6">
        <w:rPr>
          <w:lang w:val="fr-FR"/>
        </w:rPr>
        <w:t>échelle paneuropéenne, la coordination, la coopération, la transparence et l</w:t>
      </w:r>
      <w:r>
        <w:rPr>
          <w:lang w:val="fr-FR"/>
        </w:rPr>
        <w:t>’</w:t>
      </w:r>
      <w:r w:rsidRPr="00CA02B6">
        <w:rPr>
          <w:lang w:val="fr-FR"/>
        </w:rPr>
        <w:t>harmonisation des règles et réglementations applicables au transport par voie navigable; appuyer tous les efforts visant à établir un cadre juridique paneuropéen régissant les éléments de droit privé liés à la navigation intérieure; suivre et appuyer, autant que possible, les réformes visant à améliorer les mécanismes institutionnels ayant trait à la navigation intérieure).</w:t>
      </w:r>
      <w:r>
        <w:rPr>
          <w:lang w:val="fr-FR"/>
        </w:rPr>
        <w:t xml:space="preserve"> </w:t>
      </w:r>
    </w:p>
    <w:p w:rsidR="00EC3DAD" w:rsidRPr="006154C6" w:rsidRDefault="00EC3DAD" w:rsidP="006154C6">
      <w:pPr>
        <w:pStyle w:val="SingleTxt"/>
        <w:numPr>
          <w:ilvl w:val="0"/>
          <w:numId w:val="10"/>
        </w:numPr>
        <w:ind w:left="1267" w:firstLine="0"/>
        <w:rPr>
          <w:szCs w:val="24"/>
          <w:lang w:val="fr-FR"/>
        </w:rPr>
      </w:pPr>
      <w:r w:rsidRPr="00CA02B6">
        <w:rPr>
          <w:lang w:val="fr-FR"/>
        </w:rPr>
        <w:t xml:space="preserve">Les Groupes de travail SC.3 et SC.3/WP.3 </w:t>
      </w:r>
      <w:r w:rsidR="006154C6">
        <w:rPr>
          <w:lang w:val="fr-FR"/>
        </w:rPr>
        <w:t>ont planifié leurs activités, y </w:t>
      </w:r>
      <w:r w:rsidRPr="00CA02B6">
        <w:rPr>
          <w:lang w:val="fr-FR"/>
        </w:rPr>
        <w:t>compris les programmes et plans de travail, sur la base de ces recommandations stratégiques.</w:t>
      </w:r>
    </w:p>
    <w:p w:rsidR="006154C6" w:rsidRPr="006154C6" w:rsidRDefault="006154C6" w:rsidP="006154C6">
      <w:pPr>
        <w:pStyle w:val="SingleTxt"/>
        <w:spacing w:after="0" w:line="120" w:lineRule="exact"/>
        <w:rPr>
          <w:sz w:val="10"/>
          <w:lang w:val="fr-FR"/>
        </w:rPr>
      </w:pPr>
    </w:p>
    <w:p w:rsidR="006154C6" w:rsidRPr="006154C6" w:rsidRDefault="006154C6" w:rsidP="006154C6">
      <w:pPr>
        <w:pStyle w:val="SingleTxt"/>
        <w:spacing w:after="0" w:line="120" w:lineRule="exact"/>
        <w:rPr>
          <w:sz w:val="10"/>
          <w:lang w:val="fr-FR"/>
        </w:rPr>
      </w:pPr>
    </w:p>
    <w:p w:rsidR="00EC3DAD" w:rsidRDefault="00EC3DAD" w:rsidP="006154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02B6">
        <w:rPr>
          <w:lang w:val="fr-FR"/>
        </w:rPr>
        <w:tab/>
        <w:t>A.</w:t>
      </w:r>
      <w:r w:rsidRPr="00CA02B6">
        <w:rPr>
          <w:lang w:val="fr-FR"/>
        </w:rPr>
        <w:tab/>
        <w:t>Recommandation n</w:t>
      </w:r>
      <w:r w:rsidR="006154C6" w:rsidRPr="006154C6">
        <w:rPr>
          <w:vertAlign w:val="superscript"/>
          <w:lang w:val="fr-FR"/>
        </w:rPr>
        <w:t>o</w:t>
      </w:r>
      <w:r w:rsidR="006154C6" w:rsidRPr="006154C6">
        <w:rPr>
          <w:lang w:val="fr-FR"/>
        </w:rPr>
        <w:t> </w:t>
      </w:r>
      <w:r w:rsidRPr="00CA02B6">
        <w:rPr>
          <w:lang w:val="fr-FR"/>
        </w:rPr>
        <w:t>1</w:t>
      </w:r>
    </w:p>
    <w:p w:rsidR="006154C6" w:rsidRPr="006154C6" w:rsidRDefault="006154C6" w:rsidP="006154C6">
      <w:pPr>
        <w:pStyle w:val="SingleTxt"/>
        <w:spacing w:after="0" w:line="120" w:lineRule="exact"/>
        <w:rPr>
          <w:sz w:val="10"/>
          <w:lang w:val="fr-FR"/>
        </w:rPr>
      </w:pPr>
    </w:p>
    <w:p w:rsidR="006154C6" w:rsidRPr="006154C6" w:rsidRDefault="006154C6" w:rsidP="006154C6">
      <w:pPr>
        <w:pStyle w:val="SingleTxt"/>
        <w:spacing w:after="0" w:line="120" w:lineRule="exact"/>
        <w:rPr>
          <w:sz w:val="10"/>
          <w:lang w:val="fr-FR"/>
        </w:rPr>
      </w:pPr>
    </w:p>
    <w:p w:rsidR="00EC3DAD" w:rsidRPr="00CA02B6" w:rsidRDefault="00EC3DAD" w:rsidP="00923BEC">
      <w:pPr>
        <w:pStyle w:val="SingleTxt"/>
        <w:keepNext/>
        <w:numPr>
          <w:ilvl w:val="0"/>
          <w:numId w:val="10"/>
        </w:numPr>
        <w:ind w:left="1267" w:firstLine="0"/>
        <w:rPr>
          <w:szCs w:val="24"/>
          <w:lang w:val="fr-FR"/>
        </w:rPr>
      </w:pPr>
      <w:r w:rsidRPr="00CA02B6">
        <w:rPr>
          <w:lang w:val="fr-FR"/>
        </w:rPr>
        <w:t>Au titre de la Recommandation n</w:t>
      </w:r>
      <w:r w:rsidRPr="00DE526D">
        <w:rPr>
          <w:vertAlign w:val="superscript"/>
          <w:lang w:val="fr-FR"/>
        </w:rPr>
        <w:t>o</w:t>
      </w:r>
      <w:r w:rsidRPr="006154C6">
        <w:rPr>
          <w:lang w:val="fr-FR"/>
        </w:rPr>
        <w:t> </w:t>
      </w:r>
      <w:r w:rsidRPr="00CA02B6">
        <w:rPr>
          <w:lang w:val="fr-FR"/>
        </w:rPr>
        <w:t>1, le SC.3 et le SC.3/WP.3 ont mené les activités suiva</w:t>
      </w:r>
      <w:r w:rsidR="006154C6">
        <w:rPr>
          <w:lang w:val="fr-FR"/>
        </w:rPr>
        <w:t>ntes </w:t>
      </w:r>
      <w:r w:rsidRPr="00CA02B6">
        <w:rPr>
          <w:lang w:val="fr-FR"/>
        </w:rPr>
        <w:t>:</w:t>
      </w:r>
    </w:p>
    <w:p w:rsidR="00EC3DAD" w:rsidRPr="00CA02B6" w:rsidRDefault="00EC3DAD" w:rsidP="006154C6">
      <w:pPr>
        <w:pStyle w:val="Bullet1"/>
        <w:ind w:left="1743" w:hanging="130"/>
        <w:rPr>
          <w:szCs w:val="24"/>
          <w:lang w:val="fr-FR"/>
        </w:rPr>
      </w:pPr>
      <w:r w:rsidRPr="00CA02B6">
        <w:rPr>
          <w:lang w:val="fr-FR"/>
        </w:rPr>
        <w:t>Suivi de l</w:t>
      </w:r>
      <w:r>
        <w:rPr>
          <w:lang w:val="fr-FR"/>
        </w:rPr>
        <w:t>’</w:t>
      </w:r>
      <w:r w:rsidR="006154C6">
        <w:rPr>
          <w:lang w:val="fr-FR"/>
        </w:rPr>
        <w:t>Accord AGN,</w:t>
      </w:r>
      <w:r w:rsidRPr="00CA02B6">
        <w:rPr>
          <w:lang w:val="fr-FR"/>
        </w:rPr>
        <w:t xml:space="preserve"> promotion et révision de celui-ci, compte étant dûment tenu des mesures prises par les États membres;</w:t>
      </w:r>
    </w:p>
    <w:p w:rsidR="00EC3DAD" w:rsidRPr="00CA02B6" w:rsidRDefault="00EC3DAD" w:rsidP="006154C6">
      <w:pPr>
        <w:pStyle w:val="Bullet1"/>
        <w:ind w:left="1743" w:hanging="130"/>
        <w:rPr>
          <w:szCs w:val="24"/>
          <w:lang w:val="fr-FR"/>
        </w:rPr>
      </w:pPr>
      <w:r w:rsidRPr="00CA02B6">
        <w:rPr>
          <w:lang w:val="fr-FR"/>
        </w:rPr>
        <w:t>Suivi et révision du Li</w:t>
      </w:r>
      <w:r w:rsidRPr="006154C6">
        <w:rPr>
          <w:lang w:val="fr-FR"/>
        </w:rPr>
        <w:t>v</w:t>
      </w:r>
      <w:r w:rsidR="006154C6">
        <w:rPr>
          <w:lang w:val="fr-FR"/>
        </w:rPr>
        <w:t>re bleu;</w:t>
      </w:r>
    </w:p>
    <w:p w:rsidR="00EC3DAD" w:rsidRPr="00CA02B6" w:rsidRDefault="00EC3DAD" w:rsidP="006154C6">
      <w:pPr>
        <w:pStyle w:val="Bullet1"/>
        <w:ind w:left="1743" w:hanging="130"/>
        <w:rPr>
          <w:szCs w:val="24"/>
          <w:lang w:val="fr-FR"/>
        </w:rPr>
      </w:pPr>
      <w:r w:rsidRPr="00CA02B6">
        <w:rPr>
          <w:lang w:val="fr-FR"/>
        </w:rPr>
        <w:t>Établissement de la base de données du Livre bleu sur le site Web de la CEE;</w:t>
      </w:r>
    </w:p>
    <w:p w:rsidR="00EC3DAD" w:rsidRPr="00CA02B6" w:rsidRDefault="00EC3DAD" w:rsidP="006154C6">
      <w:pPr>
        <w:pStyle w:val="Bullet1"/>
        <w:ind w:left="1743" w:hanging="130"/>
        <w:rPr>
          <w:szCs w:val="24"/>
          <w:lang w:val="fr-FR"/>
        </w:rPr>
      </w:pPr>
      <w:r w:rsidRPr="00CA02B6">
        <w:rPr>
          <w:lang w:val="fr-FR"/>
        </w:rPr>
        <w:t>Révision de la Résolution n</w:t>
      </w:r>
      <w:r w:rsidRPr="00DE526D">
        <w:rPr>
          <w:vertAlign w:val="superscript"/>
          <w:lang w:val="fr-FR"/>
        </w:rPr>
        <w:t>o</w:t>
      </w:r>
      <w:r w:rsidRPr="006154C6">
        <w:rPr>
          <w:lang w:val="fr-FR"/>
        </w:rPr>
        <w:t> </w:t>
      </w:r>
      <w:r w:rsidRPr="00CA02B6">
        <w:rPr>
          <w:lang w:val="fr-FR"/>
        </w:rPr>
        <w:t xml:space="preserve">49, intitulée </w:t>
      </w:r>
      <w:r w:rsidR="006154C6">
        <w:rPr>
          <w:lang w:val="fr-FR"/>
        </w:rPr>
        <w:t>« </w:t>
      </w:r>
      <w:r w:rsidRPr="00CA02B6">
        <w:rPr>
          <w:lang w:val="fr-FR"/>
        </w:rPr>
        <w:t>Inventaire des principaux goulets d</w:t>
      </w:r>
      <w:r>
        <w:rPr>
          <w:lang w:val="fr-FR"/>
        </w:rPr>
        <w:t>’</w:t>
      </w:r>
      <w:r w:rsidRPr="00CA02B6">
        <w:rPr>
          <w:lang w:val="fr-FR"/>
        </w:rPr>
        <w:t>étranglement et liaisons manquantes sur le réseau des voies navigables E</w:t>
      </w:r>
      <w:r w:rsidR="006154C6">
        <w:rPr>
          <w:lang w:val="fr-FR"/>
        </w:rPr>
        <w:t> »</w:t>
      </w:r>
      <w:r w:rsidRPr="00CA02B6">
        <w:rPr>
          <w:lang w:val="fr-FR"/>
        </w:rPr>
        <w:t>.</w:t>
      </w:r>
    </w:p>
    <w:p w:rsidR="00EC3DAD" w:rsidRPr="00CA02B6" w:rsidRDefault="00923BEC" w:rsidP="00923BEC">
      <w:pPr>
        <w:pStyle w:val="SingleTxt"/>
        <w:rPr>
          <w:szCs w:val="24"/>
          <w:lang w:val="fr-FR"/>
        </w:rPr>
      </w:pPr>
      <w:r>
        <w:rPr>
          <w:lang w:val="fr-FR"/>
        </w:rPr>
        <w:lastRenderedPageBreak/>
        <w:tab/>
      </w:r>
      <w:r w:rsidR="00EC3DAD" w:rsidRPr="00CA02B6">
        <w:rPr>
          <w:lang w:val="fr-FR"/>
        </w:rPr>
        <w:t>Le point relatif au réseau européen de voies navigables a été inscrit à l</w:t>
      </w:r>
      <w:r w:rsidR="00EC3DAD">
        <w:rPr>
          <w:lang w:val="fr-FR"/>
        </w:rPr>
        <w:t>’</w:t>
      </w:r>
      <w:r w:rsidR="00EC3DAD" w:rsidRPr="00CA02B6">
        <w:rPr>
          <w:lang w:val="fr-FR"/>
        </w:rPr>
        <w:t>ordre du jour des sessions du SC.3 et du SC.3/WP.3.</w:t>
      </w:r>
    </w:p>
    <w:p w:rsidR="00EC3DAD" w:rsidRPr="00CA02B6" w:rsidRDefault="00EC3DAD" w:rsidP="00923BEC">
      <w:pPr>
        <w:pStyle w:val="SingleTxt"/>
        <w:numPr>
          <w:ilvl w:val="0"/>
          <w:numId w:val="10"/>
        </w:numPr>
        <w:ind w:left="1267" w:firstLine="0"/>
        <w:rPr>
          <w:szCs w:val="24"/>
          <w:lang w:val="fr-FR"/>
        </w:rPr>
      </w:pPr>
      <w:r w:rsidRPr="00CA02B6">
        <w:rPr>
          <w:lang w:val="fr-FR"/>
        </w:rPr>
        <w:t>L</w:t>
      </w:r>
      <w:r>
        <w:rPr>
          <w:lang w:val="fr-FR"/>
        </w:rPr>
        <w:t>’</w:t>
      </w:r>
      <w:r w:rsidRPr="00CA02B6">
        <w:rPr>
          <w:lang w:val="fr-FR"/>
        </w:rPr>
        <w:t>état de l</w:t>
      </w:r>
      <w:r>
        <w:rPr>
          <w:lang w:val="fr-FR"/>
        </w:rPr>
        <w:t>’</w:t>
      </w:r>
      <w:r w:rsidRPr="00CA02B6">
        <w:rPr>
          <w:lang w:val="fr-FR"/>
        </w:rPr>
        <w:t>AGN est indiqué dans la figure 1.</w:t>
      </w:r>
    </w:p>
    <w:p w:rsidR="00EC3DAD" w:rsidRDefault="00EC3DAD" w:rsidP="00923BEC">
      <w:pPr>
        <w:pStyle w:val="SingleTxt"/>
        <w:rPr>
          <w:lang w:val="fr-FR"/>
        </w:rPr>
      </w:pPr>
      <w:r w:rsidRPr="00CA02B6">
        <w:rPr>
          <w:lang w:val="fr-FR"/>
        </w:rPr>
        <w:tab/>
        <w:t>En 2011, les 17 pays ci-après étaient Parties contractantes à l</w:t>
      </w:r>
      <w:r>
        <w:rPr>
          <w:lang w:val="fr-FR"/>
        </w:rPr>
        <w:t>’</w:t>
      </w:r>
      <w:r w:rsidR="00923BEC">
        <w:rPr>
          <w:lang w:val="fr-FR"/>
        </w:rPr>
        <w:t>AGN </w:t>
      </w:r>
      <w:r w:rsidRPr="00CA02B6">
        <w:rPr>
          <w:lang w:val="fr-FR"/>
        </w:rPr>
        <w:t xml:space="preserve">: Autriche, </w:t>
      </w:r>
      <w:proofErr w:type="spellStart"/>
      <w:r w:rsidRPr="00CA02B6">
        <w:rPr>
          <w:lang w:val="fr-FR"/>
        </w:rPr>
        <w:t>Bélarus</w:t>
      </w:r>
      <w:proofErr w:type="spellEnd"/>
      <w:r w:rsidRPr="00CA02B6">
        <w:rPr>
          <w:lang w:val="fr-FR"/>
        </w:rPr>
        <w:t>, Bosnie-Herzégovine, Bulgarie, Croatie, Fédération de Russie, Hongrie, Italie, Lituanie, Luxembourg, Pays-Bas, République de Moldova, République tchèque, Roumanie, Slov</w:t>
      </w:r>
      <w:r w:rsidR="00923BEC">
        <w:rPr>
          <w:lang w:val="fr-FR"/>
        </w:rPr>
        <w:t>aquie, Suisse et Ukraine. Le 10 </w:t>
      </w:r>
      <w:r w:rsidRPr="00CA02B6">
        <w:rPr>
          <w:lang w:val="fr-FR"/>
        </w:rPr>
        <w:t>janvier 2014, la Serbie a adhéré à l</w:t>
      </w:r>
      <w:r>
        <w:rPr>
          <w:lang w:val="fr-FR"/>
        </w:rPr>
        <w:t>’</w:t>
      </w:r>
      <w:r w:rsidRPr="00CA02B6">
        <w:rPr>
          <w:lang w:val="fr-FR"/>
        </w:rPr>
        <w:t>AGN et le nombre de Parties contractantes est ainsi passé à 18.</w:t>
      </w:r>
    </w:p>
    <w:p w:rsidR="00923BEC" w:rsidRPr="00923BEC" w:rsidRDefault="00923BEC" w:rsidP="00923BEC">
      <w:pPr>
        <w:pStyle w:val="SingleTxt"/>
        <w:spacing w:after="0" w:line="120" w:lineRule="exact"/>
        <w:rPr>
          <w:sz w:val="10"/>
          <w:lang w:val="fr-FR"/>
        </w:rPr>
      </w:pPr>
    </w:p>
    <w:p w:rsidR="00923BEC" w:rsidRDefault="00923BEC" w:rsidP="00923B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C3DAD" w:rsidRPr="00923BEC">
        <w:rPr>
          <w:b w:val="0"/>
          <w:lang w:val="fr-FR"/>
        </w:rPr>
        <w:t>Figure 1</w:t>
      </w:r>
      <w:r>
        <w:rPr>
          <w:lang w:val="fr-FR"/>
        </w:rPr>
        <w:t xml:space="preserve"> </w:t>
      </w:r>
      <w:r>
        <w:rPr>
          <w:lang w:val="fr-FR"/>
        </w:rPr>
        <w:br/>
      </w:r>
      <w:r w:rsidRPr="00CA02B6">
        <w:rPr>
          <w:lang w:val="fr-FR"/>
        </w:rPr>
        <w:t>État de l</w:t>
      </w:r>
      <w:r>
        <w:rPr>
          <w:lang w:val="fr-FR"/>
        </w:rPr>
        <w:t>’</w:t>
      </w:r>
      <w:r w:rsidRPr="00CA02B6">
        <w:rPr>
          <w:lang w:val="fr-FR"/>
        </w:rPr>
        <w:t xml:space="preserve">Accord européen sur les grandes voies navigables </w:t>
      </w:r>
      <w:r>
        <w:rPr>
          <w:lang w:val="fr-FR"/>
        </w:rPr>
        <w:br/>
      </w:r>
      <w:r w:rsidRPr="00CA02B6">
        <w:rPr>
          <w:lang w:val="fr-FR"/>
        </w:rPr>
        <w:t>d</w:t>
      </w:r>
      <w:r>
        <w:rPr>
          <w:lang w:val="fr-FR"/>
        </w:rPr>
        <w:t>’</w:t>
      </w:r>
      <w:r w:rsidRPr="00CA02B6">
        <w:rPr>
          <w:lang w:val="fr-FR"/>
        </w:rPr>
        <w:t>importance internationale (AGN)</w:t>
      </w:r>
    </w:p>
    <w:p w:rsidR="00923BEC" w:rsidRPr="00923BEC" w:rsidRDefault="00923BEC" w:rsidP="00923BEC">
      <w:pPr>
        <w:pStyle w:val="SingleTxt"/>
        <w:spacing w:after="0" w:line="120" w:lineRule="exact"/>
        <w:rPr>
          <w:sz w:val="10"/>
          <w:lang w:val="fr-FR"/>
        </w:rPr>
      </w:pPr>
    </w:p>
    <w:p w:rsidR="00923BEC" w:rsidRPr="00923BEC" w:rsidRDefault="00923BEC" w:rsidP="00923BEC">
      <w:pPr>
        <w:pStyle w:val="SingleTxt"/>
        <w:spacing w:after="0" w:line="120" w:lineRule="exact"/>
        <w:rPr>
          <w:sz w:val="10"/>
          <w:lang w:val="fr-FR"/>
        </w:rPr>
      </w:pPr>
    </w:p>
    <w:p w:rsidR="00D8749E" w:rsidRDefault="00D8749E" w:rsidP="00D8749E">
      <w:pPr>
        <w:pStyle w:val="SingleTxt"/>
        <w:spacing w:line="240" w:lineRule="auto"/>
        <w:rPr>
          <w:lang w:val="fr-FR"/>
        </w:rPr>
      </w:pPr>
      <w:r w:rsidRPr="00752F12">
        <w:rPr>
          <w:noProof/>
          <w:lang w:val="en-US"/>
        </w:rPr>
        <w:drawing>
          <wp:inline distT="0" distB="0" distL="0" distR="0" wp14:anchorId="3C68432B" wp14:editId="06E5A649">
            <wp:extent cx="4753155" cy="2225615"/>
            <wp:effectExtent l="0" t="0" r="9525" b="2286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3BEC" w:rsidRPr="00923BEC" w:rsidRDefault="00923BEC" w:rsidP="00923BEC">
      <w:pPr>
        <w:pStyle w:val="SingleTxt"/>
        <w:spacing w:after="0" w:line="120" w:lineRule="exact"/>
        <w:rPr>
          <w:sz w:val="10"/>
          <w:lang w:val="fr-FR"/>
        </w:rPr>
      </w:pPr>
    </w:p>
    <w:p w:rsidR="00923BEC" w:rsidRPr="00923BEC" w:rsidRDefault="00923BEC" w:rsidP="00923BEC">
      <w:pPr>
        <w:pStyle w:val="SingleTxt"/>
        <w:spacing w:after="0" w:line="120" w:lineRule="exact"/>
        <w:rPr>
          <w:sz w:val="10"/>
          <w:lang w:val="fr-FR"/>
        </w:rPr>
      </w:pPr>
    </w:p>
    <w:p w:rsidR="006968C9" w:rsidRPr="00CA02B6" w:rsidRDefault="006968C9" w:rsidP="00923BEC">
      <w:pPr>
        <w:pStyle w:val="SingleTxt"/>
        <w:numPr>
          <w:ilvl w:val="0"/>
          <w:numId w:val="10"/>
        </w:numPr>
        <w:ind w:left="1267" w:firstLine="0"/>
        <w:rPr>
          <w:szCs w:val="24"/>
          <w:lang w:val="fr-FR"/>
        </w:rPr>
      </w:pPr>
      <w:r w:rsidRPr="00CA02B6">
        <w:rPr>
          <w:lang w:val="fr-FR"/>
        </w:rPr>
        <w:t>La poursuite des travaux de révision de l</w:t>
      </w:r>
      <w:r>
        <w:rPr>
          <w:lang w:val="fr-FR"/>
        </w:rPr>
        <w:t>’</w:t>
      </w:r>
      <w:r w:rsidRPr="00CA02B6">
        <w:rPr>
          <w:lang w:val="fr-FR"/>
        </w:rPr>
        <w:t>AGN, réalisés en coopération avec les États membres et les commissions fluviales</w:t>
      </w:r>
      <w:r w:rsidR="00923BEC">
        <w:rPr>
          <w:lang w:val="fr-FR"/>
        </w:rPr>
        <w:t>,</w:t>
      </w:r>
      <w:r w:rsidRPr="00CA02B6">
        <w:rPr>
          <w:lang w:val="fr-FR"/>
        </w:rPr>
        <w:t xml:space="preserve"> ont débouché en 2012 sur l</w:t>
      </w:r>
      <w:r>
        <w:rPr>
          <w:lang w:val="fr-FR"/>
        </w:rPr>
        <w:t>’</w:t>
      </w:r>
      <w:r w:rsidRPr="00CA02B6">
        <w:rPr>
          <w:lang w:val="fr-FR"/>
        </w:rPr>
        <w:t>adoption par le SC.3 de la quatrième série d</w:t>
      </w:r>
      <w:r>
        <w:rPr>
          <w:lang w:val="fr-FR"/>
        </w:rPr>
        <w:t>’</w:t>
      </w:r>
      <w:r w:rsidRPr="00CA02B6">
        <w:rPr>
          <w:lang w:val="fr-FR"/>
        </w:rPr>
        <w:t>amendements (ECE/TRANS/SC.3/193/Add.1)</w:t>
      </w:r>
      <w:r w:rsidR="00923BEC">
        <w:rPr>
          <w:lang w:val="fr-FR"/>
        </w:rPr>
        <w:t>,</w:t>
      </w:r>
      <w:r w:rsidRPr="00CA02B6">
        <w:rPr>
          <w:lang w:val="fr-FR"/>
        </w:rPr>
        <w:t xml:space="preserve"> </w:t>
      </w:r>
      <w:r w:rsidR="00923BEC">
        <w:rPr>
          <w:lang w:val="fr-FR"/>
        </w:rPr>
        <w:t>lesquels</w:t>
      </w:r>
      <w:r w:rsidRPr="00CA02B6">
        <w:rPr>
          <w:lang w:val="fr-FR"/>
        </w:rPr>
        <w:t xml:space="preserve"> ont été ratifiés en 2014.</w:t>
      </w:r>
      <w:r w:rsidR="006923F0">
        <w:rPr>
          <w:lang w:val="fr-FR"/>
        </w:rPr>
        <w:t xml:space="preserve"> </w:t>
      </w:r>
      <w:r w:rsidRPr="00CA02B6">
        <w:rPr>
          <w:lang w:val="fr-FR"/>
        </w:rPr>
        <w:t>La deuxième édition révisée de l</w:t>
      </w:r>
      <w:r>
        <w:rPr>
          <w:lang w:val="fr-FR"/>
        </w:rPr>
        <w:t>’</w:t>
      </w:r>
      <w:r w:rsidRPr="00CA02B6">
        <w:rPr>
          <w:lang w:val="fr-FR"/>
        </w:rPr>
        <w:t>AGN a été publiée en 2012 avec la troisième série d</w:t>
      </w:r>
      <w:r>
        <w:rPr>
          <w:lang w:val="fr-FR"/>
        </w:rPr>
        <w:t>’</w:t>
      </w:r>
      <w:r w:rsidRPr="00CA02B6">
        <w:rPr>
          <w:lang w:val="fr-FR"/>
        </w:rPr>
        <w:t>amendements adoptés en 2008, et la troisième édition révisée a été publiée en 2014.</w:t>
      </w:r>
    </w:p>
    <w:p w:rsidR="006968C9" w:rsidRPr="00CA02B6" w:rsidRDefault="006968C9" w:rsidP="00923BEC">
      <w:pPr>
        <w:pStyle w:val="SingleTxt"/>
        <w:numPr>
          <w:ilvl w:val="0"/>
          <w:numId w:val="10"/>
        </w:numPr>
        <w:ind w:left="1267" w:firstLine="0"/>
        <w:rPr>
          <w:szCs w:val="24"/>
          <w:lang w:val="fr-FR"/>
        </w:rPr>
      </w:pPr>
      <w:r w:rsidRPr="00CA02B6">
        <w:rPr>
          <w:lang w:val="fr-FR"/>
        </w:rPr>
        <w:t>La deuxième édition révisée de l</w:t>
      </w:r>
      <w:r>
        <w:rPr>
          <w:lang w:val="fr-FR"/>
        </w:rPr>
        <w:t>’</w:t>
      </w:r>
      <w:r w:rsidRPr="00CA02B6">
        <w:rPr>
          <w:lang w:val="fr-FR"/>
        </w:rPr>
        <w:t>Inventaire des normes et paramètres principaux du réseau des voies navigables E (</w:t>
      </w:r>
      <w:r w:rsidR="00923BEC">
        <w:rPr>
          <w:lang w:val="fr-FR"/>
        </w:rPr>
        <w:t>« Livre bleu »</w:t>
      </w:r>
      <w:r w:rsidRPr="00CA02B6">
        <w:rPr>
          <w:lang w:val="fr-FR"/>
        </w:rPr>
        <w:t xml:space="preserve">) a été </w:t>
      </w:r>
      <w:proofErr w:type="gramStart"/>
      <w:r w:rsidRPr="00CA02B6">
        <w:rPr>
          <w:lang w:val="fr-FR"/>
        </w:rPr>
        <w:t>approuvée</w:t>
      </w:r>
      <w:proofErr w:type="gramEnd"/>
      <w:r w:rsidRPr="00CA02B6">
        <w:rPr>
          <w:lang w:val="fr-FR"/>
        </w:rPr>
        <w:t xml:space="preserve"> par le SC.3 à sa cinquante-cinquième session et publiée en 2012. Depuis, des amendements au Livre bleu ont été adoptés par le S</w:t>
      </w:r>
      <w:r w:rsidR="00CD0670">
        <w:rPr>
          <w:lang w:val="fr-FR"/>
        </w:rPr>
        <w:t>C.3 :</w:t>
      </w:r>
    </w:p>
    <w:p w:rsidR="006968C9" w:rsidRPr="00CA02B6" w:rsidRDefault="006968C9" w:rsidP="00CD0670">
      <w:pPr>
        <w:pStyle w:val="Bullet1"/>
        <w:ind w:left="1743" w:hanging="130"/>
        <w:rPr>
          <w:szCs w:val="24"/>
          <w:lang w:val="fr-FR"/>
        </w:rPr>
      </w:pPr>
      <w:r w:rsidRPr="00CA02B6">
        <w:rPr>
          <w:lang w:val="fr-FR"/>
        </w:rPr>
        <w:t>En 2013, à la cinquante-septième session du</w:t>
      </w:r>
      <w:r w:rsidR="006923F0">
        <w:rPr>
          <w:lang w:val="fr-FR"/>
        </w:rPr>
        <w:t xml:space="preserve"> SC.3 (ECE/TRANS/SC.3/195, par. </w:t>
      </w:r>
      <w:r w:rsidRPr="00CA02B6">
        <w:rPr>
          <w:lang w:val="fr-FR"/>
        </w:rPr>
        <w:t>19), les amendements apparaissant dans le document ECE/TRANS/SC.3/</w:t>
      </w:r>
      <w:r w:rsidR="00CD0670">
        <w:rPr>
          <w:lang w:val="fr-FR"/>
        </w:rPr>
        <w:t xml:space="preserve"> </w:t>
      </w:r>
      <w:r w:rsidRPr="00CA02B6">
        <w:rPr>
          <w:lang w:val="fr-FR"/>
        </w:rPr>
        <w:t>144/Rev.2/Add.1;</w:t>
      </w:r>
    </w:p>
    <w:p w:rsidR="006968C9" w:rsidRPr="00CA02B6" w:rsidRDefault="006968C9" w:rsidP="00CD0670">
      <w:pPr>
        <w:pStyle w:val="Bullet1"/>
        <w:ind w:left="1743" w:hanging="130"/>
        <w:rPr>
          <w:szCs w:val="24"/>
          <w:lang w:val="fr-FR"/>
        </w:rPr>
      </w:pPr>
      <w:r w:rsidRPr="00CA02B6">
        <w:rPr>
          <w:lang w:val="fr-FR"/>
        </w:rPr>
        <w:t>En 2014, à la cinquante-huitième session du</w:t>
      </w:r>
      <w:r w:rsidR="006923F0">
        <w:rPr>
          <w:lang w:val="fr-FR"/>
        </w:rPr>
        <w:t xml:space="preserve"> SC.3 (ECE/TRANS/SC.3/197, par. </w:t>
      </w:r>
      <w:r w:rsidRPr="00CA02B6">
        <w:rPr>
          <w:lang w:val="fr-FR"/>
        </w:rPr>
        <w:t>19), les amendements apparaissant dans le document ECE/TRANS/SC.3/ 144/Rev.2/Add.2, publié en 2015.</w:t>
      </w:r>
    </w:p>
    <w:p w:rsidR="006968C9" w:rsidRPr="00CA02B6" w:rsidRDefault="006968C9" w:rsidP="00CD0670">
      <w:pPr>
        <w:pStyle w:val="SingleTxt"/>
        <w:numPr>
          <w:ilvl w:val="0"/>
          <w:numId w:val="10"/>
        </w:numPr>
        <w:ind w:left="1267" w:firstLine="0"/>
        <w:rPr>
          <w:szCs w:val="24"/>
          <w:lang w:val="fr-FR"/>
        </w:rPr>
      </w:pPr>
      <w:r w:rsidRPr="00CA02B6">
        <w:rPr>
          <w:lang w:val="fr-FR"/>
        </w:rPr>
        <w:t>Les amendements les plus récents au Livre bleu</w:t>
      </w:r>
      <w:r w:rsidR="006923F0">
        <w:rPr>
          <w:lang w:val="fr-FR"/>
        </w:rPr>
        <w:t xml:space="preserve"> ont été adoptés à la cinquante</w:t>
      </w:r>
      <w:r w:rsidR="006923F0">
        <w:rPr>
          <w:lang w:val="fr-FR"/>
        </w:rPr>
        <w:noBreakHyphen/>
      </w:r>
      <w:r w:rsidRPr="00CA02B6">
        <w:rPr>
          <w:lang w:val="fr-FR"/>
        </w:rPr>
        <w:t>neuvièm</w:t>
      </w:r>
      <w:r w:rsidR="006923F0">
        <w:rPr>
          <w:lang w:val="fr-FR"/>
        </w:rPr>
        <w:t>e session du SC.3 (ECE/TRANS/</w:t>
      </w:r>
      <w:r w:rsidRPr="00CA02B6">
        <w:rPr>
          <w:lang w:val="fr-FR"/>
        </w:rPr>
        <w:t>SC.3/2015/4). La prochaine édition révisée du Livre bleu, qui sera la troisième, est prévue en 2016.</w:t>
      </w:r>
    </w:p>
    <w:p w:rsidR="006968C9" w:rsidRPr="00CA02B6" w:rsidRDefault="006968C9" w:rsidP="00CD0670">
      <w:pPr>
        <w:pStyle w:val="SingleTxt"/>
        <w:numPr>
          <w:ilvl w:val="0"/>
          <w:numId w:val="10"/>
        </w:numPr>
        <w:ind w:left="1267" w:firstLine="0"/>
        <w:rPr>
          <w:szCs w:val="24"/>
          <w:lang w:val="fr-FR"/>
        </w:rPr>
      </w:pPr>
      <w:r w:rsidRPr="00CA02B6">
        <w:rPr>
          <w:lang w:val="fr-FR"/>
        </w:rPr>
        <w:t>Une application Web de la CEE contenant des données tirées du Livre bleu a été lancée en 2012. Elle a été actualisée sur la base des observations reçues des États membres et est accessible gratuitement en anglais, français et russe à l</w:t>
      </w:r>
      <w:r>
        <w:rPr>
          <w:lang w:val="fr-FR"/>
        </w:rPr>
        <w:t>’</w:t>
      </w:r>
      <w:r w:rsidRPr="00CA02B6">
        <w:rPr>
          <w:lang w:val="fr-FR"/>
        </w:rPr>
        <w:t>adresse</w:t>
      </w:r>
      <w:r>
        <w:rPr>
          <w:lang w:val="fr-FR"/>
        </w:rPr>
        <w:t xml:space="preserve"> </w:t>
      </w:r>
      <w:r w:rsidRPr="00CA02B6">
        <w:rPr>
          <w:lang w:val="fr-FR"/>
        </w:rPr>
        <w:lastRenderedPageBreak/>
        <w:t>www.unece.org/trans/main/sc3/bluebook_database.html. La base de données du Livre bleu indique les caractéristiques de navigation des voies navigables E, telles qu</w:t>
      </w:r>
      <w:r>
        <w:rPr>
          <w:lang w:val="fr-FR"/>
        </w:rPr>
        <w:t>’</w:t>
      </w:r>
      <w:r w:rsidRPr="00CA02B6">
        <w:rPr>
          <w:lang w:val="fr-FR"/>
        </w:rPr>
        <w:t xml:space="preserve">elles </w:t>
      </w:r>
      <w:r w:rsidR="00CD0670">
        <w:rPr>
          <w:lang w:val="fr-FR"/>
        </w:rPr>
        <w:t>sont présentées dans le tableau </w:t>
      </w:r>
      <w:r w:rsidRPr="00CA02B6">
        <w:rPr>
          <w:lang w:val="fr-FR"/>
        </w:rPr>
        <w:t xml:space="preserve">1 du Livre bleu. Y figurent, pour chacune des sections des voies navigables E, les </w:t>
      </w:r>
      <w:r w:rsidR="00CD0670">
        <w:rPr>
          <w:lang w:val="fr-FR"/>
        </w:rPr>
        <w:t>« valeurs actuelles »</w:t>
      </w:r>
      <w:r w:rsidRPr="00CA02B6">
        <w:rPr>
          <w:lang w:val="fr-FR"/>
        </w:rPr>
        <w:t xml:space="preserve"> et les </w:t>
      </w:r>
      <w:r w:rsidR="00CD0670">
        <w:rPr>
          <w:lang w:val="fr-FR"/>
        </w:rPr>
        <w:t>« valeurs visées »</w:t>
      </w:r>
      <w:r w:rsidRPr="00CA02B6">
        <w:rPr>
          <w:lang w:val="fr-FR"/>
        </w:rPr>
        <w:t xml:space="preserve"> à atteindre en modernisant les voies existantes ou en construisant de nouvelles liaisons.</w:t>
      </w:r>
    </w:p>
    <w:p w:rsidR="006968C9" w:rsidRPr="00CA02B6" w:rsidRDefault="006968C9" w:rsidP="00CD0670">
      <w:pPr>
        <w:pStyle w:val="SingleTxt"/>
        <w:numPr>
          <w:ilvl w:val="0"/>
          <w:numId w:val="10"/>
        </w:numPr>
        <w:ind w:left="1267" w:firstLine="0"/>
        <w:rPr>
          <w:szCs w:val="24"/>
          <w:lang w:val="fr-FR"/>
        </w:rPr>
      </w:pPr>
      <w:r w:rsidRPr="00CA02B6">
        <w:rPr>
          <w:lang w:val="fr-FR"/>
        </w:rPr>
        <w:t>La Résolution n</w:t>
      </w:r>
      <w:r w:rsidRPr="00934BD5">
        <w:rPr>
          <w:vertAlign w:val="superscript"/>
          <w:lang w:val="fr-FR"/>
        </w:rPr>
        <w:t>o</w:t>
      </w:r>
      <w:r w:rsidRPr="00CD0670">
        <w:rPr>
          <w:lang w:val="fr-FR"/>
        </w:rPr>
        <w:t> </w:t>
      </w:r>
      <w:r w:rsidRPr="00CA02B6">
        <w:rPr>
          <w:lang w:val="fr-FR"/>
        </w:rPr>
        <w:t xml:space="preserve">49, intitulée </w:t>
      </w:r>
      <w:r w:rsidR="00CD0670">
        <w:rPr>
          <w:lang w:val="fr-FR"/>
        </w:rPr>
        <w:t>« </w:t>
      </w:r>
      <w:r w:rsidRPr="00CA02B6">
        <w:rPr>
          <w:lang w:val="fr-FR"/>
        </w:rPr>
        <w:t>Inventaire des principaux goulets d</w:t>
      </w:r>
      <w:r>
        <w:rPr>
          <w:lang w:val="fr-FR"/>
        </w:rPr>
        <w:t>’</w:t>
      </w:r>
      <w:r w:rsidRPr="00CA02B6">
        <w:rPr>
          <w:lang w:val="fr-FR"/>
        </w:rPr>
        <w:t>étranglement et liaisons manquantes sur l</w:t>
      </w:r>
      <w:r w:rsidR="00CD0670">
        <w:rPr>
          <w:lang w:val="fr-FR"/>
        </w:rPr>
        <w:t>e réseau des voies navigables E », a été révisée et adoptée</w:t>
      </w:r>
      <w:r w:rsidRPr="00CA02B6">
        <w:rPr>
          <w:lang w:val="fr-FR"/>
        </w:rPr>
        <w:t xml:space="preserve"> par le SC.3, à sa cinquante-sixième session, en 2012, en tant que Résolution n</w:t>
      </w:r>
      <w:r w:rsidRPr="00934BD5">
        <w:rPr>
          <w:vertAlign w:val="superscript"/>
          <w:lang w:val="fr-FR"/>
        </w:rPr>
        <w:t>o</w:t>
      </w:r>
      <w:r w:rsidRPr="00CD0670">
        <w:rPr>
          <w:lang w:val="fr-FR"/>
        </w:rPr>
        <w:t> </w:t>
      </w:r>
      <w:r w:rsidRPr="00CA02B6">
        <w:rPr>
          <w:lang w:val="fr-FR"/>
        </w:rPr>
        <w:t>74.</w:t>
      </w:r>
      <w:r w:rsidR="00CD0670">
        <w:rPr>
          <w:lang w:val="fr-FR"/>
        </w:rPr>
        <w:t xml:space="preserve"> </w:t>
      </w:r>
      <w:r w:rsidRPr="00CA02B6">
        <w:rPr>
          <w:lang w:val="fr-FR"/>
        </w:rPr>
        <w:t>D</w:t>
      </w:r>
      <w:r>
        <w:rPr>
          <w:lang w:val="fr-FR"/>
        </w:rPr>
        <w:t>’</w:t>
      </w:r>
      <w:r w:rsidRPr="00CA02B6">
        <w:rPr>
          <w:lang w:val="fr-FR"/>
        </w:rPr>
        <w:t xml:space="preserve">autres amendements </w:t>
      </w:r>
      <w:r w:rsidR="00CD0670">
        <w:rPr>
          <w:lang w:val="fr-FR"/>
        </w:rPr>
        <w:t>« en suspens »</w:t>
      </w:r>
      <w:r w:rsidRPr="00CA02B6">
        <w:rPr>
          <w:lang w:val="fr-FR"/>
        </w:rPr>
        <w:t xml:space="preserve"> ont été a</w:t>
      </w:r>
      <w:r w:rsidR="00CD0670">
        <w:rPr>
          <w:lang w:val="fr-FR"/>
        </w:rPr>
        <w:t>pprouvés par le SC.3 en 2013, 2014 et</w:t>
      </w:r>
      <w:r w:rsidRPr="00CA02B6">
        <w:rPr>
          <w:lang w:val="fr-FR"/>
        </w:rPr>
        <w:t xml:space="preserve"> 2015.</w:t>
      </w:r>
    </w:p>
    <w:p w:rsidR="006968C9" w:rsidRPr="00CD0670" w:rsidRDefault="006968C9" w:rsidP="00CD0670">
      <w:pPr>
        <w:pStyle w:val="SingleTxt"/>
        <w:numPr>
          <w:ilvl w:val="0"/>
          <w:numId w:val="10"/>
        </w:numPr>
        <w:ind w:left="1267" w:firstLine="0"/>
        <w:rPr>
          <w:szCs w:val="24"/>
          <w:lang w:val="fr-FR"/>
        </w:rPr>
      </w:pPr>
      <w:r w:rsidRPr="00CA02B6">
        <w:rPr>
          <w:lang w:val="fr-FR"/>
        </w:rPr>
        <w:t>Le SC.3 et le SC.3/WP.3 continuent de suivre l</w:t>
      </w:r>
      <w:r>
        <w:rPr>
          <w:lang w:val="fr-FR"/>
        </w:rPr>
        <w:t>’</w:t>
      </w:r>
      <w:r w:rsidR="00CD0670">
        <w:rPr>
          <w:lang w:val="fr-FR"/>
        </w:rPr>
        <w:t>état d’</w:t>
      </w:r>
      <w:r w:rsidRPr="00CA02B6">
        <w:rPr>
          <w:lang w:val="fr-FR"/>
        </w:rPr>
        <w:t>avancement des projets infrastructurels. Ils accordent actuellement un intérêt majeur au développement de la sect</w:t>
      </w:r>
      <w:r w:rsidR="00CD0670">
        <w:rPr>
          <w:lang w:val="fr-FR"/>
        </w:rPr>
        <w:t>ion Dniepr-Vistule de la voie E </w:t>
      </w:r>
      <w:r w:rsidRPr="00CA02B6">
        <w:rPr>
          <w:lang w:val="fr-FR"/>
        </w:rPr>
        <w:t>40</w:t>
      </w:r>
      <w:r w:rsidR="006923F0">
        <w:rPr>
          <w:lang w:val="fr-FR"/>
        </w:rPr>
        <w:t>,</w:t>
      </w:r>
      <w:r w:rsidRPr="00CA02B6">
        <w:rPr>
          <w:lang w:val="fr-FR"/>
        </w:rPr>
        <w:t xml:space="preserve"> qui a pour objectif de rétablir la navigation le long des fleuves de la Pologne, du </w:t>
      </w:r>
      <w:proofErr w:type="spellStart"/>
      <w:r w:rsidRPr="00CA02B6">
        <w:rPr>
          <w:lang w:val="fr-FR"/>
        </w:rPr>
        <w:t>Bélarus</w:t>
      </w:r>
      <w:proofErr w:type="spellEnd"/>
      <w:r w:rsidRPr="00CA02B6">
        <w:rPr>
          <w:lang w:val="fr-FR"/>
        </w:rPr>
        <w:t xml:space="preserve"> et de l</w:t>
      </w:r>
      <w:r>
        <w:rPr>
          <w:lang w:val="fr-FR"/>
        </w:rPr>
        <w:t>’</w:t>
      </w:r>
      <w:r w:rsidRPr="00CA02B6">
        <w:rPr>
          <w:lang w:val="fr-FR"/>
        </w:rPr>
        <w:t>Ukraine.</w:t>
      </w:r>
    </w:p>
    <w:p w:rsidR="00CD0670" w:rsidRPr="00CD0670" w:rsidRDefault="00CD0670" w:rsidP="00CD0670">
      <w:pPr>
        <w:pStyle w:val="SingleTxt"/>
        <w:spacing w:after="0" w:line="120" w:lineRule="exact"/>
        <w:rPr>
          <w:sz w:val="10"/>
          <w:lang w:val="fr-FR"/>
        </w:rPr>
      </w:pPr>
    </w:p>
    <w:p w:rsidR="00CD0670" w:rsidRPr="00CD0670" w:rsidRDefault="00CD0670" w:rsidP="00CD0670">
      <w:pPr>
        <w:pStyle w:val="SingleTxt"/>
        <w:spacing w:after="0" w:line="120" w:lineRule="exact"/>
        <w:rPr>
          <w:sz w:val="10"/>
          <w:lang w:val="fr-FR"/>
        </w:rPr>
      </w:pPr>
    </w:p>
    <w:p w:rsidR="006968C9" w:rsidRDefault="006968C9" w:rsidP="006923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02B6">
        <w:rPr>
          <w:lang w:val="fr-FR"/>
        </w:rPr>
        <w:tab/>
        <w:t>B.</w:t>
      </w:r>
      <w:r w:rsidRPr="00CA02B6">
        <w:rPr>
          <w:lang w:val="fr-FR"/>
        </w:rPr>
        <w:tab/>
        <w:t>Recommandation n</w:t>
      </w:r>
      <w:r w:rsidRPr="00CA02B6">
        <w:rPr>
          <w:vertAlign w:val="superscript"/>
          <w:lang w:val="fr-FR"/>
        </w:rPr>
        <w:t>o</w:t>
      </w:r>
      <w:r w:rsidRPr="00CD0670">
        <w:rPr>
          <w:lang w:val="fr-FR"/>
        </w:rPr>
        <w:t> </w:t>
      </w:r>
      <w:r w:rsidRPr="00CA02B6">
        <w:rPr>
          <w:lang w:val="fr-FR"/>
        </w:rPr>
        <w:t>2</w:t>
      </w:r>
    </w:p>
    <w:p w:rsidR="00CD0670" w:rsidRPr="00CD0670" w:rsidRDefault="00CD0670" w:rsidP="00CD0670">
      <w:pPr>
        <w:pStyle w:val="SingleTxt"/>
        <w:spacing w:after="0" w:line="120" w:lineRule="exact"/>
        <w:rPr>
          <w:sz w:val="10"/>
          <w:lang w:val="fr-FR"/>
        </w:rPr>
      </w:pPr>
    </w:p>
    <w:p w:rsidR="00CD0670" w:rsidRPr="00CD0670" w:rsidRDefault="00CD0670" w:rsidP="00CD0670">
      <w:pPr>
        <w:pStyle w:val="SingleTxt"/>
        <w:spacing w:after="0" w:line="120" w:lineRule="exact"/>
        <w:rPr>
          <w:sz w:val="10"/>
          <w:lang w:val="fr-FR"/>
        </w:rPr>
      </w:pPr>
    </w:p>
    <w:p w:rsidR="006968C9" w:rsidRPr="00CA02B6" w:rsidRDefault="006968C9" w:rsidP="00CD0670">
      <w:pPr>
        <w:pStyle w:val="SingleTxt"/>
        <w:numPr>
          <w:ilvl w:val="0"/>
          <w:numId w:val="10"/>
        </w:numPr>
        <w:ind w:left="1267" w:firstLine="0"/>
        <w:rPr>
          <w:szCs w:val="24"/>
          <w:lang w:val="fr-FR"/>
        </w:rPr>
      </w:pPr>
      <w:r w:rsidRPr="00CA02B6">
        <w:rPr>
          <w:lang w:val="fr-FR"/>
        </w:rPr>
        <w:t>S</w:t>
      </w:r>
      <w:r>
        <w:rPr>
          <w:lang w:val="fr-FR"/>
        </w:rPr>
        <w:t>’</w:t>
      </w:r>
      <w:r w:rsidRPr="00CA02B6">
        <w:rPr>
          <w:lang w:val="fr-FR"/>
        </w:rPr>
        <w:t>agissant de ce qui a été fait pour coordonner et appuyer des mesures visant à moderniser la flotte fluviale à l</w:t>
      </w:r>
      <w:r>
        <w:rPr>
          <w:lang w:val="fr-FR"/>
        </w:rPr>
        <w:t>’</w:t>
      </w:r>
      <w:r w:rsidRPr="00CA02B6">
        <w:rPr>
          <w:lang w:val="fr-FR"/>
        </w:rPr>
        <w:t>échelle paneuropéenne (Recommandation n</w:t>
      </w:r>
      <w:r w:rsidRPr="00934BD5">
        <w:rPr>
          <w:vertAlign w:val="superscript"/>
          <w:lang w:val="fr-FR"/>
        </w:rPr>
        <w:t>o</w:t>
      </w:r>
      <w:r w:rsidRPr="00CD0670">
        <w:rPr>
          <w:lang w:val="fr-FR"/>
        </w:rPr>
        <w:t> </w:t>
      </w:r>
      <w:r w:rsidRPr="00CA02B6">
        <w:rPr>
          <w:lang w:val="fr-FR"/>
        </w:rPr>
        <w:t>2), on peut indiquer que les Recommandations de la CEE concernant les prescriptions techniques harmonisées à l</w:t>
      </w:r>
      <w:r>
        <w:rPr>
          <w:lang w:val="fr-FR"/>
        </w:rPr>
        <w:t>’</w:t>
      </w:r>
      <w:r w:rsidRPr="00CA02B6">
        <w:rPr>
          <w:lang w:val="fr-FR"/>
        </w:rPr>
        <w:t>échelle européenne applicables aux bateaux de navigation intérieure (Résolution n</w:t>
      </w:r>
      <w:r w:rsidRPr="00934BD5">
        <w:rPr>
          <w:vertAlign w:val="superscript"/>
          <w:lang w:val="fr-FR"/>
        </w:rPr>
        <w:t>o</w:t>
      </w:r>
      <w:r w:rsidRPr="00CD0670">
        <w:rPr>
          <w:lang w:val="fr-FR"/>
        </w:rPr>
        <w:t> </w:t>
      </w:r>
      <w:r w:rsidRPr="00CA02B6">
        <w:rPr>
          <w:lang w:val="fr-FR"/>
        </w:rPr>
        <w:t>61, révisée) ont été régulièrement mises à jour, compte étant dûment tenu des dispositions en vigueur dans l</w:t>
      </w:r>
      <w:r>
        <w:rPr>
          <w:lang w:val="fr-FR"/>
        </w:rPr>
        <w:t>’</w:t>
      </w:r>
      <w:r w:rsidRPr="00CA02B6">
        <w:rPr>
          <w:lang w:val="fr-FR"/>
        </w:rPr>
        <w:t>UE</w:t>
      </w:r>
      <w:r w:rsidR="00CD0670">
        <w:rPr>
          <w:lang w:val="fr-FR"/>
        </w:rPr>
        <w:t xml:space="preserve"> et les</w:t>
      </w:r>
      <w:r w:rsidRPr="00CA02B6">
        <w:rPr>
          <w:lang w:val="fr-FR"/>
        </w:rPr>
        <w:t xml:space="preserve"> commissions fluviales</w:t>
      </w:r>
      <w:r w:rsidR="00CD0670">
        <w:rPr>
          <w:lang w:val="fr-FR"/>
        </w:rPr>
        <w:t>,</w:t>
      </w:r>
      <w:r w:rsidRPr="00CA02B6">
        <w:rPr>
          <w:lang w:val="fr-FR"/>
        </w:rPr>
        <w:t xml:space="preserve"> </w:t>
      </w:r>
      <w:r w:rsidR="00CD0670">
        <w:rPr>
          <w:lang w:val="fr-FR"/>
        </w:rPr>
        <w:t>ainsi que</w:t>
      </w:r>
      <w:r w:rsidRPr="00CA02B6">
        <w:rPr>
          <w:lang w:val="fr-FR"/>
        </w:rPr>
        <w:t xml:space="preserve"> des normes des États non membres de l</w:t>
      </w:r>
      <w:r>
        <w:rPr>
          <w:lang w:val="fr-FR"/>
        </w:rPr>
        <w:t>’</w:t>
      </w:r>
      <w:r w:rsidRPr="00CA02B6">
        <w:rPr>
          <w:lang w:val="fr-FR"/>
        </w:rPr>
        <w:t>UE.</w:t>
      </w:r>
    </w:p>
    <w:p w:rsidR="006968C9" w:rsidRPr="00CA02B6" w:rsidRDefault="006968C9" w:rsidP="006A6ED8">
      <w:pPr>
        <w:pStyle w:val="SingleTxt"/>
        <w:keepNext/>
        <w:numPr>
          <w:ilvl w:val="0"/>
          <w:numId w:val="10"/>
        </w:numPr>
        <w:ind w:left="1267" w:firstLine="0"/>
        <w:rPr>
          <w:szCs w:val="24"/>
          <w:lang w:val="fr-FR"/>
        </w:rPr>
      </w:pPr>
      <w:r w:rsidRPr="00CA02B6">
        <w:rPr>
          <w:lang w:val="fr-FR"/>
        </w:rPr>
        <w:t>La première version révisée de la Résolution n</w:t>
      </w:r>
      <w:r w:rsidRPr="00934BD5">
        <w:rPr>
          <w:vertAlign w:val="superscript"/>
          <w:lang w:val="fr-FR"/>
        </w:rPr>
        <w:t>o</w:t>
      </w:r>
      <w:r w:rsidRPr="00CD0670">
        <w:rPr>
          <w:lang w:val="fr-FR"/>
        </w:rPr>
        <w:t> </w:t>
      </w:r>
      <w:r w:rsidRPr="00CA02B6">
        <w:rPr>
          <w:lang w:val="fr-FR"/>
        </w:rPr>
        <w:t>61 a été adoptée en 2010, à la cinquante-quatrième session du SC.3, et a été publiée en 2011 sous la cote ECE/TRANS/SC.3/172/Rev.1. Depuis 2011, le SC.3 a approuvé d</w:t>
      </w:r>
      <w:r>
        <w:rPr>
          <w:lang w:val="fr-FR"/>
        </w:rPr>
        <w:t>’</w:t>
      </w:r>
      <w:r w:rsidRPr="00CA02B6">
        <w:rPr>
          <w:lang w:val="fr-FR"/>
        </w:rPr>
        <w:t>autres amendements et additifs à la Résolution n</w:t>
      </w:r>
      <w:r w:rsidRPr="00CA02B6">
        <w:rPr>
          <w:vertAlign w:val="superscript"/>
          <w:lang w:val="fr-FR"/>
        </w:rPr>
        <w:t>o</w:t>
      </w:r>
      <w:r w:rsidRPr="00CD0670">
        <w:rPr>
          <w:lang w:val="fr-FR"/>
        </w:rPr>
        <w:t> </w:t>
      </w:r>
      <w:r w:rsidRPr="00CA02B6">
        <w:rPr>
          <w:lang w:val="fr-FR"/>
        </w:rPr>
        <w:t>61</w:t>
      </w:r>
      <w:r w:rsidR="00CD0670">
        <w:rPr>
          <w:lang w:val="fr-FR"/>
        </w:rPr>
        <w:t xml:space="preserve"> </w:t>
      </w:r>
      <w:r w:rsidRPr="00CA02B6">
        <w:rPr>
          <w:lang w:val="fr-FR"/>
        </w:rPr>
        <w:t>en s</w:t>
      </w:r>
      <w:r>
        <w:rPr>
          <w:lang w:val="fr-FR"/>
        </w:rPr>
        <w:t>’</w:t>
      </w:r>
      <w:r w:rsidRPr="00CA02B6">
        <w:rPr>
          <w:lang w:val="fr-FR"/>
        </w:rPr>
        <w:t>appuyant sur les résultats des cinq réunions tenues par le Groupe d</w:t>
      </w:r>
      <w:r>
        <w:rPr>
          <w:lang w:val="fr-FR"/>
        </w:rPr>
        <w:t>’</w:t>
      </w:r>
      <w:r w:rsidRPr="00CA02B6">
        <w:rPr>
          <w:lang w:val="fr-FR"/>
        </w:rPr>
        <w:t>experts volontaires chargé de la Résolution n</w:t>
      </w:r>
      <w:r w:rsidRPr="00934BD5">
        <w:rPr>
          <w:vertAlign w:val="superscript"/>
          <w:lang w:val="fr-FR"/>
        </w:rPr>
        <w:t>o</w:t>
      </w:r>
      <w:r w:rsidRPr="00CD0670">
        <w:rPr>
          <w:lang w:val="fr-FR"/>
        </w:rPr>
        <w:t> </w:t>
      </w:r>
      <w:r w:rsidR="00CD0670">
        <w:rPr>
          <w:lang w:val="fr-FR"/>
        </w:rPr>
        <w:t>61 (6</w:t>
      </w:r>
      <w:r w:rsidR="00CD0670">
        <w:rPr>
          <w:lang w:val="fr-FR"/>
        </w:rPr>
        <w:noBreakHyphen/>
      </w:r>
      <w:r w:rsidRPr="00CA02B6">
        <w:rPr>
          <w:lang w:val="fr-FR"/>
        </w:rPr>
        <w:t>9</w:t>
      </w:r>
      <w:r w:rsidR="00CD0670">
        <w:rPr>
          <w:lang w:val="fr-FR"/>
        </w:rPr>
        <w:t> septembre 2011, 23-25 octobre 2012, 4-6 juin 2013, 26-28 février 2014 et 1</w:t>
      </w:r>
      <w:r w:rsidR="006923F0">
        <w:rPr>
          <w:lang w:val="fr-FR"/>
        </w:rPr>
        <w:t>1</w:t>
      </w:r>
      <w:r w:rsidR="006923F0">
        <w:rPr>
          <w:lang w:val="fr-FR"/>
        </w:rPr>
        <w:noBreakHyphen/>
      </w:r>
      <w:r w:rsidR="00CD0670">
        <w:rPr>
          <w:lang w:val="fr-FR"/>
        </w:rPr>
        <w:t>13 </w:t>
      </w:r>
      <w:r w:rsidR="006A6ED8">
        <w:rPr>
          <w:lang w:val="fr-FR"/>
        </w:rPr>
        <w:t>mai 2015) </w:t>
      </w:r>
      <w:r w:rsidRPr="00CA02B6">
        <w:rPr>
          <w:lang w:val="fr-FR"/>
        </w:rPr>
        <w:t>:</w:t>
      </w:r>
    </w:p>
    <w:p w:rsidR="006968C9" w:rsidRPr="00CA02B6" w:rsidRDefault="006968C9" w:rsidP="00CD0670">
      <w:pPr>
        <w:pStyle w:val="Bullet1"/>
        <w:ind w:left="1743" w:hanging="130"/>
        <w:rPr>
          <w:szCs w:val="24"/>
          <w:lang w:val="fr-FR"/>
        </w:rPr>
      </w:pPr>
      <w:r w:rsidRPr="00CA02B6">
        <w:rPr>
          <w:lang w:val="fr-FR"/>
        </w:rPr>
        <w:t>Amendement n</w:t>
      </w:r>
      <w:r w:rsidRPr="00934BD5">
        <w:rPr>
          <w:vertAlign w:val="superscript"/>
          <w:lang w:val="fr-FR"/>
        </w:rPr>
        <w:t>o</w:t>
      </w:r>
      <w:r w:rsidRPr="00CD0670">
        <w:rPr>
          <w:lang w:val="fr-FR"/>
        </w:rPr>
        <w:t> </w:t>
      </w:r>
      <w:r w:rsidRPr="00CA02B6">
        <w:rPr>
          <w:lang w:val="fr-FR"/>
        </w:rPr>
        <w:t>1 (2011) (EC</w:t>
      </w:r>
      <w:r w:rsidR="00CD0670">
        <w:rPr>
          <w:lang w:val="fr-FR"/>
        </w:rPr>
        <w:t>E/TRANS/SC.3/172/Rev.1/Amend.1) </w:t>
      </w:r>
      <w:r w:rsidRPr="00CA02B6">
        <w:rPr>
          <w:lang w:val="fr-FR"/>
        </w:rPr>
        <w:t>: révision des termes et définitions figurant dans la Résolutio</w:t>
      </w:r>
      <w:r w:rsidR="00CD0670">
        <w:rPr>
          <w:lang w:val="fr-FR"/>
        </w:rPr>
        <w:t>n (Sect. 1-2); nouveau chapitre </w:t>
      </w:r>
      <w:r w:rsidRPr="00CA02B6">
        <w:rPr>
          <w:lang w:val="fr-FR"/>
        </w:rPr>
        <w:t xml:space="preserve">20B sur les dispositions spéciales applicables aux bateaux de navigation </w:t>
      </w:r>
      <w:proofErr w:type="spellStart"/>
      <w:r w:rsidRPr="00CA02B6">
        <w:rPr>
          <w:lang w:val="fr-FR"/>
        </w:rPr>
        <w:t>fluvio-mari</w:t>
      </w:r>
      <w:r w:rsidR="00CD0670">
        <w:rPr>
          <w:lang w:val="fr-FR"/>
        </w:rPr>
        <w:t>time</w:t>
      </w:r>
      <w:proofErr w:type="spellEnd"/>
      <w:r w:rsidR="00CD0670">
        <w:rPr>
          <w:lang w:val="fr-FR"/>
        </w:rPr>
        <w:t>; amendements aux chapitres </w:t>
      </w:r>
      <w:r w:rsidR="006923F0">
        <w:rPr>
          <w:lang w:val="fr-FR"/>
        </w:rPr>
        <w:t xml:space="preserve">1 et 6, </w:t>
      </w:r>
      <w:r w:rsidR="00CD0670">
        <w:rPr>
          <w:lang w:val="fr-FR"/>
        </w:rPr>
        <w:t>appendice </w:t>
      </w:r>
      <w:r w:rsidRPr="00CA02B6">
        <w:rPr>
          <w:lang w:val="fr-FR"/>
        </w:rPr>
        <w:t>II;</w:t>
      </w:r>
      <w:r>
        <w:rPr>
          <w:lang w:val="fr-FR"/>
        </w:rPr>
        <w:t xml:space="preserve"> </w:t>
      </w:r>
    </w:p>
    <w:p w:rsidR="006968C9" w:rsidRPr="00CA02B6" w:rsidRDefault="006968C9" w:rsidP="00CD0670">
      <w:pPr>
        <w:pStyle w:val="Bullet1"/>
        <w:ind w:left="1743" w:hanging="130"/>
        <w:rPr>
          <w:szCs w:val="24"/>
          <w:lang w:val="fr-FR"/>
        </w:rPr>
      </w:pPr>
      <w:r w:rsidRPr="00CA02B6">
        <w:rPr>
          <w:lang w:val="fr-FR"/>
        </w:rPr>
        <w:t>Amendement n</w:t>
      </w:r>
      <w:r w:rsidRPr="00934BD5">
        <w:rPr>
          <w:vertAlign w:val="superscript"/>
          <w:lang w:val="fr-FR"/>
        </w:rPr>
        <w:t>o</w:t>
      </w:r>
      <w:r w:rsidRPr="00CD0670">
        <w:rPr>
          <w:lang w:val="fr-FR"/>
        </w:rPr>
        <w:t> </w:t>
      </w:r>
      <w:r w:rsidRPr="00CA02B6">
        <w:rPr>
          <w:lang w:val="fr-FR"/>
        </w:rPr>
        <w:t>2 (2012) (EC</w:t>
      </w:r>
      <w:r w:rsidR="00CD0670">
        <w:rPr>
          <w:lang w:val="fr-FR"/>
        </w:rPr>
        <w:t>E/TRANS/SC.3/172/Rev.1/Amend.2) </w:t>
      </w:r>
      <w:r w:rsidRPr="00CA02B6">
        <w:rPr>
          <w:lang w:val="fr-FR"/>
        </w:rPr>
        <w:t xml:space="preserve">: nouvelle section 7-3A, intitulée </w:t>
      </w:r>
      <w:r w:rsidR="00CD0670">
        <w:rPr>
          <w:lang w:val="fr-FR"/>
        </w:rPr>
        <w:t>« </w:t>
      </w:r>
      <w:r w:rsidRPr="00CA02B6">
        <w:rPr>
          <w:lang w:val="fr-FR"/>
        </w:rPr>
        <w:t>Prescriptions re</w:t>
      </w:r>
      <w:r w:rsidR="00CD0670">
        <w:rPr>
          <w:lang w:val="fr-FR"/>
        </w:rPr>
        <w:t>latives aux ordinateurs de bord » dans le chapitre </w:t>
      </w:r>
      <w:r w:rsidRPr="00CA02B6">
        <w:rPr>
          <w:lang w:val="fr-FR"/>
        </w:rPr>
        <w:t xml:space="preserve">7, intitulé </w:t>
      </w:r>
      <w:r w:rsidR="00CD0670">
        <w:rPr>
          <w:lang w:val="fr-FR"/>
        </w:rPr>
        <w:t>« Timonerie »; nouveaux chapitres </w:t>
      </w:r>
      <w:r w:rsidRPr="00CA02B6">
        <w:rPr>
          <w:lang w:val="fr-FR"/>
        </w:rPr>
        <w:t xml:space="preserve">17, intitulé </w:t>
      </w:r>
      <w:r w:rsidR="00CD0670">
        <w:rPr>
          <w:lang w:val="fr-FR"/>
        </w:rPr>
        <w:t>« </w:t>
      </w:r>
      <w:r w:rsidRPr="00CA02B6">
        <w:rPr>
          <w:lang w:val="fr-FR"/>
        </w:rPr>
        <w:t>Dispositions particul</w:t>
      </w:r>
      <w:r w:rsidR="00CD0670">
        <w:rPr>
          <w:lang w:val="fr-FR"/>
        </w:rPr>
        <w:t>ières pour les engins flottants »</w:t>
      </w:r>
      <w:r w:rsidRPr="00CA02B6">
        <w:rPr>
          <w:lang w:val="fr-FR"/>
        </w:rPr>
        <w:t xml:space="preserve">, et 18, intitulé </w:t>
      </w:r>
      <w:r w:rsidR="00CD0670">
        <w:rPr>
          <w:lang w:val="fr-FR"/>
        </w:rPr>
        <w:t>« </w:t>
      </w:r>
      <w:r w:rsidRPr="00CA02B6">
        <w:rPr>
          <w:lang w:val="fr-FR"/>
        </w:rPr>
        <w:t>Dispositions spéciales pour les bât</w:t>
      </w:r>
      <w:r w:rsidR="00CD0670">
        <w:rPr>
          <w:lang w:val="fr-FR"/>
        </w:rPr>
        <w:t>iments de chantier »</w:t>
      </w:r>
      <w:r w:rsidRPr="00CA02B6">
        <w:rPr>
          <w:lang w:val="fr-FR"/>
        </w:rPr>
        <w:t>, ainsi</w:t>
      </w:r>
      <w:r w:rsidR="00CD0670">
        <w:rPr>
          <w:lang w:val="fr-FR"/>
        </w:rPr>
        <w:t xml:space="preserve"> que projet de nouvelle section </w:t>
      </w:r>
      <w:r w:rsidRPr="00CA02B6">
        <w:rPr>
          <w:lang w:val="fr-FR"/>
        </w:rPr>
        <w:t xml:space="preserve">20B-8 du chapitre 20B, </w:t>
      </w:r>
      <w:r w:rsidR="00CD0670">
        <w:rPr>
          <w:lang w:val="fr-FR"/>
        </w:rPr>
        <w:t>« </w:t>
      </w:r>
      <w:r w:rsidRPr="00CA02B6">
        <w:rPr>
          <w:lang w:val="fr-FR"/>
        </w:rPr>
        <w:t xml:space="preserve">Dispositions spéciales pour les bâtiments formant des convois </w:t>
      </w:r>
      <w:proofErr w:type="spellStart"/>
      <w:r w:rsidRPr="00CA02B6">
        <w:rPr>
          <w:lang w:val="fr-FR"/>
        </w:rPr>
        <w:t>fluvio-maritimes</w:t>
      </w:r>
      <w:proofErr w:type="spellEnd"/>
      <w:r w:rsidRPr="00CA02B6">
        <w:rPr>
          <w:lang w:val="fr-FR"/>
        </w:rPr>
        <w:t xml:space="preserve"> poussés</w:t>
      </w:r>
      <w:r w:rsidR="00CD0670">
        <w:rPr>
          <w:lang w:val="fr-FR"/>
        </w:rPr>
        <w:t> »</w:t>
      </w:r>
      <w:r w:rsidRPr="00CA02B6">
        <w:rPr>
          <w:lang w:val="fr-FR"/>
        </w:rPr>
        <w:t>;</w:t>
      </w:r>
    </w:p>
    <w:p w:rsidR="006968C9" w:rsidRPr="00CA02B6" w:rsidRDefault="006968C9" w:rsidP="00CD0670">
      <w:pPr>
        <w:pStyle w:val="Bullet1"/>
        <w:ind w:left="1743" w:hanging="130"/>
        <w:rPr>
          <w:szCs w:val="24"/>
          <w:lang w:val="fr-FR"/>
        </w:rPr>
      </w:pPr>
      <w:r w:rsidRPr="00CA02B6">
        <w:rPr>
          <w:lang w:val="fr-FR"/>
        </w:rPr>
        <w:t>Nouvel ensemble d</w:t>
      </w:r>
      <w:r>
        <w:rPr>
          <w:lang w:val="fr-FR"/>
        </w:rPr>
        <w:t>’</w:t>
      </w:r>
      <w:r w:rsidRPr="00CA02B6">
        <w:rPr>
          <w:lang w:val="fr-FR"/>
        </w:rPr>
        <w:t>amendements approuvé par le SC.3 en 2014 (ECE/TRANS/SC.3/WP.</w:t>
      </w:r>
      <w:r w:rsidR="00CD0670">
        <w:rPr>
          <w:lang w:val="fr-FR"/>
        </w:rPr>
        <w:t>3/2014/6-ECE/TRANS/SC.3/WP.3/2014/8) : révision du chapitre </w:t>
      </w:r>
      <w:r w:rsidRPr="00CA02B6">
        <w:rPr>
          <w:lang w:val="fr-FR"/>
        </w:rPr>
        <w:t xml:space="preserve">4, </w:t>
      </w:r>
      <w:r w:rsidR="00CD0670">
        <w:rPr>
          <w:lang w:val="fr-FR"/>
        </w:rPr>
        <w:t>« </w:t>
      </w:r>
      <w:r w:rsidRPr="00CA02B6">
        <w:rPr>
          <w:lang w:val="fr-FR"/>
        </w:rPr>
        <w:t>Distance de sécurité, franc-bord et échelles de tirant d</w:t>
      </w:r>
      <w:r>
        <w:rPr>
          <w:lang w:val="fr-FR"/>
        </w:rPr>
        <w:t>’</w:t>
      </w:r>
      <w:r w:rsidR="00CD0670">
        <w:rPr>
          <w:lang w:val="fr-FR"/>
        </w:rPr>
        <w:t>eau »; nouveau chapitre </w:t>
      </w:r>
      <w:r w:rsidRPr="00CA02B6">
        <w:rPr>
          <w:lang w:val="fr-FR"/>
        </w:rPr>
        <w:t xml:space="preserve">15A </w:t>
      </w:r>
      <w:r w:rsidR="00CD0670">
        <w:rPr>
          <w:lang w:val="fr-FR"/>
        </w:rPr>
        <w:t>« </w:t>
      </w:r>
      <w:r w:rsidRPr="00CA02B6">
        <w:rPr>
          <w:lang w:val="fr-FR"/>
        </w:rPr>
        <w:t>Dispositions spéciale</w:t>
      </w:r>
      <w:r w:rsidR="00CD0670">
        <w:rPr>
          <w:lang w:val="fr-FR"/>
        </w:rPr>
        <w:t>s pour les voiliers à passagers »; nouveau chapitre </w:t>
      </w:r>
      <w:r w:rsidRPr="00CA02B6">
        <w:rPr>
          <w:lang w:val="fr-FR"/>
        </w:rPr>
        <w:t xml:space="preserve">22A, </w:t>
      </w:r>
      <w:r w:rsidR="00CD0670">
        <w:rPr>
          <w:lang w:val="fr-FR"/>
        </w:rPr>
        <w:t>« </w:t>
      </w:r>
      <w:r w:rsidRPr="00CA02B6">
        <w:rPr>
          <w:lang w:val="fr-FR"/>
        </w:rPr>
        <w:t>Dispositions spéciales applicables aux bâtiments d</w:t>
      </w:r>
      <w:r>
        <w:rPr>
          <w:lang w:val="fr-FR"/>
        </w:rPr>
        <w:t>’</w:t>
      </w:r>
      <w:r w:rsidR="00CD0670">
        <w:rPr>
          <w:lang w:val="fr-FR"/>
        </w:rPr>
        <w:t>une longueur supérieure à 110 m »</w:t>
      </w:r>
      <w:r w:rsidR="00E165A0">
        <w:rPr>
          <w:lang w:val="fr-FR"/>
        </w:rPr>
        <w:t xml:space="preserve"> et amendements aux sections </w:t>
      </w:r>
      <w:r w:rsidRPr="00CA02B6">
        <w:rPr>
          <w:lang w:val="fr-FR"/>
        </w:rPr>
        <w:t>2-7.3, 10-1.4</w:t>
      </w:r>
      <w:r w:rsidR="006923F0">
        <w:rPr>
          <w:lang w:val="fr-FR"/>
        </w:rPr>
        <w:t>,</w:t>
      </w:r>
      <w:r w:rsidRPr="00CA02B6">
        <w:rPr>
          <w:lang w:val="fr-FR"/>
        </w:rPr>
        <w:t xml:space="preserve"> 11-4 et à l</w:t>
      </w:r>
      <w:r>
        <w:rPr>
          <w:lang w:val="fr-FR"/>
        </w:rPr>
        <w:t>’</w:t>
      </w:r>
      <w:r w:rsidR="00E165A0">
        <w:rPr>
          <w:lang w:val="fr-FR"/>
        </w:rPr>
        <w:t>annexe </w:t>
      </w:r>
      <w:r w:rsidRPr="00CA02B6">
        <w:rPr>
          <w:lang w:val="fr-FR"/>
        </w:rPr>
        <w:t>3.</w:t>
      </w:r>
    </w:p>
    <w:p w:rsidR="006968C9" w:rsidRPr="00CA02B6" w:rsidRDefault="006968C9" w:rsidP="006A6ED8">
      <w:pPr>
        <w:pStyle w:val="SingleTxt"/>
        <w:numPr>
          <w:ilvl w:val="0"/>
          <w:numId w:val="10"/>
        </w:numPr>
        <w:ind w:left="1267" w:firstLine="0"/>
        <w:rPr>
          <w:szCs w:val="24"/>
          <w:lang w:val="fr-FR"/>
        </w:rPr>
      </w:pPr>
      <w:r w:rsidRPr="00CA02B6">
        <w:rPr>
          <w:lang w:val="fr-FR"/>
        </w:rPr>
        <w:lastRenderedPageBreak/>
        <w:t>Les propositions d</w:t>
      </w:r>
      <w:r>
        <w:rPr>
          <w:lang w:val="fr-FR"/>
        </w:rPr>
        <w:t>’</w:t>
      </w:r>
      <w:r w:rsidRPr="00CA02B6">
        <w:rPr>
          <w:lang w:val="fr-FR"/>
        </w:rPr>
        <w:t>amendements suivantes, notamment la proposition de nouvelle section 8B-4 et les projets d</w:t>
      </w:r>
      <w:r>
        <w:rPr>
          <w:lang w:val="fr-FR"/>
        </w:rPr>
        <w:t>’</w:t>
      </w:r>
      <w:r w:rsidRPr="00CA02B6">
        <w:rPr>
          <w:lang w:val="fr-FR"/>
        </w:rPr>
        <w:t>appendices</w:t>
      </w:r>
      <w:r w:rsidR="006A6ED8">
        <w:rPr>
          <w:lang w:val="fr-FR"/>
        </w:rPr>
        <w:t> </w:t>
      </w:r>
      <w:r w:rsidRPr="00CA02B6">
        <w:rPr>
          <w:lang w:val="fr-FR"/>
        </w:rPr>
        <w:t>8 et 9 (ECE/TRANS/SC.3/2015/8), une proposit</w:t>
      </w:r>
      <w:r w:rsidR="006A6ED8">
        <w:rPr>
          <w:lang w:val="fr-FR"/>
        </w:rPr>
        <w:t>ion de modification du chapitre </w:t>
      </w:r>
      <w:r w:rsidRPr="00CA02B6">
        <w:rPr>
          <w:lang w:val="fr-FR"/>
        </w:rPr>
        <w:t>23 et de l</w:t>
      </w:r>
      <w:r>
        <w:rPr>
          <w:lang w:val="fr-FR"/>
        </w:rPr>
        <w:t>’</w:t>
      </w:r>
      <w:r w:rsidR="006A6ED8">
        <w:rPr>
          <w:lang w:val="fr-FR"/>
        </w:rPr>
        <w:t>appendice </w:t>
      </w:r>
      <w:r w:rsidRPr="00CA02B6">
        <w:rPr>
          <w:lang w:val="fr-FR"/>
        </w:rPr>
        <w:t xml:space="preserve">2 et une </w:t>
      </w:r>
      <w:r w:rsidR="006A6ED8">
        <w:rPr>
          <w:lang w:val="fr-FR"/>
        </w:rPr>
        <w:t>proposition de nouveau chapitre </w:t>
      </w:r>
      <w:r w:rsidRPr="00CA02B6">
        <w:rPr>
          <w:lang w:val="fr-FR"/>
        </w:rPr>
        <w:t>24 (ECE/TRANS/SC.3/2015/9),</w:t>
      </w:r>
      <w:r w:rsidR="006A6ED8">
        <w:rPr>
          <w:lang w:val="fr-FR"/>
        </w:rPr>
        <w:t xml:space="preserve"> sont présentées à la cinquante</w:t>
      </w:r>
      <w:r w:rsidR="006A6ED8">
        <w:rPr>
          <w:lang w:val="fr-FR"/>
        </w:rPr>
        <w:noBreakHyphen/>
      </w:r>
      <w:r w:rsidRPr="00CA02B6">
        <w:rPr>
          <w:lang w:val="fr-FR"/>
        </w:rPr>
        <w:t xml:space="preserve">neuvième session du SC.3 </w:t>
      </w:r>
      <w:r w:rsidR="006A6ED8">
        <w:rPr>
          <w:lang w:val="fr-FR"/>
        </w:rPr>
        <w:t>pour être examinées plus avant.</w:t>
      </w:r>
    </w:p>
    <w:p w:rsidR="006968C9" w:rsidRPr="006A6ED8" w:rsidRDefault="006968C9" w:rsidP="006A6ED8">
      <w:pPr>
        <w:pStyle w:val="SingleTxt"/>
        <w:numPr>
          <w:ilvl w:val="0"/>
          <w:numId w:val="10"/>
        </w:numPr>
        <w:ind w:left="1267" w:firstLine="0"/>
        <w:rPr>
          <w:szCs w:val="24"/>
          <w:lang w:val="fr-FR"/>
        </w:rPr>
      </w:pPr>
      <w:r w:rsidRPr="00CA02B6">
        <w:rPr>
          <w:lang w:val="fr-FR"/>
        </w:rPr>
        <w:t>L</w:t>
      </w:r>
      <w:r>
        <w:rPr>
          <w:lang w:val="fr-FR"/>
        </w:rPr>
        <w:t>’</w:t>
      </w:r>
      <w:r w:rsidRPr="00CA02B6">
        <w:rPr>
          <w:lang w:val="fr-FR"/>
        </w:rPr>
        <w:t>élaboration d</w:t>
      </w:r>
      <w:r>
        <w:rPr>
          <w:lang w:val="fr-FR"/>
        </w:rPr>
        <w:t>’</w:t>
      </w:r>
      <w:r w:rsidRPr="00CA02B6">
        <w:rPr>
          <w:lang w:val="fr-FR"/>
        </w:rPr>
        <w:t>une version consolidée de la Résolution n</w:t>
      </w:r>
      <w:r w:rsidRPr="00934BD5">
        <w:rPr>
          <w:vertAlign w:val="superscript"/>
          <w:lang w:val="fr-FR"/>
        </w:rPr>
        <w:t>o</w:t>
      </w:r>
      <w:r w:rsidRPr="006A6ED8">
        <w:rPr>
          <w:lang w:val="fr-FR"/>
        </w:rPr>
        <w:t> </w:t>
      </w:r>
      <w:r w:rsidRPr="00CA02B6">
        <w:rPr>
          <w:lang w:val="fr-FR"/>
        </w:rPr>
        <w:t>61 est prévue pour l</w:t>
      </w:r>
      <w:r>
        <w:rPr>
          <w:lang w:val="fr-FR"/>
        </w:rPr>
        <w:t>’</w:t>
      </w:r>
      <w:r w:rsidRPr="00CA02B6">
        <w:rPr>
          <w:lang w:val="fr-FR"/>
        </w:rPr>
        <w:t>exercice biennal 2016-2017.</w:t>
      </w:r>
    </w:p>
    <w:p w:rsidR="006A6ED8" w:rsidRPr="006A6ED8" w:rsidRDefault="006A6ED8" w:rsidP="006A6ED8">
      <w:pPr>
        <w:pStyle w:val="SingleTxt"/>
        <w:spacing w:after="0" w:line="120" w:lineRule="exact"/>
        <w:rPr>
          <w:sz w:val="10"/>
          <w:lang w:val="fr-FR"/>
        </w:rPr>
      </w:pPr>
    </w:p>
    <w:p w:rsidR="006A6ED8" w:rsidRPr="006A6ED8" w:rsidRDefault="006A6ED8" w:rsidP="006A6ED8">
      <w:pPr>
        <w:pStyle w:val="SingleTxt"/>
        <w:spacing w:after="0" w:line="120" w:lineRule="exact"/>
        <w:rPr>
          <w:sz w:val="10"/>
          <w:lang w:val="fr-FR"/>
        </w:rPr>
      </w:pPr>
    </w:p>
    <w:p w:rsidR="006968C9" w:rsidRDefault="006968C9" w:rsidP="006A6E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02B6">
        <w:rPr>
          <w:lang w:val="fr-FR"/>
        </w:rPr>
        <w:tab/>
        <w:t>C.</w:t>
      </w:r>
      <w:r w:rsidRPr="00CA02B6">
        <w:rPr>
          <w:lang w:val="fr-FR"/>
        </w:rPr>
        <w:tab/>
        <w:t>Recommandation n</w:t>
      </w:r>
      <w:r w:rsidR="006A6ED8" w:rsidRPr="006A6ED8">
        <w:rPr>
          <w:vertAlign w:val="superscript"/>
          <w:lang w:val="fr-FR"/>
        </w:rPr>
        <w:t>o</w:t>
      </w:r>
      <w:r w:rsidR="006A6ED8" w:rsidRPr="006A6ED8">
        <w:rPr>
          <w:lang w:val="fr-FR"/>
        </w:rPr>
        <w:t> </w:t>
      </w:r>
      <w:r w:rsidRPr="00CA02B6">
        <w:rPr>
          <w:lang w:val="fr-FR"/>
        </w:rPr>
        <w:t>3</w:t>
      </w:r>
    </w:p>
    <w:p w:rsidR="006A6ED8" w:rsidRPr="006A6ED8" w:rsidRDefault="006A6ED8" w:rsidP="006A6ED8">
      <w:pPr>
        <w:pStyle w:val="SingleTxt"/>
        <w:spacing w:after="0" w:line="120" w:lineRule="exact"/>
        <w:rPr>
          <w:sz w:val="10"/>
          <w:lang w:val="fr-FR"/>
        </w:rPr>
      </w:pPr>
    </w:p>
    <w:p w:rsidR="006A6ED8" w:rsidRPr="006A6ED8" w:rsidRDefault="006A6ED8" w:rsidP="006A6ED8">
      <w:pPr>
        <w:pStyle w:val="SingleTxt"/>
        <w:spacing w:after="0" w:line="120" w:lineRule="exact"/>
        <w:rPr>
          <w:sz w:val="10"/>
          <w:lang w:val="fr-FR"/>
        </w:rPr>
      </w:pPr>
    </w:p>
    <w:p w:rsidR="006968C9" w:rsidRPr="00CA02B6" w:rsidRDefault="006968C9" w:rsidP="004C7E5A">
      <w:pPr>
        <w:pStyle w:val="SingleTxt"/>
        <w:keepNext/>
        <w:numPr>
          <w:ilvl w:val="0"/>
          <w:numId w:val="10"/>
        </w:numPr>
        <w:ind w:left="1267" w:firstLine="0"/>
        <w:rPr>
          <w:szCs w:val="24"/>
          <w:lang w:val="fr-FR"/>
        </w:rPr>
      </w:pPr>
      <w:r w:rsidRPr="00CA02B6">
        <w:rPr>
          <w:lang w:val="fr-FR"/>
        </w:rPr>
        <w:t>Le SC.3, en coopération avec les groupes internationaux d</w:t>
      </w:r>
      <w:r>
        <w:rPr>
          <w:lang w:val="fr-FR"/>
        </w:rPr>
        <w:t>’</w:t>
      </w:r>
      <w:r w:rsidRPr="00CA02B6">
        <w:rPr>
          <w:lang w:val="fr-FR"/>
        </w:rPr>
        <w:t>experts, l</w:t>
      </w:r>
      <w:r>
        <w:rPr>
          <w:lang w:val="fr-FR"/>
        </w:rPr>
        <w:t>’</w:t>
      </w:r>
      <w:r w:rsidRPr="00CA02B6">
        <w:rPr>
          <w:lang w:val="fr-FR"/>
        </w:rPr>
        <w:t>UE et les commissions fluviales, gère et actualise les résolutions ci-après portant sur les questions relatives aux services d</w:t>
      </w:r>
      <w:r>
        <w:rPr>
          <w:lang w:val="fr-FR"/>
        </w:rPr>
        <w:t>’</w:t>
      </w:r>
      <w:r w:rsidR="006A6ED8">
        <w:rPr>
          <w:lang w:val="fr-FR"/>
        </w:rPr>
        <w:t>information fluviale </w:t>
      </w:r>
      <w:r w:rsidRPr="00CA02B6">
        <w:rPr>
          <w:lang w:val="fr-FR"/>
        </w:rPr>
        <w:t>:</w:t>
      </w:r>
    </w:p>
    <w:p w:rsidR="006968C9" w:rsidRPr="00CA02B6" w:rsidRDefault="006968C9" w:rsidP="006A6ED8">
      <w:pPr>
        <w:pStyle w:val="Bullet1"/>
        <w:ind w:left="1743" w:hanging="130"/>
        <w:rPr>
          <w:szCs w:val="24"/>
          <w:lang w:val="fr-FR"/>
        </w:rPr>
      </w:pPr>
      <w:r w:rsidRPr="00CA02B6">
        <w:rPr>
          <w:lang w:val="fr-FR"/>
        </w:rPr>
        <w:t>Résolution n</w:t>
      </w:r>
      <w:r w:rsidRPr="00934BD5">
        <w:rPr>
          <w:vertAlign w:val="superscript"/>
          <w:lang w:val="fr-FR"/>
        </w:rPr>
        <w:t>o</w:t>
      </w:r>
      <w:r w:rsidRPr="006A6ED8">
        <w:rPr>
          <w:lang w:val="fr-FR"/>
        </w:rPr>
        <w:t> </w:t>
      </w:r>
      <w:r w:rsidRPr="00CA02B6">
        <w:rPr>
          <w:lang w:val="fr-FR"/>
        </w:rPr>
        <w:t xml:space="preserve">48, </w:t>
      </w:r>
      <w:r w:rsidR="006A6ED8">
        <w:rPr>
          <w:lang w:val="fr-FR"/>
        </w:rPr>
        <w:t>« </w:t>
      </w:r>
      <w:r w:rsidRPr="00CA02B6">
        <w:rPr>
          <w:lang w:val="fr-FR"/>
        </w:rPr>
        <w:t>Recommandation relative au système de visualisation des cartes électroniques et d</w:t>
      </w:r>
      <w:r>
        <w:rPr>
          <w:lang w:val="fr-FR"/>
        </w:rPr>
        <w:t>’</w:t>
      </w:r>
      <w:r w:rsidRPr="00CA02B6">
        <w:rPr>
          <w:lang w:val="fr-FR"/>
        </w:rPr>
        <w:t>informations pour la navigation intérieure (ECDIS in</w:t>
      </w:r>
      <w:r w:rsidR="006A6ED8">
        <w:rPr>
          <w:lang w:val="fr-FR"/>
        </w:rPr>
        <w:t>térieur) »</w:t>
      </w:r>
      <w:r w:rsidRPr="00CA02B6">
        <w:rPr>
          <w:lang w:val="fr-FR"/>
        </w:rPr>
        <w:t>;</w:t>
      </w:r>
    </w:p>
    <w:p w:rsidR="006968C9" w:rsidRPr="00CA02B6" w:rsidRDefault="006968C9" w:rsidP="006A6ED8">
      <w:pPr>
        <w:pStyle w:val="Bullet1"/>
        <w:ind w:left="1743" w:hanging="130"/>
        <w:rPr>
          <w:szCs w:val="24"/>
          <w:lang w:val="fr-FR"/>
        </w:rPr>
      </w:pPr>
      <w:r w:rsidRPr="00CA02B6">
        <w:rPr>
          <w:lang w:val="fr-FR"/>
        </w:rPr>
        <w:t>Résolution n</w:t>
      </w:r>
      <w:r w:rsidRPr="00934BD5">
        <w:rPr>
          <w:vertAlign w:val="superscript"/>
          <w:lang w:val="fr-FR"/>
        </w:rPr>
        <w:t>o</w:t>
      </w:r>
      <w:r w:rsidRPr="006A6ED8">
        <w:rPr>
          <w:lang w:val="fr-FR"/>
        </w:rPr>
        <w:t> </w:t>
      </w:r>
      <w:r w:rsidRPr="00CA02B6">
        <w:rPr>
          <w:lang w:val="fr-FR"/>
        </w:rPr>
        <w:t xml:space="preserve">57, </w:t>
      </w:r>
      <w:r w:rsidR="006A6ED8">
        <w:rPr>
          <w:lang w:val="fr-FR"/>
        </w:rPr>
        <w:t>« </w:t>
      </w:r>
      <w:r w:rsidRPr="00CA02B6">
        <w:rPr>
          <w:lang w:val="fr-FR"/>
        </w:rPr>
        <w:t>Directives et recommandations pour les services d</w:t>
      </w:r>
      <w:r>
        <w:rPr>
          <w:lang w:val="fr-FR"/>
        </w:rPr>
        <w:t>’</w:t>
      </w:r>
      <w:r w:rsidR="006A6ED8">
        <w:rPr>
          <w:lang w:val="fr-FR"/>
        </w:rPr>
        <w:t>information fluviale »</w:t>
      </w:r>
      <w:r w:rsidRPr="00CA02B6">
        <w:rPr>
          <w:lang w:val="fr-FR"/>
        </w:rPr>
        <w:t>;</w:t>
      </w:r>
    </w:p>
    <w:p w:rsidR="006968C9" w:rsidRPr="00CA02B6" w:rsidRDefault="006968C9" w:rsidP="006A6ED8">
      <w:pPr>
        <w:pStyle w:val="Bullet1"/>
        <w:ind w:left="1743" w:hanging="130"/>
        <w:rPr>
          <w:szCs w:val="24"/>
          <w:lang w:val="fr-FR"/>
        </w:rPr>
      </w:pPr>
      <w:r w:rsidRPr="00CA02B6">
        <w:rPr>
          <w:lang w:val="fr-FR"/>
        </w:rPr>
        <w:t>Résolution n</w:t>
      </w:r>
      <w:r w:rsidRPr="00934BD5">
        <w:rPr>
          <w:vertAlign w:val="superscript"/>
          <w:lang w:val="fr-FR"/>
        </w:rPr>
        <w:t>o</w:t>
      </w:r>
      <w:r w:rsidRPr="006A6ED8">
        <w:rPr>
          <w:lang w:val="fr-FR"/>
        </w:rPr>
        <w:t> </w:t>
      </w:r>
      <w:r w:rsidRPr="00CA02B6">
        <w:rPr>
          <w:lang w:val="fr-FR"/>
        </w:rPr>
        <w:t xml:space="preserve">58, </w:t>
      </w:r>
      <w:r w:rsidR="006A6ED8">
        <w:rPr>
          <w:lang w:val="fr-FR"/>
        </w:rPr>
        <w:t>« </w:t>
      </w:r>
      <w:r w:rsidRPr="00CA02B6">
        <w:rPr>
          <w:lang w:val="fr-FR"/>
        </w:rPr>
        <w:t>Directives et critères relatifs aux services de trafic f</w:t>
      </w:r>
      <w:r w:rsidR="006A6ED8">
        <w:rPr>
          <w:lang w:val="fr-FR"/>
        </w:rPr>
        <w:t>luvial sur les voies navigables »</w:t>
      </w:r>
      <w:r w:rsidRPr="00CA02B6">
        <w:rPr>
          <w:lang w:val="fr-FR"/>
        </w:rPr>
        <w:t>;</w:t>
      </w:r>
    </w:p>
    <w:p w:rsidR="006968C9" w:rsidRPr="00CA02B6" w:rsidRDefault="006968C9" w:rsidP="006A6ED8">
      <w:pPr>
        <w:pStyle w:val="Bullet1"/>
        <w:ind w:left="1743" w:hanging="130"/>
        <w:rPr>
          <w:szCs w:val="24"/>
          <w:lang w:val="fr-FR"/>
        </w:rPr>
      </w:pPr>
      <w:r w:rsidRPr="00CA02B6">
        <w:rPr>
          <w:lang w:val="fr-FR"/>
        </w:rPr>
        <w:t>Résolution n</w:t>
      </w:r>
      <w:r w:rsidRPr="00934BD5">
        <w:rPr>
          <w:vertAlign w:val="superscript"/>
          <w:lang w:val="fr-FR"/>
        </w:rPr>
        <w:t>o</w:t>
      </w:r>
      <w:r w:rsidRPr="006A6ED8">
        <w:rPr>
          <w:lang w:val="fr-FR"/>
        </w:rPr>
        <w:t> </w:t>
      </w:r>
      <w:r w:rsidRPr="00CA02B6">
        <w:rPr>
          <w:lang w:val="fr-FR"/>
        </w:rPr>
        <w:t xml:space="preserve">63, </w:t>
      </w:r>
      <w:r w:rsidR="006A6ED8">
        <w:rPr>
          <w:lang w:val="fr-FR"/>
        </w:rPr>
        <w:t>« </w:t>
      </w:r>
      <w:r w:rsidRPr="00CA02B6">
        <w:rPr>
          <w:lang w:val="fr-FR"/>
        </w:rPr>
        <w:t>Norme internationale relative au suivi et au repérage des bateaux</w:t>
      </w:r>
      <w:r w:rsidR="006A6ED8">
        <w:rPr>
          <w:lang w:val="fr-FR"/>
        </w:rPr>
        <w:t xml:space="preserve"> sur les voies navigables (VTT) »</w:t>
      </w:r>
      <w:r w:rsidRPr="00CA02B6">
        <w:rPr>
          <w:lang w:val="fr-FR"/>
        </w:rPr>
        <w:t>;</w:t>
      </w:r>
    </w:p>
    <w:p w:rsidR="006968C9" w:rsidRPr="00CA02B6" w:rsidRDefault="006968C9" w:rsidP="006A6ED8">
      <w:pPr>
        <w:pStyle w:val="Bullet1"/>
        <w:ind w:left="1743" w:hanging="130"/>
        <w:rPr>
          <w:szCs w:val="24"/>
          <w:lang w:val="fr-FR"/>
        </w:rPr>
      </w:pPr>
      <w:r w:rsidRPr="00CA02B6">
        <w:rPr>
          <w:lang w:val="fr-FR"/>
        </w:rPr>
        <w:t>Résolution n</w:t>
      </w:r>
      <w:r w:rsidRPr="00934BD5">
        <w:rPr>
          <w:vertAlign w:val="superscript"/>
          <w:lang w:val="fr-FR"/>
        </w:rPr>
        <w:t>o</w:t>
      </w:r>
      <w:r w:rsidRPr="006A6ED8">
        <w:rPr>
          <w:lang w:val="fr-FR"/>
        </w:rPr>
        <w:t> </w:t>
      </w:r>
      <w:r w:rsidRPr="00CA02B6">
        <w:rPr>
          <w:lang w:val="fr-FR"/>
        </w:rPr>
        <w:t xml:space="preserve">79, </w:t>
      </w:r>
      <w:r w:rsidR="006A6ED8">
        <w:rPr>
          <w:lang w:val="fr-FR"/>
        </w:rPr>
        <w:t>« </w:t>
      </w:r>
      <w:r w:rsidRPr="00CA02B6">
        <w:rPr>
          <w:lang w:val="fr-FR"/>
        </w:rPr>
        <w:t>Norme internationale relative aux systèmes électroniques de notifi</w:t>
      </w:r>
      <w:r w:rsidR="006A6ED8">
        <w:rPr>
          <w:lang w:val="fr-FR"/>
        </w:rPr>
        <w:t>cation en navigation intérieure »</w:t>
      </w:r>
      <w:r w:rsidRPr="00CA02B6">
        <w:rPr>
          <w:lang w:val="fr-FR"/>
        </w:rPr>
        <w:t>;</w:t>
      </w:r>
    </w:p>
    <w:p w:rsidR="006968C9" w:rsidRPr="00CA02B6" w:rsidRDefault="006968C9" w:rsidP="006A6ED8">
      <w:pPr>
        <w:pStyle w:val="Bullet1"/>
        <w:ind w:left="1743" w:hanging="130"/>
        <w:rPr>
          <w:szCs w:val="24"/>
          <w:lang w:val="fr-FR"/>
        </w:rPr>
      </w:pPr>
      <w:r w:rsidRPr="00CA02B6">
        <w:rPr>
          <w:lang w:val="fr-FR"/>
        </w:rPr>
        <w:t>Résolution n</w:t>
      </w:r>
      <w:r w:rsidRPr="00934BD5">
        <w:rPr>
          <w:vertAlign w:val="superscript"/>
          <w:lang w:val="fr-FR"/>
        </w:rPr>
        <w:t>o</w:t>
      </w:r>
      <w:r w:rsidRPr="006A6ED8">
        <w:rPr>
          <w:lang w:val="fr-FR"/>
        </w:rPr>
        <w:t> </w:t>
      </w:r>
      <w:r w:rsidRPr="00CA02B6">
        <w:rPr>
          <w:lang w:val="fr-FR"/>
        </w:rPr>
        <w:t xml:space="preserve">80, </w:t>
      </w:r>
      <w:r w:rsidR="006A6ED8">
        <w:rPr>
          <w:lang w:val="fr-FR"/>
        </w:rPr>
        <w:t>« </w:t>
      </w:r>
      <w:r w:rsidRPr="00CA02B6">
        <w:rPr>
          <w:lang w:val="fr-FR"/>
        </w:rPr>
        <w:t>Norme internationale relative aux avis à la bate</w:t>
      </w:r>
      <w:r w:rsidR="006A6ED8">
        <w:rPr>
          <w:lang w:val="fr-FR"/>
        </w:rPr>
        <w:t>llerie en navigation intérieure »</w:t>
      </w:r>
      <w:r w:rsidRPr="00CA02B6">
        <w:rPr>
          <w:lang w:val="fr-FR"/>
        </w:rPr>
        <w:t xml:space="preserve">; </w:t>
      </w:r>
    </w:p>
    <w:p w:rsidR="006968C9" w:rsidRPr="00CA02B6" w:rsidRDefault="006968C9" w:rsidP="006A6ED8">
      <w:pPr>
        <w:pStyle w:val="Bullet1"/>
        <w:ind w:left="1743" w:hanging="130"/>
        <w:rPr>
          <w:szCs w:val="24"/>
          <w:lang w:val="fr-FR"/>
        </w:rPr>
      </w:pPr>
      <w:r w:rsidRPr="00CA02B6">
        <w:rPr>
          <w:lang w:val="fr-FR"/>
        </w:rPr>
        <w:t>Résolution n</w:t>
      </w:r>
      <w:r w:rsidRPr="00934BD5">
        <w:rPr>
          <w:vertAlign w:val="superscript"/>
          <w:lang w:val="fr-FR"/>
        </w:rPr>
        <w:t>o</w:t>
      </w:r>
      <w:r w:rsidRPr="006A6ED8">
        <w:rPr>
          <w:lang w:val="fr-FR"/>
        </w:rPr>
        <w:t> </w:t>
      </w:r>
      <w:r w:rsidRPr="00CA02B6">
        <w:rPr>
          <w:lang w:val="fr-FR"/>
        </w:rPr>
        <w:t xml:space="preserve">35, </w:t>
      </w:r>
      <w:r w:rsidR="006A6ED8">
        <w:rPr>
          <w:lang w:val="fr-FR"/>
        </w:rPr>
        <w:t>« </w:t>
      </w:r>
      <w:r w:rsidRPr="006A6ED8">
        <w:rPr>
          <w:szCs w:val="24"/>
          <w:lang w:val="fr-FR"/>
        </w:rPr>
        <w:t>Vocabulaire</w:t>
      </w:r>
      <w:r w:rsidRPr="00CA02B6">
        <w:rPr>
          <w:lang w:val="fr-FR"/>
        </w:rPr>
        <w:t xml:space="preserve"> normalisé CEE des liaisons r</w:t>
      </w:r>
      <w:r w:rsidR="006A6ED8">
        <w:rPr>
          <w:lang w:val="fr-FR"/>
        </w:rPr>
        <w:t>adio (en navigation intérieure) »</w:t>
      </w:r>
      <w:r w:rsidRPr="00CA02B6">
        <w:rPr>
          <w:lang w:val="fr-FR"/>
        </w:rPr>
        <w:t>.</w:t>
      </w:r>
    </w:p>
    <w:p w:rsidR="006968C9" w:rsidRPr="00CA02B6" w:rsidRDefault="006968C9" w:rsidP="004C7E5A">
      <w:pPr>
        <w:pStyle w:val="SingleTxt"/>
        <w:numPr>
          <w:ilvl w:val="0"/>
          <w:numId w:val="10"/>
        </w:numPr>
        <w:ind w:left="1267" w:firstLine="0"/>
        <w:rPr>
          <w:szCs w:val="24"/>
          <w:lang w:val="fr-FR"/>
        </w:rPr>
      </w:pPr>
      <w:r w:rsidRPr="00CA02B6">
        <w:rPr>
          <w:lang w:val="fr-FR"/>
        </w:rPr>
        <w:t>Pour des raisons de sécurité et dans l</w:t>
      </w:r>
      <w:r>
        <w:rPr>
          <w:lang w:val="fr-FR"/>
        </w:rPr>
        <w:t>’</w:t>
      </w:r>
      <w:r w:rsidRPr="00CA02B6">
        <w:rPr>
          <w:lang w:val="fr-FR"/>
        </w:rPr>
        <w:t>intérêt de l</w:t>
      </w:r>
      <w:r>
        <w:rPr>
          <w:lang w:val="fr-FR"/>
        </w:rPr>
        <w:t>’</w:t>
      </w:r>
      <w:r w:rsidRPr="00CA02B6">
        <w:rPr>
          <w:lang w:val="fr-FR"/>
        </w:rPr>
        <w:t>harmonisation à l</w:t>
      </w:r>
      <w:r>
        <w:rPr>
          <w:lang w:val="fr-FR"/>
        </w:rPr>
        <w:t>’</w:t>
      </w:r>
      <w:r w:rsidRPr="00CA02B6">
        <w:rPr>
          <w:lang w:val="fr-FR"/>
        </w:rPr>
        <w:t>échelle paneuropéenne, la CEE entreprend des travaux dans ce domaine en collaboration avec les organisations internationales compétentes, telles que l</w:t>
      </w:r>
      <w:r>
        <w:rPr>
          <w:lang w:val="fr-FR"/>
        </w:rPr>
        <w:t>’</w:t>
      </w:r>
      <w:r w:rsidRPr="00CA02B6">
        <w:rPr>
          <w:lang w:val="fr-FR"/>
        </w:rPr>
        <w:t>Association internationale de navigation (AIPCN), l</w:t>
      </w:r>
      <w:r>
        <w:rPr>
          <w:lang w:val="fr-FR"/>
        </w:rPr>
        <w:t>’</w:t>
      </w:r>
      <w:r w:rsidRPr="00CA02B6">
        <w:rPr>
          <w:lang w:val="fr-FR"/>
        </w:rPr>
        <w:t xml:space="preserve">UE et la Commission centrale pour la navigation du Rhin (CCNR). </w:t>
      </w:r>
      <w:r w:rsidR="004C7E5A">
        <w:rPr>
          <w:lang w:val="fr-FR"/>
        </w:rPr>
        <w:t>Cela est indiqué</w:t>
      </w:r>
      <w:r w:rsidRPr="00CA02B6">
        <w:rPr>
          <w:lang w:val="fr-FR"/>
        </w:rPr>
        <w:t xml:space="preserve"> dans la Directive 2005/44/CE. Il convient de noter en particulier, qu</w:t>
      </w:r>
      <w:r w:rsidR="004C7E5A">
        <w:rPr>
          <w:lang w:val="fr-FR"/>
        </w:rPr>
        <w:t>e les Résolutions de la CEE n</w:t>
      </w:r>
      <w:r w:rsidR="004C7E5A" w:rsidRPr="004C7E5A">
        <w:rPr>
          <w:vertAlign w:val="superscript"/>
          <w:lang w:val="fr-FR"/>
        </w:rPr>
        <w:t>os</w:t>
      </w:r>
      <w:r w:rsidR="004C7E5A">
        <w:rPr>
          <w:lang w:val="fr-FR"/>
        </w:rPr>
        <w:t> 30</w:t>
      </w:r>
      <w:r w:rsidRPr="00CA02B6">
        <w:rPr>
          <w:lang w:val="fr-FR"/>
        </w:rPr>
        <w:t xml:space="preserve"> </w:t>
      </w:r>
      <w:r w:rsidR="004C7E5A">
        <w:rPr>
          <w:lang w:val="fr-FR"/>
        </w:rPr>
        <w:t>« </w:t>
      </w:r>
      <w:r w:rsidRPr="00CA02B6">
        <w:rPr>
          <w:lang w:val="fr-FR"/>
        </w:rPr>
        <w:t>Classification d</w:t>
      </w:r>
      <w:r w:rsidR="004C7E5A">
        <w:rPr>
          <w:lang w:val="fr-FR"/>
        </w:rPr>
        <w:t>es voies navigables européennes », 35</w:t>
      </w:r>
      <w:r w:rsidRPr="00CA02B6">
        <w:rPr>
          <w:lang w:val="fr-FR"/>
        </w:rPr>
        <w:t xml:space="preserve"> </w:t>
      </w:r>
      <w:r w:rsidR="004C7E5A">
        <w:rPr>
          <w:lang w:val="fr-FR"/>
        </w:rPr>
        <w:t>« </w:t>
      </w:r>
      <w:r w:rsidRPr="00CA02B6">
        <w:rPr>
          <w:lang w:val="fr-FR"/>
        </w:rPr>
        <w:t>Vocabulaire normalisé CEE des liaisons r</w:t>
      </w:r>
      <w:r w:rsidR="004C7E5A">
        <w:rPr>
          <w:lang w:val="fr-FR"/>
        </w:rPr>
        <w:t>adio (en navigation intérieure) »</w:t>
      </w:r>
      <w:r w:rsidRPr="00CA02B6">
        <w:rPr>
          <w:lang w:val="fr-FR"/>
        </w:rPr>
        <w:t xml:space="preserve"> et 58 </w:t>
      </w:r>
      <w:r w:rsidR="004C7E5A">
        <w:rPr>
          <w:lang w:val="fr-FR"/>
        </w:rPr>
        <w:t>« </w:t>
      </w:r>
      <w:r w:rsidRPr="00CA02B6">
        <w:rPr>
          <w:lang w:val="fr-FR"/>
        </w:rPr>
        <w:t>Directives et critères relatifs aux services de trafic f</w:t>
      </w:r>
      <w:r w:rsidR="004C7E5A">
        <w:rPr>
          <w:lang w:val="fr-FR"/>
        </w:rPr>
        <w:t>luvial sur les voies navigables »</w:t>
      </w:r>
      <w:r w:rsidRPr="00CA02B6">
        <w:rPr>
          <w:lang w:val="fr-FR"/>
        </w:rPr>
        <w:t xml:space="preserve"> font l</w:t>
      </w:r>
      <w:r>
        <w:rPr>
          <w:lang w:val="fr-FR"/>
        </w:rPr>
        <w:t>’</w:t>
      </w:r>
      <w:r w:rsidRPr="00CA02B6">
        <w:rPr>
          <w:lang w:val="fr-FR"/>
        </w:rPr>
        <w:t>objet de renvois dans les documents de l</w:t>
      </w:r>
      <w:r>
        <w:rPr>
          <w:lang w:val="fr-FR"/>
        </w:rPr>
        <w:t>’</w:t>
      </w:r>
      <w:r w:rsidRPr="00CA02B6">
        <w:rPr>
          <w:lang w:val="fr-FR"/>
        </w:rPr>
        <w:t>UE sur les services d</w:t>
      </w:r>
      <w:r>
        <w:rPr>
          <w:lang w:val="fr-FR"/>
        </w:rPr>
        <w:t>’</w:t>
      </w:r>
      <w:r w:rsidRPr="00CA02B6">
        <w:rPr>
          <w:lang w:val="fr-FR"/>
        </w:rPr>
        <w:t>information fluviale (Directive 2005/44/CE, Règlement de la Commission n</w:t>
      </w:r>
      <w:r w:rsidRPr="00934BD5">
        <w:rPr>
          <w:vertAlign w:val="superscript"/>
          <w:lang w:val="fr-FR"/>
        </w:rPr>
        <w:t>o</w:t>
      </w:r>
      <w:r>
        <w:rPr>
          <w:vertAlign w:val="superscript"/>
          <w:lang w:val="fr-FR"/>
        </w:rPr>
        <w:t> </w:t>
      </w:r>
      <w:r w:rsidRPr="00CA02B6">
        <w:rPr>
          <w:lang w:val="fr-FR"/>
        </w:rPr>
        <w:t>415/2007, etc.), et que la Résolution n</w:t>
      </w:r>
      <w:r w:rsidRPr="00934BD5">
        <w:rPr>
          <w:vertAlign w:val="superscript"/>
          <w:lang w:val="fr-FR"/>
        </w:rPr>
        <w:t>o</w:t>
      </w:r>
      <w:r w:rsidRPr="004C7E5A">
        <w:rPr>
          <w:lang w:val="fr-FR"/>
        </w:rPr>
        <w:t> </w:t>
      </w:r>
      <w:r w:rsidR="004C7E5A">
        <w:rPr>
          <w:lang w:val="fr-FR"/>
        </w:rPr>
        <w:t>48 révisée</w:t>
      </w:r>
      <w:r w:rsidRPr="00CA02B6">
        <w:rPr>
          <w:lang w:val="fr-FR"/>
        </w:rPr>
        <w:t xml:space="preserve"> </w:t>
      </w:r>
      <w:r w:rsidR="004C7E5A">
        <w:rPr>
          <w:lang w:val="fr-FR"/>
        </w:rPr>
        <w:t>« </w:t>
      </w:r>
      <w:r w:rsidRPr="00CA02B6">
        <w:rPr>
          <w:lang w:val="fr-FR"/>
        </w:rPr>
        <w:t>Recommandation relative au système de visualisation des cartes électroniques et d</w:t>
      </w:r>
      <w:r>
        <w:rPr>
          <w:lang w:val="fr-FR"/>
        </w:rPr>
        <w:t>’</w:t>
      </w:r>
      <w:r w:rsidRPr="00CA02B6">
        <w:rPr>
          <w:lang w:val="fr-FR"/>
        </w:rPr>
        <w:t>informations pour la navigati</w:t>
      </w:r>
      <w:r w:rsidR="004C7E5A">
        <w:rPr>
          <w:lang w:val="fr-FR"/>
        </w:rPr>
        <w:t>on intérieure (ECDIS intérieur) »</w:t>
      </w:r>
      <w:r w:rsidRPr="00CA02B6">
        <w:rPr>
          <w:lang w:val="fr-FR"/>
        </w:rPr>
        <w:t xml:space="preserve"> constitue maintenant la base du règlement n</w:t>
      </w:r>
      <w:r w:rsidRPr="00934BD5">
        <w:rPr>
          <w:vertAlign w:val="superscript"/>
          <w:lang w:val="fr-FR"/>
        </w:rPr>
        <w:t>o</w:t>
      </w:r>
      <w:r w:rsidRPr="004C7E5A">
        <w:rPr>
          <w:lang w:val="fr-FR"/>
        </w:rPr>
        <w:t> </w:t>
      </w:r>
      <w:r w:rsidRPr="00CA02B6">
        <w:rPr>
          <w:lang w:val="fr-FR"/>
        </w:rPr>
        <w:t>909/2013 de l</w:t>
      </w:r>
      <w:r>
        <w:rPr>
          <w:lang w:val="fr-FR"/>
        </w:rPr>
        <w:t>’</w:t>
      </w:r>
      <w:r w:rsidRPr="00CA02B6">
        <w:rPr>
          <w:lang w:val="fr-FR"/>
        </w:rPr>
        <w:t>UE sur l</w:t>
      </w:r>
      <w:r>
        <w:rPr>
          <w:lang w:val="fr-FR"/>
        </w:rPr>
        <w:t>’</w:t>
      </w:r>
      <w:r w:rsidRPr="00CA02B6">
        <w:rPr>
          <w:lang w:val="fr-FR"/>
        </w:rPr>
        <w:t>ECDIS intérieur.</w:t>
      </w:r>
    </w:p>
    <w:p w:rsidR="006968C9" w:rsidRPr="00CA02B6" w:rsidRDefault="006968C9" w:rsidP="004C7E5A">
      <w:pPr>
        <w:pStyle w:val="SingleTxt"/>
        <w:numPr>
          <w:ilvl w:val="0"/>
          <w:numId w:val="10"/>
        </w:numPr>
        <w:ind w:left="1267" w:firstLine="0"/>
        <w:rPr>
          <w:szCs w:val="24"/>
          <w:lang w:val="fr-FR"/>
        </w:rPr>
      </w:pPr>
      <w:r w:rsidRPr="00CA02B6">
        <w:rPr>
          <w:lang w:val="fr-FR"/>
        </w:rPr>
        <w:t>Le SC.3 a adopté des amendements à ces réso</w:t>
      </w:r>
      <w:r w:rsidR="004C7E5A">
        <w:rPr>
          <w:lang w:val="fr-FR"/>
        </w:rPr>
        <w:t>lutions pendant la période 2011</w:t>
      </w:r>
      <w:r w:rsidR="004C7E5A">
        <w:rPr>
          <w:lang w:val="fr-FR"/>
        </w:rPr>
        <w:noBreakHyphen/>
        <w:t>2015 </w:t>
      </w:r>
      <w:r w:rsidRPr="00CA02B6">
        <w:rPr>
          <w:lang w:val="fr-FR"/>
        </w:rPr>
        <w:t>:</w:t>
      </w:r>
    </w:p>
    <w:p w:rsidR="006968C9" w:rsidRPr="00CA02B6" w:rsidRDefault="006968C9" w:rsidP="004C7E5A">
      <w:pPr>
        <w:pStyle w:val="Bullet1"/>
        <w:ind w:left="1743" w:hanging="130"/>
        <w:rPr>
          <w:szCs w:val="24"/>
          <w:lang w:val="fr-FR"/>
        </w:rPr>
      </w:pPr>
      <w:r w:rsidRPr="00CA02B6">
        <w:rPr>
          <w:lang w:val="fr-FR"/>
        </w:rPr>
        <w:t>Révision de la Résolution n</w:t>
      </w:r>
      <w:r w:rsidRPr="00934BD5">
        <w:rPr>
          <w:vertAlign w:val="superscript"/>
          <w:lang w:val="fr-FR"/>
        </w:rPr>
        <w:t>o</w:t>
      </w:r>
      <w:r w:rsidRPr="004C7E5A">
        <w:rPr>
          <w:lang w:val="fr-FR"/>
        </w:rPr>
        <w:t> </w:t>
      </w:r>
      <w:r w:rsidR="00044788">
        <w:rPr>
          <w:lang w:val="fr-FR"/>
        </w:rPr>
        <w:t xml:space="preserve">48 </w:t>
      </w:r>
      <w:r w:rsidR="004C7E5A">
        <w:rPr>
          <w:lang w:val="fr-FR"/>
        </w:rPr>
        <w:t>« </w:t>
      </w:r>
      <w:r w:rsidRPr="00CA02B6">
        <w:rPr>
          <w:lang w:val="fr-FR"/>
        </w:rPr>
        <w:t>Recommandation relative au système de visualisation des cartes électroniques et d</w:t>
      </w:r>
      <w:r>
        <w:rPr>
          <w:lang w:val="fr-FR"/>
        </w:rPr>
        <w:t>’</w:t>
      </w:r>
      <w:r w:rsidRPr="00CA02B6">
        <w:rPr>
          <w:lang w:val="fr-FR"/>
        </w:rPr>
        <w:t>informations pour la navigation intérieure (ECDIS In</w:t>
      </w:r>
      <w:r w:rsidR="004C7E5A">
        <w:rPr>
          <w:lang w:val="fr-FR"/>
        </w:rPr>
        <w:t>térieur) »</w:t>
      </w:r>
      <w:r w:rsidRPr="00CA02B6">
        <w:rPr>
          <w:lang w:val="fr-FR"/>
        </w:rPr>
        <w:t xml:space="preserve"> avec de</w:t>
      </w:r>
      <w:r w:rsidR="004C7E5A">
        <w:rPr>
          <w:lang w:val="fr-FR"/>
        </w:rPr>
        <w:t>s appendices techniques (2012-Révision 2, 2015-</w:t>
      </w:r>
      <w:r w:rsidRPr="00CA02B6">
        <w:rPr>
          <w:lang w:val="fr-FR"/>
        </w:rPr>
        <w:t>Révision 3);</w:t>
      </w:r>
    </w:p>
    <w:p w:rsidR="006968C9" w:rsidRPr="00CA02B6" w:rsidRDefault="006968C9" w:rsidP="008C1766">
      <w:pPr>
        <w:pStyle w:val="Bullet1"/>
        <w:ind w:left="1743" w:hanging="130"/>
        <w:rPr>
          <w:szCs w:val="24"/>
          <w:lang w:val="fr-FR"/>
        </w:rPr>
      </w:pPr>
      <w:r w:rsidRPr="00CA02B6">
        <w:rPr>
          <w:lang w:val="fr-FR"/>
        </w:rPr>
        <w:lastRenderedPageBreak/>
        <w:t>Révision de la Résolution n</w:t>
      </w:r>
      <w:r w:rsidRPr="00934BD5">
        <w:rPr>
          <w:vertAlign w:val="superscript"/>
          <w:lang w:val="fr-FR"/>
        </w:rPr>
        <w:t>o</w:t>
      </w:r>
      <w:r w:rsidRPr="008C1766">
        <w:rPr>
          <w:lang w:val="fr-FR"/>
        </w:rPr>
        <w:t> </w:t>
      </w:r>
      <w:r w:rsidR="008C1766">
        <w:rPr>
          <w:lang w:val="fr-FR"/>
        </w:rPr>
        <w:t>63</w:t>
      </w:r>
      <w:r w:rsidRPr="00CA02B6">
        <w:rPr>
          <w:lang w:val="fr-FR"/>
        </w:rPr>
        <w:t xml:space="preserve"> </w:t>
      </w:r>
      <w:r w:rsidR="008C1766">
        <w:rPr>
          <w:lang w:val="fr-FR"/>
        </w:rPr>
        <w:t>« </w:t>
      </w:r>
      <w:r w:rsidRPr="00CA02B6">
        <w:rPr>
          <w:lang w:val="fr-FR"/>
        </w:rPr>
        <w:t>Norme internationale relative au suivi et au repérage des bateaux</w:t>
      </w:r>
      <w:r w:rsidR="008C1766">
        <w:rPr>
          <w:lang w:val="fr-FR"/>
        </w:rPr>
        <w:t xml:space="preserve"> sur les voies navigables (VTT) »</w:t>
      </w:r>
      <w:r w:rsidRPr="00CA02B6">
        <w:rPr>
          <w:lang w:val="fr-FR"/>
        </w:rPr>
        <w:t xml:space="preserve"> (2014);</w:t>
      </w:r>
    </w:p>
    <w:p w:rsidR="006968C9" w:rsidRPr="00CA02B6" w:rsidRDefault="006968C9" w:rsidP="008C1766">
      <w:pPr>
        <w:pStyle w:val="Bullet1"/>
        <w:ind w:left="1743" w:hanging="130"/>
        <w:rPr>
          <w:szCs w:val="24"/>
          <w:lang w:val="fr-FR"/>
        </w:rPr>
      </w:pPr>
      <w:r w:rsidRPr="00CA02B6">
        <w:rPr>
          <w:lang w:val="fr-FR"/>
        </w:rPr>
        <w:t>Révision de la Résolution n</w:t>
      </w:r>
      <w:r w:rsidRPr="00934BD5">
        <w:rPr>
          <w:vertAlign w:val="superscript"/>
          <w:lang w:val="fr-FR"/>
        </w:rPr>
        <w:t>o</w:t>
      </w:r>
      <w:r w:rsidRPr="008C1766">
        <w:rPr>
          <w:lang w:val="fr-FR"/>
        </w:rPr>
        <w:t> </w:t>
      </w:r>
      <w:r w:rsidRPr="00CA02B6">
        <w:rPr>
          <w:lang w:val="fr-FR"/>
        </w:rPr>
        <w:t>5</w:t>
      </w:r>
      <w:r w:rsidR="008C1766">
        <w:rPr>
          <w:lang w:val="fr-FR"/>
        </w:rPr>
        <w:t>7 (2014)</w:t>
      </w:r>
      <w:r w:rsidRPr="00CA02B6">
        <w:rPr>
          <w:lang w:val="fr-FR"/>
        </w:rPr>
        <w:t xml:space="preserve"> </w:t>
      </w:r>
      <w:r w:rsidR="008C1766">
        <w:rPr>
          <w:lang w:val="fr-FR"/>
        </w:rPr>
        <w:t>« </w:t>
      </w:r>
      <w:r w:rsidRPr="00CA02B6">
        <w:rPr>
          <w:lang w:val="fr-FR"/>
        </w:rPr>
        <w:t>Directives et recommandations pour les services d</w:t>
      </w:r>
      <w:r>
        <w:rPr>
          <w:lang w:val="fr-FR"/>
        </w:rPr>
        <w:t>’</w:t>
      </w:r>
      <w:r w:rsidR="008C1766">
        <w:rPr>
          <w:lang w:val="fr-FR"/>
        </w:rPr>
        <w:t>information fluviale »</w:t>
      </w:r>
      <w:r w:rsidRPr="00CA02B6">
        <w:rPr>
          <w:lang w:val="fr-FR"/>
        </w:rPr>
        <w:t>, Amendement n</w:t>
      </w:r>
      <w:r w:rsidRPr="00934BD5">
        <w:rPr>
          <w:vertAlign w:val="superscript"/>
          <w:lang w:val="fr-FR"/>
        </w:rPr>
        <w:t>o</w:t>
      </w:r>
      <w:r w:rsidRPr="008C1766">
        <w:rPr>
          <w:lang w:val="fr-FR"/>
        </w:rPr>
        <w:t> </w:t>
      </w:r>
      <w:r w:rsidRPr="00CA02B6">
        <w:rPr>
          <w:lang w:val="fr-FR"/>
        </w:rPr>
        <w:t>1 à la Résolution n</w:t>
      </w:r>
      <w:r w:rsidRPr="00934BD5">
        <w:rPr>
          <w:vertAlign w:val="superscript"/>
          <w:lang w:val="fr-FR"/>
        </w:rPr>
        <w:t>o</w:t>
      </w:r>
      <w:r w:rsidRPr="008C1766">
        <w:rPr>
          <w:lang w:val="fr-FR"/>
        </w:rPr>
        <w:t> </w:t>
      </w:r>
      <w:r w:rsidRPr="00CA02B6">
        <w:rPr>
          <w:lang w:val="fr-FR"/>
        </w:rPr>
        <w:t>57, révisée (ECE/TRANS/SC.3/2014/10 et ECE/TRANS/SC.3/2015/10) (2015);</w:t>
      </w:r>
    </w:p>
    <w:p w:rsidR="006968C9" w:rsidRPr="00CA02B6" w:rsidRDefault="008C1766" w:rsidP="008C1766">
      <w:pPr>
        <w:pStyle w:val="Bullet1"/>
        <w:ind w:left="1743" w:hanging="130"/>
        <w:rPr>
          <w:szCs w:val="24"/>
          <w:lang w:val="fr-FR"/>
        </w:rPr>
      </w:pPr>
      <w:r>
        <w:rPr>
          <w:lang w:val="fr-FR"/>
        </w:rPr>
        <w:t>Nouvelles Résolutions n</w:t>
      </w:r>
      <w:r w:rsidRPr="008C1766">
        <w:rPr>
          <w:vertAlign w:val="superscript"/>
          <w:lang w:val="fr-FR"/>
        </w:rPr>
        <w:t>os</w:t>
      </w:r>
      <w:r>
        <w:rPr>
          <w:lang w:val="fr-FR"/>
        </w:rPr>
        <w:t> 79</w:t>
      </w:r>
      <w:r w:rsidR="006968C9" w:rsidRPr="00CA02B6">
        <w:rPr>
          <w:lang w:val="fr-FR"/>
        </w:rPr>
        <w:t xml:space="preserve"> </w:t>
      </w:r>
      <w:r>
        <w:rPr>
          <w:lang w:val="fr-FR"/>
        </w:rPr>
        <w:t>« </w:t>
      </w:r>
      <w:r w:rsidR="006968C9" w:rsidRPr="00CA02B6">
        <w:rPr>
          <w:lang w:val="fr-FR"/>
        </w:rPr>
        <w:t>Norme internationale relative aux systèmes électroniques de notifi</w:t>
      </w:r>
      <w:r>
        <w:rPr>
          <w:lang w:val="fr-FR"/>
        </w:rPr>
        <w:t>cation en navigation intérieure » et 80</w:t>
      </w:r>
      <w:r w:rsidR="006968C9" w:rsidRPr="00CA02B6">
        <w:rPr>
          <w:lang w:val="fr-FR"/>
        </w:rPr>
        <w:t xml:space="preserve"> </w:t>
      </w:r>
      <w:r>
        <w:rPr>
          <w:lang w:val="fr-FR"/>
        </w:rPr>
        <w:t>« </w:t>
      </w:r>
      <w:r w:rsidR="006968C9" w:rsidRPr="00CA02B6">
        <w:rPr>
          <w:lang w:val="fr-FR"/>
        </w:rPr>
        <w:t>Norme internationale relative aux avis à la bate</w:t>
      </w:r>
      <w:r>
        <w:rPr>
          <w:lang w:val="fr-FR"/>
        </w:rPr>
        <w:t>llerie en navigation intérieure »</w:t>
      </w:r>
      <w:r w:rsidR="006968C9" w:rsidRPr="00CA02B6">
        <w:rPr>
          <w:lang w:val="fr-FR"/>
        </w:rPr>
        <w:t xml:space="preserve"> établies sur la base de la Résolution n</w:t>
      </w:r>
      <w:r w:rsidR="006968C9" w:rsidRPr="00934BD5">
        <w:rPr>
          <w:vertAlign w:val="superscript"/>
          <w:lang w:val="fr-FR"/>
        </w:rPr>
        <w:t>o</w:t>
      </w:r>
      <w:r w:rsidR="006968C9" w:rsidRPr="008C1766">
        <w:rPr>
          <w:lang w:val="fr-FR"/>
        </w:rPr>
        <w:t> </w:t>
      </w:r>
      <w:r>
        <w:rPr>
          <w:lang w:val="fr-FR"/>
        </w:rPr>
        <w:t>60</w:t>
      </w:r>
      <w:r w:rsidR="006968C9" w:rsidRPr="00CA02B6">
        <w:rPr>
          <w:lang w:val="fr-FR"/>
        </w:rPr>
        <w:t xml:space="preserve"> </w:t>
      </w:r>
      <w:r>
        <w:rPr>
          <w:lang w:val="fr-FR"/>
        </w:rPr>
        <w:t>« </w:t>
      </w:r>
      <w:r w:rsidR="006968C9" w:rsidRPr="00CA02B6">
        <w:rPr>
          <w:lang w:val="fr-FR"/>
        </w:rPr>
        <w:t>Normes internationales relatives à la batellerie et aux systèmes électroniques de notifi</w:t>
      </w:r>
      <w:r>
        <w:rPr>
          <w:lang w:val="fr-FR"/>
        </w:rPr>
        <w:t>cation en navigation intérieure »</w:t>
      </w:r>
      <w:r w:rsidR="006968C9" w:rsidRPr="00CA02B6">
        <w:rPr>
          <w:lang w:val="fr-FR"/>
        </w:rPr>
        <w:t xml:space="preserve"> (2014).</w:t>
      </w:r>
    </w:p>
    <w:p w:rsidR="006968C9" w:rsidRPr="00CA02B6" w:rsidRDefault="006968C9" w:rsidP="008C1766">
      <w:pPr>
        <w:pStyle w:val="SingleTxt"/>
        <w:numPr>
          <w:ilvl w:val="0"/>
          <w:numId w:val="10"/>
        </w:numPr>
        <w:ind w:left="1267" w:firstLine="0"/>
        <w:rPr>
          <w:szCs w:val="24"/>
          <w:lang w:val="fr-FR"/>
        </w:rPr>
      </w:pPr>
      <w:r w:rsidRPr="00CA02B6">
        <w:rPr>
          <w:lang w:val="fr-FR"/>
        </w:rPr>
        <w:t xml:space="preserve">En 2015, à sa quarante-septième session, le SC.3/WP.3 </w:t>
      </w:r>
      <w:r w:rsidR="008C1766">
        <w:rPr>
          <w:lang w:val="fr-FR"/>
        </w:rPr>
        <w:t>s’est déclaré favorable à</w:t>
      </w:r>
      <w:r w:rsidRPr="00CA02B6">
        <w:rPr>
          <w:lang w:val="fr-FR"/>
        </w:rPr>
        <w:t xml:space="preserve"> la poursuite des travaux visant à trouver une solution technique pour l</w:t>
      </w:r>
      <w:r>
        <w:rPr>
          <w:lang w:val="fr-FR"/>
        </w:rPr>
        <w:t>’</w:t>
      </w:r>
      <w:r w:rsidRPr="00CA02B6">
        <w:rPr>
          <w:lang w:val="fr-FR"/>
        </w:rPr>
        <w:t>utilisation potentielle en navigation intérieure du Système d</w:t>
      </w:r>
      <w:r>
        <w:rPr>
          <w:lang w:val="fr-FR"/>
        </w:rPr>
        <w:t>’</w:t>
      </w:r>
      <w:r w:rsidRPr="00CA02B6">
        <w:rPr>
          <w:lang w:val="fr-FR"/>
        </w:rPr>
        <w:t>identification automatique d</w:t>
      </w:r>
      <w:r>
        <w:rPr>
          <w:lang w:val="fr-FR"/>
        </w:rPr>
        <w:t>’</w:t>
      </w:r>
      <w:r w:rsidRPr="00CA02B6">
        <w:rPr>
          <w:lang w:val="fr-FR"/>
        </w:rPr>
        <w:t>aide à la navigation AIS-</w:t>
      </w:r>
      <w:proofErr w:type="spellStart"/>
      <w:r w:rsidRPr="00CA02B6">
        <w:rPr>
          <w:lang w:val="fr-FR"/>
        </w:rPr>
        <w:t>AtoN</w:t>
      </w:r>
      <w:proofErr w:type="spellEnd"/>
      <w:r w:rsidRPr="00CA02B6">
        <w:rPr>
          <w:lang w:val="fr-FR"/>
        </w:rPr>
        <w:t xml:space="preserve"> et a invité les États membres de la CEE et les commissions fluviales à communiquer leur avis à ce sujet.</w:t>
      </w:r>
    </w:p>
    <w:p w:rsidR="006968C9" w:rsidRPr="008C1766" w:rsidRDefault="006968C9" w:rsidP="008C1766">
      <w:pPr>
        <w:pStyle w:val="SingleTxt"/>
        <w:numPr>
          <w:ilvl w:val="0"/>
          <w:numId w:val="10"/>
        </w:numPr>
        <w:ind w:left="1267" w:firstLine="0"/>
        <w:rPr>
          <w:bCs/>
          <w:szCs w:val="24"/>
          <w:lang w:val="fr-FR"/>
        </w:rPr>
      </w:pPr>
      <w:r w:rsidRPr="00CA02B6">
        <w:rPr>
          <w:lang w:val="fr-FR"/>
        </w:rPr>
        <w:t>La collaboration entre la CEE et l</w:t>
      </w:r>
      <w:r>
        <w:rPr>
          <w:lang w:val="fr-FR"/>
        </w:rPr>
        <w:t>’</w:t>
      </w:r>
      <w:r w:rsidRPr="00CA02B6">
        <w:rPr>
          <w:lang w:val="fr-FR"/>
        </w:rPr>
        <w:t xml:space="preserve">UE en ce qui concerne la base de données </w:t>
      </w:r>
      <w:proofErr w:type="gramStart"/>
      <w:r w:rsidRPr="00CA02B6">
        <w:rPr>
          <w:lang w:val="fr-FR"/>
        </w:rPr>
        <w:t>européennes</w:t>
      </w:r>
      <w:proofErr w:type="gramEnd"/>
      <w:r w:rsidRPr="00CA02B6">
        <w:rPr>
          <w:lang w:val="fr-FR"/>
        </w:rPr>
        <w:t xml:space="preserve"> sur les coques est un point permanent de l</w:t>
      </w:r>
      <w:r>
        <w:rPr>
          <w:lang w:val="fr-FR"/>
        </w:rPr>
        <w:t>’</w:t>
      </w:r>
      <w:r w:rsidRPr="00CA02B6">
        <w:rPr>
          <w:lang w:val="fr-FR"/>
        </w:rPr>
        <w:t>ordre du jour du SC.3. En 2011, le SC.3 a</w:t>
      </w:r>
      <w:r w:rsidR="008C1766">
        <w:rPr>
          <w:lang w:val="fr-FR"/>
        </w:rPr>
        <w:t>,</w:t>
      </w:r>
      <w:r w:rsidRPr="00CA02B6">
        <w:rPr>
          <w:lang w:val="fr-FR"/>
        </w:rPr>
        <w:t xml:space="preserve"> </w:t>
      </w:r>
      <w:r w:rsidR="008C1766" w:rsidRPr="00CA02B6">
        <w:rPr>
          <w:lang w:val="fr-FR"/>
        </w:rPr>
        <w:t xml:space="preserve">à sa cinquante-cinquième session, </w:t>
      </w:r>
      <w:r w:rsidRPr="00CA02B6">
        <w:rPr>
          <w:lang w:val="fr-FR"/>
        </w:rPr>
        <w:t>approuvé une note d</w:t>
      </w:r>
      <w:r>
        <w:rPr>
          <w:lang w:val="fr-FR"/>
        </w:rPr>
        <w:t>’</w:t>
      </w:r>
      <w:r w:rsidRPr="00CA02B6">
        <w:rPr>
          <w:lang w:val="fr-FR"/>
        </w:rPr>
        <w:t>information sur la future collaboration en la matière et rappelé qu</w:t>
      </w:r>
      <w:r>
        <w:rPr>
          <w:lang w:val="fr-FR"/>
        </w:rPr>
        <w:t>’</w:t>
      </w:r>
      <w:r w:rsidRPr="00CA02B6">
        <w:rPr>
          <w:lang w:val="fr-FR"/>
        </w:rPr>
        <w:t>il incombait au Comité des transports intérieurs de décider s</w:t>
      </w:r>
      <w:r>
        <w:rPr>
          <w:lang w:val="fr-FR"/>
        </w:rPr>
        <w:t>’</w:t>
      </w:r>
      <w:r w:rsidRPr="00CA02B6">
        <w:rPr>
          <w:lang w:val="fr-FR"/>
        </w:rPr>
        <w:t>il convenait que la CEE entreprenne une telle acti</w:t>
      </w:r>
      <w:r w:rsidR="006923F0">
        <w:rPr>
          <w:lang w:val="fr-FR"/>
        </w:rPr>
        <w:t>vité</w:t>
      </w:r>
      <w:r w:rsidR="008C1766">
        <w:rPr>
          <w:lang w:val="fr-FR"/>
        </w:rPr>
        <w:t xml:space="preserve"> (ECE/TRANS/SC.3/191, par. </w:t>
      </w:r>
      <w:r w:rsidRPr="00CA02B6">
        <w:rPr>
          <w:lang w:val="fr-FR"/>
        </w:rPr>
        <w:t>14). À sa soixante-quatorzième session, le CTI a chargé le secrétariat de continuer à consulter l</w:t>
      </w:r>
      <w:r>
        <w:rPr>
          <w:lang w:val="fr-FR"/>
        </w:rPr>
        <w:t>’</w:t>
      </w:r>
      <w:r w:rsidRPr="00CA02B6">
        <w:rPr>
          <w:lang w:val="fr-FR"/>
        </w:rPr>
        <w:t>ensemble des parties prenantes, en particulier la Commission européenne, au sujet des moyens pour la CEE de contribuer à l</w:t>
      </w:r>
      <w:r>
        <w:rPr>
          <w:lang w:val="fr-FR"/>
        </w:rPr>
        <w:t>’</w:t>
      </w:r>
      <w:r w:rsidRPr="00CA02B6">
        <w:rPr>
          <w:lang w:val="fr-FR"/>
        </w:rPr>
        <w:t>établissement et à la tenue de la base de données européenne sur les coques, dans laquelle pourraient figurer tous les bateaux européens de navigation intérieure (EC</w:t>
      </w:r>
      <w:r w:rsidR="008C1766">
        <w:rPr>
          <w:lang w:val="fr-FR"/>
        </w:rPr>
        <w:t>E/TRANS/224, par. </w:t>
      </w:r>
      <w:r w:rsidRPr="00CA02B6">
        <w:rPr>
          <w:lang w:val="fr-FR"/>
        </w:rPr>
        <w:t>53). Aux cinquante-sixième et cinquante-septième sessions du SC.3, la délégation de l</w:t>
      </w:r>
      <w:r>
        <w:rPr>
          <w:lang w:val="fr-FR"/>
        </w:rPr>
        <w:t>’</w:t>
      </w:r>
      <w:r w:rsidRPr="00CA02B6">
        <w:rPr>
          <w:lang w:val="fr-FR"/>
        </w:rPr>
        <w:t>UE a rendu compte des faits les plus récents touchant le projet pilote de base de données. Depuis, aucune information nouvelle n</w:t>
      </w:r>
      <w:r>
        <w:rPr>
          <w:lang w:val="fr-FR"/>
        </w:rPr>
        <w:t>’</w:t>
      </w:r>
      <w:r w:rsidRPr="00CA02B6">
        <w:rPr>
          <w:lang w:val="fr-FR"/>
        </w:rPr>
        <w:t>a été communiquée sur le projet, mais les consultations se sont poursuivies à la réunion tenue par l</w:t>
      </w:r>
      <w:r>
        <w:rPr>
          <w:lang w:val="fr-FR"/>
        </w:rPr>
        <w:t>’</w:t>
      </w:r>
      <w:r w:rsidRPr="00CA02B6">
        <w:rPr>
          <w:lang w:val="fr-FR"/>
        </w:rPr>
        <w:t>UE et le secrétariat de la CEE en juillet 2015.</w:t>
      </w:r>
    </w:p>
    <w:p w:rsidR="008C1766" w:rsidRPr="008C1766" w:rsidRDefault="008C1766" w:rsidP="008C1766">
      <w:pPr>
        <w:pStyle w:val="SingleTxt"/>
        <w:spacing w:after="0" w:line="120" w:lineRule="exact"/>
        <w:rPr>
          <w:sz w:val="10"/>
          <w:lang w:val="fr-FR"/>
        </w:rPr>
      </w:pPr>
    </w:p>
    <w:p w:rsidR="008C1766" w:rsidRPr="008C1766" w:rsidRDefault="008C1766" w:rsidP="008C1766">
      <w:pPr>
        <w:pStyle w:val="SingleTxt"/>
        <w:spacing w:after="0" w:line="120" w:lineRule="exact"/>
        <w:rPr>
          <w:sz w:val="10"/>
          <w:lang w:val="fr-FR"/>
        </w:rPr>
      </w:pPr>
    </w:p>
    <w:p w:rsidR="006968C9" w:rsidRDefault="006968C9" w:rsidP="008C17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02B6">
        <w:rPr>
          <w:lang w:val="fr-FR"/>
        </w:rPr>
        <w:tab/>
        <w:t>D.</w:t>
      </w:r>
      <w:r w:rsidRPr="00CA02B6">
        <w:rPr>
          <w:lang w:val="fr-FR"/>
        </w:rPr>
        <w:tab/>
        <w:t>Recommandation n</w:t>
      </w:r>
      <w:r w:rsidRPr="00CA02B6">
        <w:rPr>
          <w:vertAlign w:val="superscript"/>
          <w:lang w:val="fr-FR"/>
        </w:rPr>
        <w:t>o</w:t>
      </w:r>
      <w:r w:rsidRPr="008C1766">
        <w:rPr>
          <w:lang w:val="fr-FR"/>
        </w:rPr>
        <w:t> </w:t>
      </w:r>
      <w:r w:rsidRPr="00CA02B6">
        <w:rPr>
          <w:lang w:val="fr-FR"/>
        </w:rPr>
        <w:t>4</w:t>
      </w:r>
    </w:p>
    <w:p w:rsidR="008C1766" w:rsidRPr="008C1766" w:rsidRDefault="008C1766" w:rsidP="008C1766">
      <w:pPr>
        <w:pStyle w:val="SingleTxt"/>
        <w:spacing w:after="0" w:line="120" w:lineRule="exact"/>
        <w:rPr>
          <w:sz w:val="10"/>
          <w:lang w:val="fr-FR"/>
        </w:rPr>
      </w:pPr>
    </w:p>
    <w:p w:rsidR="008C1766" w:rsidRPr="008C1766" w:rsidRDefault="008C1766" w:rsidP="008C1766">
      <w:pPr>
        <w:pStyle w:val="SingleTxt"/>
        <w:spacing w:after="0" w:line="120" w:lineRule="exact"/>
        <w:rPr>
          <w:sz w:val="10"/>
          <w:lang w:val="fr-FR"/>
        </w:rPr>
      </w:pPr>
    </w:p>
    <w:p w:rsidR="006968C9" w:rsidRPr="00CA02B6" w:rsidRDefault="006968C9" w:rsidP="00B62D71">
      <w:pPr>
        <w:pStyle w:val="SingleTxt"/>
        <w:numPr>
          <w:ilvl w:val="0"/>
          <w:numId w:val="10"/>
        </w:numPr>
        <w:ind w:left="1267" w:firstLine="0"/>
        <w:rPr>
          <w:szCs w:val="24"/>
          <w:lang w:val="fr-FR"/>
        </w:rPr>
      </w:pPr>
      <w:r w:rsidRPr="00CA02B6">
        <w:rPr>
          <w:lang w:val="fr-FR"/>
        </w:rPr>
        <w:t>À la cinquante-cinquième session du SC.3 en 2011, il a été décidé de constituer un groupe conjoint d</w:t>
      </w:r>
      <w:r>
        <w:rPr>
          <w:lang w:val="fr-FR"/>
        </w:rPr>
        <w:t>’</w:t>
      </w:r>
      <w:r w:rsidRPr="00CA02B6">
        <w:rPr>
          <w:lang w:val="fr-FR"/>
        </w:rPr>
        <w:t>experts qui mènerait des travaux ou tiendrait des consultations avec le Groupe de travail du transport intermodal et de la logistique (WP.24). Au titre de la suite donnée au Livre blanc et dans le cadre de la révision en cours du Livre bleu, le SC.3/WP.3 a tenu un débat spécifique sur le développement stratégique de l</w:t>
      </w:r>
      <w:r>
        <w:rPr>
          <w:lang w:val="fr-FR"/>
        </w:rPr>
        <w:t>’</w:t>
      </w:r>
      <w:r w:rsidRPr="00CA02B6">
        <w:rPr>
          <w:lang w:val="fr-FR"/>
        </w:rPr>
        <w:t>infrastructure des voies navigables durant sa trente-neuvième session, en 2011.</w:t>
      </w:r>
    </w:p>
    <w:p w:rsidR="006968C9" w:rsidRPr="00CA02B6" w:rsidRDefault="006968C9" w:rsidP="00B62D71">
      <w:pPr>
        <w:pStyle w:val="SingleTxt"/>
        <w:numPr>
          <w:ilvl w:val="0"/>
          <w:numId w:val="10"/>
        </w:numPr>
        <w:ind w:left="1267" w:firstLine="0"/>
        <w:rPr>
          <w:szCs w:val="24"/>
          <w:lang w:val="fr-FR"/>
        </w:rPr>
      </w:pPr>
      <w:r w:rsidRPr="00CA02B6">
        <w:rPr>
          <w:lang w:val="fr-FR"/>
        </w:rPr>
        <w:t>En 2013</w:t>
      </w:r>
      <w:r w:rsidR="006923F0">
        <w:rPr>
          <w:lang w:val="fr-FR"/>
        </w:rPr>
        <w:t xml:space="preserve">, le SC.3 </w:t>
      </w:r>
      <w:proofErr w:type="gramStart"/>
      <w:r w:rsidR="006923F0" w:rsidRPr="00CA02B6">
        <w:rPr>
          <w:lang w:val="fr-FR"/>
        </w:rPr>
        <w:t>a</w:t>
      </w:r>
      <w:r w:rsidR="006923F0">
        <w:rPr>
          <w:lang w:val="fr-FR"/>
        </w:rPr>
        <w:t xml:space="preserve"> </w:t>
      </w:r>
      <w:r w:rsidR="006923F0" w:rsidRPr="00CA02B6">
        <w:rPr>
          <w:lang w:val="fr-FR"/>
        </w:rPr>
        <w:t>,</w:t>
      </w:r>
      <w:proofErr w:type="gramEnd"/>
      <w:r w:rsidR="006923F0" w:rsidRPr="00CA02B6">
        <w:rPr>
          <w:lang w:val="fr-FR"/>
        </w:rPr>
        <w:t xml:space="preserve"> à sa cinquante-septième session,</w:t>
      </w:r>
      <w:r w:rsidR="006923F0">
        <w:rPr>
          <w:lang w:val="fr-FR"/>
        </w:rPr>
        <w:t xml:space="preserve"> </w:t>
      </w:r>
      <w:r w:rsidRPr="00CA02B6">
        <w:rPr>
          <w:lang w:val="fr-FR"/>
        </w:rPr>
        <w:t>réaffirmé son intention de collaborer avec les autres groupes de travail pour appuyer les initiatives tendant à renforcer le rôle du transport par voie navigable dans la sécurisation des chaînes de transport inter</w:t>
      </w:r>
      <w:r w:rsidR="00B62D71">
        <w:rPr>
          <w:lang w:val="fr-FR"/>
        </w:rPr>
        <w:t>modal (ECE/TRANS/SC.3/195, par. </w:t>
      </w:r>
      <w:r w:rsidRPr="00CA02B6">
        <w:rPr>
          <w:lang w:val="fr-FR"/>
        </w:rPr>
        <w:t>15). À sa quarante et unième session, le SC.3/WP.3 a invité le Groupe de travail du transport intermodal et de la l</w:t>
      </w:r>
      <w:r w:rsidR="00B62D71">
        <w:rPr>
          <w:lang w:val="fr-FR"/>
        </w:rPr>
        <w:t>ogistique à réviser les annexes </w:t>
      </w:r>
      <w:r w:rsidRPr="00CA02B6">
        <w:rPr>
          <w:lang w:val="fr-FR"/>
        </w:rPr>
        <w:t>I et II du Protocole à l</w:t>
      </w:r>
      <w:r>
        <w:rPr>
          <w:lang w:val="fr-FR"/>
        </w:rPr>
        <w:t>’</w:t>
      </w:r>
      <w:r w:rsidRPr="00CA02B6">
        <w:rPr>
          <w:lang w:val="fr-FR"/>
        </w:rPr>
        <w:t>AGTC afin de les aligner sur les annexes révisées à l</w:t>
      </w:r>
      <w:r>
        <w:rPr>
          <w:lang w:val="fr-FR"/>
        </w:rPr>
        <w:t>’</w:t>
      </w:r>
      <w:r w:rsidRPr="00CA02B6">
        <w:rPr>
          <w:lang w:val="fr-FR"/>
        </w:rPr>
        <w:t>AG</w:t>
      </w:r>
      <w:r w:rsidR="00B62D71">
        <w:rPr>
          <w:lang w:val="fr-FR"/>
        </w:rPr>
        <w:t>N (ECE/TRANS/SC.3/WP.3/82, par. 12). À sa quarante</w:t>
      </w:r>
      <w:r w:rsidR="00B62D71">
        <w:rPr>
          <w:lang w:val="fr-FR"/>
        </w:rPr>
        <w:noBreakHyphen/>
      </w:r>
      <w:r w:rsidRPr="00CA02B6">
        <w:rPr>
          <w:lang w:val="fr-FR"/>
        </w:rPr>
        <w:t>septième session, le SC.3/WP.3 a examiné la proposition formulée par le secrétariat, et celle-ci sera soumise pour exam</w:t>
      </w:r>
      <w:r w:rsidR="006923F0">
        <w:rPr>
          <w:lang w:val="fr-FR"/>
        </w:rPr>
        <w:t>en simultanément à la cinquante</w:t>
      </w:r>
      <w:r w:rsidR="006923F0">
        <w:rPr>
          <w:lang w:val="fr-FR"/>
        </w:rPr>
        <w:noBreakHyphen/>
      </w:r>
      <w:r w:rsidRPr="00CA02B6">
        <w:rPr>
          <w:lang w:val="fr-FR"/>
        </w:rPr>
        <w:t xml:space="preserve">neuvième session du SC.3 et à la cinquante-huitième session du Groupe de </w:t>
      </w:r>
      <w:r w:rsidRPr="00CA02B6">
        <w:rPr>
          <w:lang w:val="fr-FR"/>
        </w:rPr>
        <w:lastRenderedPageBreak/>
        <w:t>travail du transport intermodal et de la logistique en novembre 2015, ce qui pourrait déboucher sur des amendements au Protocole à l</w:t>
      </w:r>
      <w:r>
        <w:rPr>
          <w:lang w:val="fr-FR"/>
        </w:rPr>
        <w:t>’</w:t>
      </w:r>
      <w:r w:rsidRPr="00CA02B6">
        <w:rPr>
          <w:lang w:val="fr-FR"/>
        </w:rPr>
        <w:t>AGTC.</w:t>
      </w:r>
    </w:p>
    <w:p w:rsidR="006968C9" w:rsidRPr="00CA02B6" w:rsidRDefault="006968C9" w:rsidP="004A27F3">
      <w:pPr>
        <w:pStyle w:val="SingleTxt"/>
        <w:numPr>
          <w:ilvl w:val="0"/>
          <w:numId w:val="10"/>
        </w:numPr>
        <w:ind w:left="1267" w:firstLine="0"/>
        <w:rPr>
          <w:szCs w:val="24"/>
          <w:lang w:val="fr-FR"/>
        </w:rPr>
      </w:pPr>
      <w:r w:rsidRPr="00CA02B6">
        <w:rPr>
          <w:lang w:val="fr-FR"/>
        </w:rPr>
        <w:t>Les activités du SC.3 visant à promouvoir le développement de la navigation côtière comprennent l</w:t>
      </w:r>
      <w:r>
        <w:rPr>
          <w:lang w:val="fr-FR"/>
        </w:rPr>
        <w:t>’</w:t>
      </w:r>
      <w:r w:rsidRPr="00CA02B6">
        <w:rPr>
          <w:lang w:val="fr-FR"/>
        </w:rPr>
        <w:t>ajout à l</w:t>
      </w:r>
      <w:r>
        <w:rPr>
          <w:lang w:val="fr-FR"/>
        </w:rPr>
        <w:t>’</w:t>
      </w:r>
      <w:r w:rsidRPr="00CA02B6">
        <w:rPr>
          <w:lang w:val="fr-FR"/>
        </w:rPr>
        <w:t>AGN de nouveaux parcours côtiers et ports et de prescriptions techniques applicables aux bateaux capables d</w:t>
      </w:r>
      <w:r>
        <w:rPr>
          <w:lang w:val="fr-FR"/>
        </w:rPr>
        <w:t>’</w:t>
      </w:r>
      <w:r w:rsidRPr="00CA02B6">
        <w:rPr>
          <w:lang w:val="fr-FR"/>
        </w:rPr>
        <w:t>effectuer de tels parcours. Dans ce domaine, les rés</w:t>
      </w:r>
      <w:r w:rsidR="004A27F3">
        <w:rPr>
          <w:lang w:val="fr-FR"/>
        </w:rPr>
        <w:t>ultats suivants ont été obtenus </w:t>
      </w:r>
      <w:r w:rsidRPr="00CA02B6">
        <w:rPr>
          <w:lang w:val="fr-FR"/>
        </w:rPr>
        <w:t>:</w:t>
      </w:r>
    </w:p>
    <w:p w:rsidR="006968C9" w:rsidRPr="00CA02B6" w:rsidRDefault="006968C9" w:rsidP="004A27F3">
      <w:pPr>
        <w:pStyle w:val="Bullet1"/>
        <w:ind w:left="1743" w:hanging="130"/>
        <w:rPr>
          <w:szCs w:val="24"/>
          <w:lang w:val="fr-FR"/>
        </w:rPr>
      </w:pPr>
      <w:r w:rsidRPr="00CA02B6">
        <w:rPr>
          <w:lang w:val="fr-FR"/>
        </w:rPr>
        <w:t xml:space="preserve">Des prescriptions relatives aux navires </w:t>
      </w:r>
      <w:proofErr w:type="spellStart"/>
      <w:r w:rsidRPr="00CA02B6">
        <w:rPr>
          <w:lang w:val="fr-FR"/>
        </w:rPr>
        <w:t>fluvio-maritimes</w:t>
      </w:r>
      <w:proofErr w:type="spellEnd"/>
      <w:r w:rsidRPr="00CA02B6">
        <w:rPr>
          <w:lang w:val="fr-FR"/>
        </w:rPr>
        <w:t xml:space="preserve"> ont été incluses dans la Résolution n</w:t>
      </w:r>
      <w:r w:rsidRPr="00934BD5">
        <w:rPr>
          <w:vertAlign w:val="superscript"/>
          <w:lang w:val="fr-FR"/>
        </w:rPr>
        <w:t>o</w:t>
      </w:r>
      <w:r w:rsidRPr="004A27F3">
        <w:rPr>
          <w:lang w:val="fr-FR"/>
        </w:rPr>
        <w:t> </w:t>
      </w:r>
      <w:r w:rsidR="004A27F3">
        <w:rPr>
          <w:lang w:val="fr-FR"/>
        </w:rPr>
        <w:t>61</w:t>
      </w:r>
      <w:r w:rsidRPr="00CA02B6">
        <w:rPr>
          <w:lang w:val="fr-FR"/>
        </w:rPr>
        <w:t xml:space="preserve"> </w:t>
      </w:r>
      <w:r w:rsidR="004A27F3">
        <w:rPr>
          <w:lang w:val="fr-FR"/>
        </w:rPr>
        <w:t>« </w:t>
      </w:r>
      <w:r w:rsidRPr="00CA02B6">
        <w:rPr>
          <w:lang w:val="fr-FR"/>
        </w:rPr>
        <w:t>Recommandations relatives à des prescriptions techniques harmonisées à l</w:t>
      </w:r>
      <w:r>
        <w:rPr>
          <w:lang w:val="fr-FR"/>
        </w:rPr>
        <w:t>’</w:t>
      </w:r>
      <w:r w:rsidRPr="00CA02B6">
        <w:rPr>
          <w:lang w:val="fr-FR"/>
        </w:rPr>
        <w:t>échelle européenne applicables aux b</w:t>
      </w:r>
      <w:r w:rsidR="004A27F3">
        <w:rPr>
          <w:lang w:val="fr-FR"/>
        </w:rPr>
        <w:t>ateaux de navigation intérieure »</w:t>
      </w:r>
      <w:r w:rsidRPr="00CA02B6">
        <w:rPr>
          <w:lang w:val="fr-FR"/>
        </w:rPr>
        <w:t xml:space="preserve"> en tant que </w:t>
      </w:r>
      <w:r w:rsidR="004A27F3">
        <w:rPr>
          <w:lang w:val="fr-FR"/>
        </w:rPr>
        <w:t>nouveau chapitre 20B (voir par. 20 ci-dessus), y </w:t>
      </w:r>
      <w:r w:rsidRPr="00CA02B6">
        <w:rPr>
          <w:lang w:val="fr-FR"/>
        </w:rPr>
        <w:t>compris le classement</w:t>
      </w:r>
      <w:r w:rsidR="004A27F3">
        <w:rPr>
          <w:lang w:val="fr-FR"/>
        </w:rPr>
        <w:t xml:space="preserve"> des eaux côtières par zones RS </w:t>
      </w:r>
      <w:r w:rsidRPr="00CA02B6">
        <w:rPr>
          <w:lang w:val="fr-FR"/>
        </w:rPr>
        <w:t>2.0, 3.0, 3.5, 4.5 et 6.0;</w:t>
      </w:r>
    </w:p>
    <w:p w:rsidR="006968C9" w:rsidRPr="00CA02B6" w:rsidRDefault="006968C9" w:rsidP="004A27F3">
      <w:pPr>
        <w:pStyle w:val="Bullet1"/>
        <w:ind w:left="1743" w:hanging="130"/>
        <w:rPr>
          <w:szCs w:val="24"/>
          <w:lang w:val="fr-FR"/>
        </w:rPr>
      </w:pPr>
      <w:r w:rsidRPr="00CA02B6">
        <w:rPr>
          <w:lang w:val="fr-FR"/>
        </w:rPr>
        <w:t>Le secrétariat propose de tenir des consultations avec le Groupe de travail chargé d</w:t>
      </w:r>
      <w:r>
        <w:rPr>
          <w:lang w:val="fr-FR"/>
        </w:rPr>
        <w:t>’</w:t>
      </w:r>
      <w:r w:rsidRPr="00CA02B6">
        <w:rPr>
          <w:lang w:val="fr-FR"/>
        </w:rPr>
        <w:t>examiner les tendances et l</w:t>
      </w:r>
      <w:r>
        <w:rPr>
          <w:lang w:val="fr-FR"/>
        </w:rPr>
        <w:t>’</w:t>
      </w:r>
      <w:r w:rsidRPr="00CA02B6">
        <w:rPr>
          <w:lang w:val="fr-FR"/>
        </w:rPr>
        <w:t>économie des transports et le Groupe de travail du transport intermodal et de la logistique afin d</w:t>
      </w:r>
      <w:r>
        <w:rPr>
          <w:lang w:val="fr-FR"/>
        </w:rPr>
        <w:t>’</w:t>
      </w:r>
      <w:r w:rsidRPr="00CA02B6">
        <w:rPr>
          <w:lang w:val="fr-FR"/>
        </w:rPr>
        <w:t>établir une proposition détaillée d</w:t>
      </w:r>
      <w:r>
        <w:rPr>
          <w:lang w:val="fr-FR"/>
        </w:rPr>
        <w:t>’</w:t>
      </w:r>
      <w:r w:rsidRPr="00CA02B6">
        <w:rPr>
          <w:lang w:val="fr-FR"/>
        </w:rPr>
        <w:t xml:space="preserve">itinéraires </w:t>
      </w:r>
      <w:proofErr w:type="spellStart"/>
      <w:r w:rsidRPr="00CA02B6">
        <w:rPr>
          <w:lang w:val="fr-FR"/>
        </w:rPr>
        <w:t>fluvio-maritimes</w:t>
      </w:r>
      <w:proofErr w:type="spellEnd"/>
      <w:r w:rsidRPr="00CA02B6">
        <w:rPr>
          <w:lang w:val="fr-FR"/>
        </w:rPr>
        <w:t xml:space="preserve"> et de ports à inclure dans l</w:t>
      </w:r>
      <w:r>
        <w:rPr>
          <w:lang w:val="fr-FR"/>
        </w:rPr>
        <w:t>’</w:t>
      </w:r>
      <w:r w:rsidRPr="00CA02B6">
        <w:rPr>
          <w:lang w:val="fr-FR"/>
        </w:rPr>
        <w:t>AGN et de recueillir des propositions des États membres, des commissions fluviales et d</w:t>
      </w:r>
      <w:r>
        <w:rPr>
          <w:lang w:val="fr-FR"/>
        </w:rPr>
        <w:t>’</w:t>
      </w:r>
      <w:r w:rsidRPr="00CA02B6">
        <w:rPr>
          <w:lang w:val="fr-FR"/>
        </w:rPr>
        <w:t>autres parties prenantes jouant un rôle dans la navigation côtière.</w:t>
      </w:r>
    </w:p>
    <w:p w:rsidR="006968C9" w:rsidRPr="00E00BF0" w:rsidRDefault="006968C9" w:rsidP="00E00BF0">
      <w:pPr>
        <w:pStyle w:val="SingleTxt"/>
        <w:numPr>
          <w:ilvl w:val="0"/>
          <w:numId w:val="10"/>
        </w:numPr>
        <w:ind w:left="1267" w:firstLine="0"/>
        <w:rPr>
          <w:rFonts w:eastAsia="Calibri"/>
          <w:sz w:val="24"/>
          <w:szCs w:val="24"/>
          <w:lang w:val="fr-FR"/>
        </w:rPr>
      </w:pPr>
      <w:r w:rsidRPr="00CA02B6">
        <w:rPr>
          <w:lang w:val="fr-FR"/>
        </w:rPr>
        <w:t>La sûreté des transports par voie navigable est un point permanent de l</w:t>
      </w:r>
      <w:r>
        <w:rPr>
          <w:lang w:val="fr-FR"/>
        </w:rPr>
        <w:t>’</w:t>
      </w:r>
      <w:r w:rsidRPr="00CA02B6">
        <w:rPr>
          <w:lang w:val="fr-FR"/>
        </w:rPr>
        <w:t>ordre du jour du SC.3. Un projet d</w:t>
      </w:r>
      <w:r>
        <w:rPr>
          <w:lang w:val="fr-FR"/>
        </w:rPr>
        <w:t>’</w:t>
      </w:r>
      <w:r w:rsidRPr="00CA02B6">
        <w:rPr>
          <w:lang w:val="fr-FR"/>
        </w:rPr>
        <w:t>annexe IV à l</w:t>
      </w:r>
      <w:r>
        <w:rPr>
          <w:lang w:val="fr-FR"/>
        </w:rPr>
        <w:t>’</w:t>
      </w:r>
      <w:r w:rsidRPr="00CA02B6">
        <w:rPr>
          <w:lang w:val="fr-FR"/>
        </w:rPr>
        <w:t>AGN contenant des dispositions sur la sûreté a été examiné par le SC.3 à sa quarante-neuvième session, puis par le SC.3/WP.3 à sa quarante-deuxième session. Le SC.3/WP.3 est parvenu à la conclusion que la sécurité dans la navigation intérieure européenne était une question pertinente, mais il s</w:t>
      </w:r>
      <w:r>
        <w:rPr>
          <w:lang w:val="fr-FR"/>
        </w:rPr>
        <w:t>’</w:t>
      </w:r>
      <w:r w:rsidRPr="00CA02B6">
        <w:rPr>
          <w:lang w:val="fr-FR"/>
        </w:rPr>
        <w:t>est déclaré préoccupé par les difficultés de mise en œuvre qui pourraient être rencontrées si des dispositions spécifiques étaient incorporées dans l</w:t>
      </w:r>
      <w:r>
        <w:rPr>
          <w:lang w:val="fr-FR"/>
        </w:rPr>
        <w:t>’</w:t>
      </w:r>
      <w:r w:rsidRPr="00CA02B6">
        <w:rPr>
          <w:lang w:val="fr-FR"/>
        </w:rPr>
        <w:t>AGN sous la forme proposée. Donnant suite à la demande du SC.3/WP.3, le secrétariat a établi un texte générique susceptible d</w:t>
      </w:r>
      <w:r>
        <w:rPr>
          <w:lang w:val="fr-FR"/>
        </w:rPr>
        <w:t>’</w:t>
      </w:r>
      <w:r w:rsidRPr="00CA02B6">
        <w:rPr>
          <w:lang w:val="fr-FR"/>
        </w:rPr>
        <w:t>être inclus dans le corps du texte de l</w:t>
      </w:r>
      <w:r>
        <w:rPr>
          <w:lang w:val="fr-FR"/>
        </w:rPr>
        <w:t>’</w:t>
      </w:r>
      <w:r w:rsidRPr="00CA02B6">
        <w:rPr>
          <w:lang w:val="fr-FR"/>
        </w:rPr>
        <w:t>AGN. Après un débat, le SC.3 a décidé de ne pas prendre de décision sur l</w:t>
      </w:r>
      <w:r>
        <w:rPr>
          <w:lang w:val="fr-FR"/>
        </w:rPr>
        <w:t>’</w:t>
      </w:r>
      <w:r w:rsidRPr="00CA02B6">
        <w:rPr>
          <w:lang w:val="fr-FR"/>
        </w:rPr>
        <w:t>inclusion dans l</w:t>
      </w:r>
      <w:r>
        <w:rPr>
          <w:lang w:val="fr-FR"/>
        </w:rPr>
        <w:t>’</w:t>
      </w:r>
      <w:r w:rsidRPr="00CA02B6">
        <w:rPr>
          <w:lang w:val="fr-FR"/>
        </w:rPr>
        <w:t>AGN de dispositions relatives à la sûreté tant qu</w:t>
      </w:r>
      <w:r>
        <w:rPr>
          <w:lang w:val="fr-FR"/>
        </w:rPr>
        <w:t>’</w:t>
      </w:r>
      <w:r w:rsidRPr="00CA02B6">
        <w:rPr>
          <w:lang w:val="fr-FR"/>
        </w:rPr>
        <w:t>une analyse adéquate des risques n</w:t>
      </w:r>
      <w:r>
        <w:rPr>
          <w:lang w:val="fr-FR"/>
        </w:rPr>
        <w:t>’</w:t>
      </w:r>
      <w:r w:rsidRPr="00CA02B6">
        <w:rPr>
          <w:lang w:val="fr-FR"/>
        </w:rPr>
        <w:t>aurait pas démontré que les risques d</w:t>
      </w:r>
      <w:r>
        <w:rPr>
          <w:lang w:val="fr-FR"/>
        </w:rPr>
        <w:t>’</w:t>
      </w:r>
      <w:r w:rsidRPr="00CA02B6">
        <w:rPr>
          <w:lang w:val="fr-FR"/>
        </w:rPr>
        <w:t>incidents étaient plus grands qu</w:t>
      </w:r>
      <w:r>
        <w:rPr>
          <w:lang w:val="fr-FR"/>
        </w:rPr>
        <w:t>’</w:t>
      </w:r>
      <w:r w:rsidRPr="00CA02B6">
        <w:rPr>
          <w:lang w:val="fr-FR"/>
        </w:rPr>
        <w:t>on ne le pensait actuellement</w:t>
      </w:r>
      <w:r w:rsidR="00E00BF0">
        <w:rPr>
          <w:lang w:val="fr-FR"/>
        </w:rPr>
        <w:t xml:space="preserve"> (ECE/TRANS/SC.3/2013/195, par. </w:t>
      </w:r>
      <w:r w:rsidRPr="00CA02B6">
        <w:rPr>
          <w:lang w:val="fr-FR"/>
        </w:rPr>
        <w:t>13).</w:t>
      </w:r>
    </w:p>
    <w:p w:rsidR="00E00BF0" w:rsidRPr="00E00BF0" w:rsidRDefault="00E00BF0" w:rsidP="00E00BF0">
      <w:pPr>
        <w:pStyle w:val="SingleTxt"/>
        <w:spacing w:after="0" w:line="120" w:lineRule="exact"/>
        <w:rPr>
          <w:rStyle w:val="SingleTxtGChar"/>
          <w:sz w:val="10"/>
          <w:szCs w:val="24"/>
          <w:lang w:val="fr-FR"/>
        </w:rPr>
      </w:pPr>
    </w:p>
    <w:p w:rsidR="00E00BF0" w:rsidRPr="00E00BF0" w:rsidRDefault="00E00BF0" w:rsidP="00E00BF0">
      <w:pPr>
        <w:pStyle w:val="SingleTxt"/>
        <w:spacing w:after="0" w:line="120" w:lineRule="exact"/>
        <w:rPr>
          <w:rStyle w:val="SingleTxtGChar"/>
          <w:sz w:val="10"/>
          <w:szCs w:val="24"/>
          <w:lang w:val="fr-FR"/>
        </w:rPr>
      </w:pPr>
    </w:p>
    <w:p w:rsidR="006968C9" w:rsidRDefault="006968C9" w:rsidP="00E00B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02B6">
        <w:rPr>
          <w:lang w:val="fr-FR"/>
        </w:rPr>
        <w:tab/>
        <w:t>E.</w:t>
      </w:r>
      <w:r w:rsidRPr="00CA02B6">
        <w:rPr>
          <w:lang w:val="fr-FR"/>
        </w:rPr>
        <w:tab/>
        <w:t>Recommandation n</w:t>
      </w:r>
      <w:r w:rsidR="00E00BF0">
        <w:rPr>
          <w:vertAlign w:val="superscript"/>
          <w:lang w:val="fr-FR"/>
        </w:rPr>
        <w:t>o</w:t>
      </w:r>
      <w:r w:rsidR="00E00BF0" w:rsidRPr="00525625">
        <w:rPr>
          <w:lang w:val="fr-FR"/>
        </w:rPr>
        <w:t> </w:t>
      </w:r>
      <w:r w:rsidRPr="00CA02B6">
        <w:rPr>
          <w:lang w:val="fr-FR"/>
        </w:rPr>
        <w:t>5</w:t>
      </w:r>
    </w:p>
    <w:p w:rsidR="00525625" w:rsidRPr="00525625" w:rsidRDefault="00525625" w:rsidP="00525625">
      <w:pPr>
        <w:pStyle w:val="SingleTxt"/>
        <w:spacing w:after="0" w:line="120" w:lineRule="exact"/>
        <w:rPr>
          <w:sz w:val="10"/>
          <w:lang w:val="fr-FR"/>
        </w:rPr>
      </w:pPr>
    </w:p>
    <w:p w:rsidR="00525625" w:rsidRPr="00525625" w:rsidRDefault="00525625" w:rsidP="00525625">
      <w:pPr>
        <w:pStyle w:val="SingleTxt"/>
        <w:spacing w:after="0" w:line="120" w:lineRule="exact"/>
        <w:rPr>
          <w:sz w:val="10"/>
          <w:lang w:val="fr-FR"/>
        </w:rPr>
      </w:pPr>
    </w:p>
    <w:p w:rsidR="006968C9" w:rsidRPr="00CA02B6" w:rsidRDefault="006968C9" w:rsidP="00525625">
      <w:pPr>
        <w:pStyle w:val="SingleTxt"/>
        <w:numPr>
          <w:ilvl w:val="0"/>
          <w:numId w:val="10"/>
        </w:numPr>
        <w:ind w:left="1267" w:firstLine="0"/>
        <w:rPr>
          <w:szCs w:val="24"/>
          <w:lang w:val="fr-FR"/>
        </w:rPr>
      </w:pPr>
      <w:r w:rsidRPr="00CA02B6">
        <w:rPr>
          <w:lang w:val="fr-FR"/>
        </w:rPr>
        <w:t>Conscients de la nécessité de faire face aux défis ayant trait au marché du travail à l</w:t>
      </w:r>
      <w:r>
        <w:rPr>
          <w:lang w:val="fr-FR"/>
        </w:rPr>
        <w:t>’</w:t>
      </w:r>
      <w:r w:rsidRPr="00CA02B6">
        <w:rPr>
          <w:lang w:val="fr-FR"/>
        </w:rPr>
        <w:t>échelle paneuropéenne, de poursuivre les travaux sur la reconnaissance des certificats de conducteurs de bateaux et de membres d</w:t>
      </w:r>
      <w:r>
        <w:rPr>
          <w:lang w:val="fr-FR"/>
        </w:rPr>
        <w:t>’</w:t>
      </w:r>
      <w:r w:rsidRPr="00CA02B6">
        <w:rPr>
          <w:lang w:val="fr-FR"/>
        </w:rPr>
        <w:t>équipage ainsi que d</w:t>
      </w:r>
      <w:r>
        <w:rPr>
          <w:lang w:val="fr-FR"/>
        </w:rPr>
        <w:t>’</w:t>
      </w:r>
      <w:r w:rsidRPr="00CA02B6">
        <w:rPr>
          <w:lang w:val="fr-FR"/>
        </w:rPr>
        <w:t>harmoniser les normes relatives à l</w:t>
      </w:r>
      <w:r>
        <w:rPr>
          <w:lang w:val="fr-FR"/>
        </w:rPr>
        <w:t>’</w:t>
      </w:r>
      <w:r w:rsidRPr="00CA02B6">
        <w:rPr>
          <w:lang w:val="fr-FR"/>
        </w:rPr>
        <w:t>éducation et à la formation à l</w:t>
      </w:r>
      <w:r>
        <w:rPr>
          <w:lang w:val="fr-FR"/>
        </w:rPr>
        <w:t>’</w:t>
      </w:r>
      <w:r w:rsidRPr="00CA02B6">
        <w:rPr>
          <w:lang w:val="fr-FR"/>
        </w:rPr>
        <w:t>échelle paneuropéenne, les États membres ont appuyé l</w:t>
      </w:r>
      <w:r>
        <w:rPr>
          <w:lang w:val="fr-FR"/>
        </w:rPr>
        <w:t>’</w:t>
      </w:r>
      <w:r w:rsidRPr="00CA02B6">
        <w:rPr>
          <w:lang w:val="fr-FR"/>
        </w:rPr>
        <w:t>idée de créer un groupe international d</w:t>
      </w:r>
      <w:r>
        <w:rPr>
          <w:lang w:val="fr-FR"/>
        </w:rPr>
        <w:t>’</w:t>
      </w:r>
      <w:r w:rsidRPr="00CA02B6">
        <w:rPr>
          <w:lang w:val="fr-FR"/>
        </w:rPr>
        <w:t>experts qui serait chargé de la reconnaissance réciproque des certificats de conducteur de bateau et de l</w:t>
      </w:r>
      <w:r>
        <w:rPr>
          <w:lang w:val="fr-FR"/>
        </w:rPr>
        <w:t>’</w:t>
      </w:r>
      <w:r w:rsidRPr="00CA02B6">
        <w:rPr>
          <w:lang w:val="fr-FR"/>
        </w:rPr>
        <w:t xml:space="preserve">harmonisation des exigences en matière de qualifications professionnelles dans le domaine de la navigation intérieure. Ce Groupe </w:t>
      </w:r>
      <w:r w:rsidR="00525625">
        <w:rPr>
          <w:lang w:val="fr-FR"/>
        </w:rPr>
        <w:t>a été créé en 2014 par le SC.3.</w:t>
      </w:r>
    </w:p>
    <w:p w:rsidR="006968C9" w:rsidRPr="00CA02B6" w:rsidRDefault="006968C9" w:rsidP="00525625">
      <w:pPr>
        <w:pStyle w:val="SingleTxt"/>
        <w:numPr>
          <w:ilvl w:val="0"/>
          <w:numId w:val="10"/>
        </w:numPr>
        <w:ind w:left="1267" w:firstLine="0"/>
        <w:rPr>
          <w:szCs w:val="24"/>
          <w:lang w:val="fr-FR"/>
        </w:rPr>
      </w:pPr>
      <w:r w:rsidRPr="00CA02B6">
        <w:rPr>
          <w:lang w:val="fr-FR"/>
        </w:rPr>
        <w:t>Les États membres, les commissions fluviales et les autres parties prenantes ont examiné les progrès réalisés au cours des sessions du SC.3 et du SC.3/WP.3 dans les domaines de l</w:t>
      </w:r>
      <w:r>
        <w:rPr>
          <w:lang w:val="fr-FR"/>
        </w:rPr>
        <w:t>’</w:t>
      </w:r>
      <w:r w:rsidRPr="00CA02B6">
        <w:rPr>
          <w:lang w:val="fr-FR"/>
        </w:rPr>
        <w:t>éducation, de la formation et des compétences professionnelles. Des propositions ont été formulées pour élaborer les tableaux STCIN (normes en matière de formation et de certification du personnel en navigation intérieure) sur la base de l</w:t>
      </w:r>
      <w:r>
        <w:rPr>
          <w:lang w:val="fr-FR"/>
        </w:rPr>
        <w:t>’</w:t>
      </w:r>
      <w:r w:rsidRPr="00CA02B6">
        <w:rPr>
          <w:lang w:val="fr-FR"/>
        </w:rPr>
        <w:t>expérience d</w:t>
      </w:r>
      <w:r>
        <w:rPr>
          <w:lang w:val="fr-FR"/>
        </w:rPr>
        <w:t>’</w:t>
      </w:r>
      <w:r w:rsidRPr="00CA02B6">
        <w:rPr>
          <w:lang w:val="fr-FR"/>
        </w:rPr>
        <w:t>États non membres de l</w:t>
      </w:r>
      <w:r>
        <w:rPr>
          <w:lang w:val="fr-FR"/>
        </w:rPr>
        <w:t>’</w:t>
      </w:r>
      <w:r w:rsidRPr="00CA02B6">
        <w:rPr>
          <w:lang w:val="fr-FR"/>
        </w:rPr>
        <w:t>UE, des expériences communes faites dans les domaines de la formation, de l</w:t>
      </w:r>
      <w:r>
        <w:rPr>
          <w:lang w:val="fr-FR"/>
        </w:rPr>
        <w:t>’</w:t>
      </w:r>
      <w:r w:rsidRPr="00CA02B6">
        <w:rPr>
          <w:lang w:val="fr-FR"/>
        </w:rPr>
        <w:t>harmonisation des normes professionnelles, des méthodes actuelles et des tendances observées dans le processus d</w:t>
      </w:r>
      <w:r>
        <w:rPr>
          <w:lang w:val="fr-FR"/>
        </w:rPr>
        <w:t>’</w:t>
      </w:r>
      <w:r w:rsidRPr="00CA02B6">
        <w:rPr>
          <w:lang w:val="fr-FR"/>
        </w:rPr>
        <w:t>éducation (l</w:t>
      </w:r>
      <w:r>
        <w:rPr>
          <w:lang w:val="fr-FR"/>
        </w:rPr>
        <w:t>’</w:t>
      </w:r>
      <w:r w:rsidRPr="00CA02B6">
        <w:rPr>
          <w:lang w:val="fr-FR"/>
        </w:rPr>
        <w:t>empl</w:t>
      </w:r>
      <w:r w:rsidR="00525625">
        <w:rPr>
          <w:lang w:val="fr-FR"/>
        </w:rPr>
        <w:t>oi de simulateurs par exemple).</w:t>
      </w:r>
    </w:p>
    <w:p w:rsidR="006968C9" w:rsidRPr="00CA02B6" w:rsidRDefault="006968C9" w:rsidP="00525625">
      <w:pPr>
        <w:pStyle w:val="SingleTxt"/>
        <w:numPr>
          <w:ilvl w:val="0"/>
          <w:numId w:val="10"/>
        </w:numPr>
        <w:ind w:left="1267" w:firstLine="0"/>
        <w:rPr>
          <w:szCs w:val="24"/>
          <w:lang w:val="fr-FR"/>
        </w:rPr>
      </w:pPr>
      <w:r w:rsidRPr="00CA02B6">
        <w:rPr>
          <w:lang w:val="fr-FR"/>
        </w:rPr>
        <w:lastRenderedPageBreak/>
        <w:t>Les États membres et les commissions fluviales ont participé à l</w:t>
      </w:r>
      <w:r>
        <w:rPr>
          <w:lang w:val="fr-FR"/>
        </w:rPr>
        <w:t>’</w:t>
      </w:r>
      <w:r w:rsidRPr="00CA02B6">
        <w:rPr>
          <w:lang w:val="fr-FR"/>
        </w:rPr>
        <w:t>élaboration de l</w:t>
      </w:r>
      <w:r>
        <w:rPr>
          <w:lang w:val="fr-FR"/>
        </w:rPr>
        <w:t>’</w:t>
      </w:r>
      <w:r w:rsidRPr="00CA02B6">
        <w:rPr>
          <w:lang w:val="fr-FR"/>
        </w:rPr>
        <w:t>étude de l</w:t>
      </w:r>
      <w:r>
        <w:rPr>
          <w:lang w:val="fr-FR"/>
        </w:rPr>
        <w:t>’</w:t>
      </w:r>
      <w:r w:rsidRPr="00CA02B6">
        <w:rPr>
          <w:lang w:val="fr-FR"/>
        </w:rPr>
        <w:t>Organisation internationale du Travail (OIT) sur les conditions de travail et de vie dans le domaine de la navigation intérieure dans la région européenne (document de travail n</w:t>
      </w:r>
      <w:r w:rsidRPr="00934BD5">
        <w:rPr>
          <w:vertAlign w:val="superscript"/>
          <w:lang w:val="fr-FR"/>
        </w:rPr>
        <w:t>o</w:t>
      </w:r>
      <w:r w:rsidRPr="00525625">
        <w:rPr>
          <w:lang w:val="fr-FR"/>
        </w:rPr>
        <w:t> </w:t>
      </w:r>
      <w:r w:rsidRPr="00CA02B6">
        <w:rPr>
          <w:lang w:val="fr-FR"/>
        </w:rPr>
        <w:t>297 de l</w:t>
      </w:r>
      <w:r>
        <w:rPr>
          <w:lang w:val="fr-FR"/>
        </w:rPr>
        <w:t>’</w:t>
      </w:r>
      <w:r w:rsidRPr="00CA02B6">
        <w:rPr>
          <w:lang w:val="fr-FR"/>
        </w:rPr>
        <w:t>OIT). Le SC.3 utilise ce document comme source d</w:t>
      </w:r>
      <w:r>
        <w:rPr>
          <w:lang w:val="fr-FR"/>
        </w:rPr>
        <w:t>’</w:t>
      </w:r>
      <w:r w:rsidRPr="00CA02B6">
        <w:rPr>
          <w:lang w:val="fr-FR"/>
        </w:rPr>
        <w:t>information pour le Groupe international d</w:t>
      </w:r>
      <w:r>
        <w:rPr>
          <w:lang w:val="fr-FR"/>
        </w:rPr>
        <w:t>’</w:t>
      </w:r>
      <w:r w:rsidRPr="00CA02B6">
        <w:rPr>
          <w:lang w:val="fr-FR"/>
        </w:rPr>
        <w:t>experts. En outre, les Gouvernements, les commissions fluviales et les autres parties pre</w:t>
      </w:r>
      <w:r w:rsidR="006923F0">
        <w:rPr>
          <w:lang w:val="fr-FR"/>
        </w:rPr>
        <w:t>nantes ont tenu, à la cinquante</w:t>
      </w:r>
      <w:r w:rsidR="006923F0">
        <w:rPr>
          <w:lang w:val="fr-FR"/>
        </w:rPr>
        <w:noBreakHyphen/>
      </w:r>
      <w:r w:rsidRPr="00CA02B6">
        <w:rPr>
          <w:lang w:val="fr-FR"/>
        </w:rPr>
        <w:t xml:space="preserve">huitième session du SC.3 en 2014, un débat sur le thème </w:t>
      </w:r>
      <w:r w:rsidR="00525625">
        <w:rPr>
          <w:lang w:val="fr-FR"/>
        </w:rPr>
        <w:t>« </w:t>
      </w:r>
      <w:r w:rsidRPr="00CA02B6">
        <w:rPr>
          <w:lang w:val="fr-FR"/>
        </w:rPr>
        <w:t>Moyens de rendre plus attractifs les emplois des membres des équipages de b</w:t>
      </w:r>
      <w:r w:rsidR="00525625">
        <w:rPr>
          <w:lang w:val="fr-FR"/>
        </w:rPr>
        <w:t>ateaux de navigation intérieure »</w:t>
      </w:r>
      <w:r w:rsidRPr="00CA02B6">
        <w:rPr>
          <w:lang w:val="fr-FR"/>
        </w:rPr>
        <w:t>.</w:t>
      </w:r>
    </w:p>
    <w:p w:rsidR="006968C9" w:rsidRPr="00CA02B6" w:rsidRDefault="006968C9" w:rsidP="00525625">
      <w:pPr>
        <w:pStyle w:val="SingleTxt"/>
        <w:numPr>
          <w:ilvl w:val="0"/>
          <w:numId w:val="10"/>
        </w:numPr>
        <w:ind w:left="1267" w:firstLine="0"/>
        <w:rPr>
          <w:szCs w:val="24"/>
          <w:lang w:val="fr-FR"/>
        </w:rPr>
      </w:pPr>
      <w:r w:rsidRPr="00CA02B6">
        <w:rPr>
          <w:lang w:val="fr-FR"/>
        </w:rPr>
        <w:t>Des dispositions sur l</w:t>
      </w:r>
      <w:r>
        <w:rPr>
          <w:lang w:val="fr-FR"/>
        </w:rPr>
        <w:t>’</w:t>
      </w:r>
      <w:r w:rsidRPr="00CA02B6">
        <w:rPr>
          <w:lang w:val="fr-FR"/>
        </w:rPr>
        <w:t>équipage minimal et les prescriptions professionnelles ont ét</w:t>
      </w:r>
      <w:r w:rsidR="00525625">
        <w:rPr>
          <w:lang w:val="fr-FR"/>
        </w:rPr>
        <w:t>é incluses en tant que chapitre </w:t>
      </w:r>
      <w:r w:rsidRPr="00CA02B6">
        <w:rPr>
          <w:lang w:val="fr-FR"/>
        </w:rPr>
        <w:t>23 dans la Résolution n</w:t>
      </w:r>
      <w:r w:rsidRPr="00934BD5">
        <w:rPr>
          <w:vertAlign w:val="superscript"/>
          <w:lang w:val="fr-FR"/>
        </w:rPr>
        <w:t>o</w:t>
      </w:r>
      <w:r w:rsidRPr="00525625">
        <w:rPr>
          <w:lang w:val="fr-FR"/>
        </w:rPr>
        <w:t> </w:t>
      </w:r>
      <w:r w:rsidR="006923F0">
        <w:rPr>
          <w:lang w:val="fr-FR"/>
        </w:rPr>
        <w:t>61</w:t>
      </w:r>
      <w:r w:rsidRPr="00CA02B6">
        <w:rPr>
          <w:lang w:val="fr-FR"/>
        </w:rPr>
        <w:t xml:space="preserve"> </w:t>
      </w:r>
      <w:r w:rsidR="00525625">
        <w:rPr>
          <w:lang w:val="fr-FR"/>
        </w:rPr>
        <w:t>« </w:t>
      </w:r>
      <w:r w:rsidRPr="00CA02B6">
        <w:rPr>
          <w:lang w:val="fr-FR"/>
        </w:rPr>
        <w:t>Recommandations relatives à des prescriptions techniques harmonisées à l</w:t>
      </w:r>
      <w:r>
        <w:rPr>
          <w:lang w:val="fr-FR"/>
        </w:rPr>
        <w:t>’</w:t>
      </w:r>
      <w:r w:rsidRPr="00CA02B6">
        <w:rPr>
          <w:lang w:val="fr-FR"/>
        </w:rPr>
        <w:t xml:space="preserve">échelle européenne applicables aux bateaux de navigation </w:t>
      </w:r>
      <w:r w:rsidR="00525625">
        <w:rPr>
          <w:lang w:val="fr-FR"/>
        </w:rPr>
        <w:t>intérieure ». Le chapitre </w:t>
      </w:r>
      <w:r w:rsidRPr="00CA02B6">
        <w:rPr>
          <w:lang w:val="fr-FR"/>
        </w:rPr>
        <w:t>23 fait actuellement l</w:t>
      </w:r>
      <w:r>
        <w:rPr>
          <w:lang w:val="fr-FR"/>
        </w:rPr>
        <w:t>’</w:t>
      </w:r>
      <w:r w:rsidRPr="00CA02B6">
        <w:rPr>
          <w:lang w:val="fr-FR"/>
        </w:rPr>
        <w:t>objet d</w:t>
      </w:r>
      <w:r>
        <w:rPr>
          <w:lang w:val="fr-FR"/>
        </w:rPr>
        <w:t>’</w:t>
      </w:r>
      <w:r w:rsidRPr="00CA02B6">
        <w:rPr>
          <w:lang w:val="fr-FR"/>
        </w:rPr>
        <w:t>une révision sur la base d</w:t>
      </w:r>
      <w:r>
        <w:rPr>
          <w:lang w:val="fr-FR"/>
        </w:rPr>
        <w:t>’</w:t>
      </w:r>
      <w:r w:rsidRPr="00CA02B6">
        <w:rPr>
          <w:lang w:val="fr-FR"/>
        </w:rPr>
        <w:t>une proposition soumise par Commission du Danube [document informel SC.3/WP.3 n</w:t>
      </w:r>
      <w:r w:rsidRPr="00934BD5">
        <w:rPr>
          <w:vertAlign w:val="superscript"/>
          <w:lang w:val="fr-FR"/>
        </w:rPr>
        <w:t>o</w:t>
      </w:r>
      <w:r w:rsidRPr="00525625">
        <w:rPr>
          <w:lang w:val="fr-FR"/>
        </w:rPr>
        <w:t> </w:t>
      </w:r>
      <w:r w:rsidRPr="00CA02B6">
        <w:rPr>
          <w:lang w:val="fr-FR"/>
        </w:rPr>
        <w:t>5 (2013)], d</w:t>
      </w:r>
      <w:r>
        <w:rPr>
          <w:lang w:val="fr-FR"/>
        </w:rPr>
        <w:t>’</w:t>
      </w:r>
      <w:r w:rsidRPr="00CA02B6">
        <w:rPr>
          <w:lang w:val="fr-FR"/>
        </w:rPr>
        <w:t>une proposition du Groupe d</w:t>
      </w:r>
      <w:r>
        <w:rPr>
          <w:lang w:val="fr-FR"/>
        </w:rPr>
        <w:t>’</w:t>
      </w:r>
      <w:r w:rsidRPr="00CA02B6">
        <w:rPr>
          <w:lang w:val="fr-FR"/>
        </w:rPr>
        <w:t>experts volontaires chargé de la Résolution n</w:t>
      </w:r>
      <w:r w:rsidRPr="00934BD5">
        <w:rPr>
          <w:vertAlign w:val="superscript"/>
          <w:lang w:val="fr-FR"/>
        </w:rPr>
        <w:t>o</w:t>
      </w:r>
      <w:r w:rsidRPr="00525625">
        <w:rPr>
          <w:lang w:val="fr-FR"/>
        </w:rPr>
        <w:t> </w:t>
      </w:r>
      <w:r w:rsidRPr="00CA02B6">
        <w:rPr>
          <w:lang w:val="fr-FR"/>
        </w:rPr>
        <w:t>61</w:t>
      </w:r>
      <w:r w:rsidR="00525625">
        <w:rPr>
          <w:lang w:val="fr-FR"/>
        </w:rPr>
        <w:t xml:space="preserve"> (ECE/TRANS/SC.3/2015/9, annexe </w:t>
      </w:r>
      <w:r w:rsidRPr="00CA02B6">
        <w:rPr>
          <w:lang w:val="fr-FR"/>
        </w:rPr>
        <w:t>I) et d</w:t>
      </w:r>
      <w:r>
        <w:rPr>
          <w:lang w:val="fr-FR"/>
        </w:rPr>
        <w:t>’</w:t>
      </w:r>
      <w:r w:rsidRPr="00CA02B6">
        <w:rPr>
          <w:lang w:val="fr-FR"/>
        </w:rPr>
        <w:t>une proposition du secrétariat formulées pour la quarante-sixième session du SC.3/WP.3 (ECE/TRANS/SC.3/WP.3/2015/2).</w:t>
      </w:r>
    </w:p>
    <w:p w:rsidR="006968C9" w:rsidRPr="00CA02B6" w:rsidRDefault="006968C9" w:rsidP="00525625">
      <w:pPr>
        <w:pStyle w:val="SingleTxt"/>
        <w:numPr>
          <w:ilvl w:val="0"/>
          <w:numId w:val="10"/>
        </w:numPr>
        <w:ind w:left="1267" w:firstLine="0"/>
        <w:rPr>
          <w:szCs w:val="24"/>
          <w:lang w:val="fr-FR"/>
        </w:rPr>
      </w:pPr>
      <w:r w:rsidRPr="00CA02B6">
        <w:rPr>
          <w:lang w:val="fr-FR"/>
        </w:rPr>
        <w:t>D</w:t>
      </w:r>
      <w:r>
        <w:rPr>
          <w:lang w:val="fr-FR"/>
        </w:rPr>
        <w:t>’</w:t>
      </w:r>
      <w:r w:rsidRPr="00CA02B6">
        <w:rPr>
          <w:lang w:val="fr-FR"/>
        </w:rPr>
        <w:t>importants progrès ont été réalisés en matière de reconnaissance des certificats de conducteur de bateaux dans le secteur de la navigation de plaisance, secteur dans lequel la Résolution n</w:t>
      </w:r>
      <w:r w:rsidRPr="00934BD5">
        <w:rPr>
          <w:vertAlign w:val="superscript"/>
          <w:lang w:val="fr-FR"/>
        </w:rPr>
        <w:t>o</w:t>
      </w:r>
      <w:r w:rsidRPr="00525625">
        <w:rPr>
          <w:lang w:val="fr-FR"/>
        </w:rPr>
        <w:t> </w:t>
      </w:r>
      <w:r w:rsidRPr="00CA02B6">
        <w:rPr>
          <w:lang w:val="fr-FR"/>
        </w:rPr>
        <w:t xml:space="preserve">40, </w:t>
      </w:r>
      <w:r w:rsidR="00525625">
        <w:rPr>
          <w:lang w:val="fr-FR"/>
        </w:rPr>
        <w:t>« </w:t>
      </w:r>
      <w:r w:rsidRPr="00CA02B6">
        <w:rPr>
          <w:lang w:val="fr-FR"/>
        </w:rPr>
        <w:t>Certificat international de co</w:t>
      </w:r>
      <w:r w:rsidR="00525625">
        <w:rPr>
          <w:lang w:val="fr-FR"/>
        </w:rPr>
        <w:t>nducteur de bateau de plaisance »</w:t>
      </w:r>
      <w:r w:rsidRPr="00CA02B6">
        <w:rPr>
          <w:lang w:val="fr-FR"/>
        </w:rPr>
        <w:t>, est reconnue par les États membres appliquant ladite Résolution. Elle a aussi été reconnue par un pays extérieur à la région de la CEE, l</w:t>
      </w:r>
      <w:r>
        <w:rPr>
          <w:lang w:val="fr-FR"/>
        </w:rPr>
        <w:t>’</w:t>
      </w:r>
      <w:r w:rsidRPr="00CA02B6">
        <w:rPr>
          <w:lang w:val="fr-FR"/>
        </w:rPr>
        <w:t>Afrique du Sud. La Résolution a été révisée et rééditée en 2011 (première révision), 2012 (deuxième révision), 2013 (troisième révision) et 2014 (l</w:t>
      </w:r>
      <w:r>
        <w:rPr>
          <w:lang w:val="fr-FR"/>
        </w:rPr>
        <w:t>’</w:t>
      </w:r>
      <w:r w:rsidRPr="00CA02B6">
        <w:rPr>
          <w:lang w:val="fr-FR"/>
        </w:rPr>
        <w:t>actuelle révision, la quatrième) (ECE/TRANS/SC.3/147/Rev.4).</w:t>
      </w:r>
    </w:p>
    <w:p w:rsidR="006968C9" w:rsidRPr="00CA02B6" w:rsidRDefault="006968C9" w:rsidP="00854B96">
      <w:pPr>
        <w:pStyle w:val="SingleTxt"/>
        <w:numPr>
          <w:ilvl w:val="0"/>
          <w:numId w:val="10"/>
        </w:numPr>
        <w:ind w:left="1267" w:firstLine="0"/>
        <w:rPr>
          <w:szCs w:val="24"/>
          <w:lang w:val="fr-FR"/>
        </w:rPr>
      </w:pPr>
      <w:r w:rsidRPr="00CA02B6">
        <w:rPr>
          <w:lang w:val="fr-FR"/>
        </w:rPr>
        <w:t>Afin d</w:t>
      </w:r>
      <w:r>
        <w:rPr>
          <w:lang w:val="fr-FR"/>
        </w:rPr>
        <w:t>’</w:t>
      </w:r>
      <w:r w:rsidRPr="00CA02B6">
        <w:rPr>
          <w:lang w:val="fr-FR"/>
        </w:rPr>
        <w:t>aider les conducteurs de bateau de plaisance à comprendre la Résolution, des directives concernant son application ont été approuvées à la quarante-quatrième session du SC.3/WP.3 et adoptées par le SC.3. Elles peuvent être consultées sur le site Web de la CEE. Conscient de l</w:t>
      </w:r>
      <w:r>
        <w:rPr>
          <w:lang w:val="fr-FR"/>
        </w:rPr>
        <w:t>’</w:t>
      </w:r>
      <w:r w:rsidRPr="00CA02B6">
        <w:rPr>
          <w:lang w:val="fr-FR"/>
        </w:rPr>
        <w:t>importance de la Résolution n</w:t>
      </w:r>
      <w:r w:rsidRPr="00934BD5">
        <w:rPr>
          <w:vertAlign w:val="superscript"/>
          <w:lang w:val="fr-FR"/>
        </w:rPr>
        <w:t>o</w:t>
      </w:r>
      <w:r w:rsidRPr="00854B96">
        <w:rPr>
          <w:lang w:val="fr-FR"/>
        </w:rPr>
        <w:t> </w:t>
      </w:r>
      <w:r w:rsidRPr="00CA02B6">
        <w:rPr>
          <w:lang w:val="fr-FR"/>
        </w:rPr>
        <w:t>40 pour la navigation de plaisance en Europe et au-delà, le SC.3 a commencé à sa quarantième session en 2012 un débat sur la possibilité d</w:t>
      </w:r>
      <w:r>
        <w:rPr>
          <w:lang w:val="fr-FR"/>
        </w:rPr>
        <w:t>’</w:t>
      </w:r>
      <w:r w:rsidRPr="00CA02B6">
        <w:rPr>
          <w:lang w:val="fr-FR"/>
        </w:rPr>
        <w:t>élever son statut en en faisant un instrument juridiquement contraignant.</w:t>
      </w:r>
    </w:p>
    <w:p w:rsidR="006968C9" w:rsidRPr="00CA02B6" w:rsidRDefault="006968C9" w:rsidP="00854B96">
      <w:pPr>
        <w:pStyle w:val="SingleTxt"/>
        <w:keepNext/>
        <w:numPr>
          <w:ilvl w:val="0"/>
          <w:numId w:val="10"/>
        </w:numPr>
        <w:ind w:left="1267" w:firstLine="0"/>
        <w:rPr>
          <w:szCs w:val="24"/>
          <w:lang w:val="fr-FR"/>
        </w:rPr>
      </w:pPr>
      <w:r w:rsidRPr="00CA02B6">
        <w:rPr>
          <w:lang w:val="fr-FR"/>
        </w:rPr>
        <w:t>D</w:t>
      </w:r>
      <w:r>
        <w:rPr>
          <w:lang w:val="fr-FR"/>
        </w:rPr>
        <w:t>’</w:t>
      </w:r>
      <w:r w:rsidRPr="00CA02B6">
        <w:rPr>
          <w:lang w:val="fr-FR"/>
        </w:rPr>
        <w:t>autres résolutions de la CEE portent sur la délivrance et la reconnaissance des certificats de conducteurs de bateaux de plaisance et la promotion de la navigation de pla</w:t>
      </w:r>
      <w:r w:rsidR="00854B96">
        <w:rPr>
          <w:lang w:val="fr-FR"/>
        </w:rPr>
        <w:t>isance dans la région de la CEE </w:t>
      </w:r>
      <w:r w:rsidRPr="00CA02B6">
        <w:rPr>
          <w:lang w:val="fr-FR"/>
        </w:rPr>
        <w:t>:</w:t>
      </w:r>
    </w:p>
    <w:p w:rsidR="006968C9" w:rsidRPr="00CA02B6" w:rsidRDefault="006968C9" w:rsidP="00854B96">
      <w:pPr>
        <w:pStyle w:val="Bullet1"/>
        <w:ind w:left="1743" w:hanging="130"/>
        <w:rPr>
          <w:szCs w:val="24"/>
          <w:lang w:val="fr-FR"/>
        </w:rPr>
      </w:pPr>
      <w:r w:rsidRPr="00CA02B6">
        <w:rPr>
          <w:lang w:val="fr-FR"/>
        </w:rPr>
        <w:t>Résolution n</w:t>
      </w:r>
      <w:r w:rsidRPr="00934BD5">
        <w:rPr>
          <w:vertAlign w:val="superscript"/>
          <w:lang w:val="fr-FR"/>
        </w:rPr>
        <w:t>o</w:t>
      </w:r>
      <w:r w:rsidRPr="00854B96">
        <w:rPr>
          <w:lang w:val="fr-FR"/>
        </w:rPr>
        <w:t> </w:t>
      </w:r>
      <w:r w:rsidR="00854B96">
        <w:rPr>
          <w:lang w:val="fr-FR"/>
        </w:rPr>
        <w:t>13</w:t>
      </w:r>
      <w:r w:rsidRPr="00CA02B6">
        <w:rPr>
          <w:lang w:val="fr-FR"/>
        </w:rPr>
        <w:t xml:space="preserve"> </w:t>
      </w:r>
      <w:r w:rsidR="00854B96">
        <w:rPr>
          <w:lang w:val="fr-FR"/>
        </w:rPr>
        <w:t>« </w:t>
      </w:r>
      <w:r w:rsidRPr="00CA02B6">
        <w:rPr>
          <w:lang w:val="fr-FR"/>
        </w:rPr>
        <w:t>Certificat international (carte internationale</w:t>
      </w:r>
      <w:r w:rsidR="00854B96">
        <w:rPr>
          <w:lang w:val="fr-FR"/>
        </w:rPr>
        <w:t>) pour les bateaux de plaisance »</w:t>
      </w:r>
      <w:r w:rsidRPr="00CA02B6">
        <w:rPr>
          <w:lang w:val="fr-FR"/>
        </w:rPr>
        <w:t xml:space="preserve"> (TRANS/SC.3/118 et TRANS/SC.3/131);</w:t>
      </w:r>
    </w:p>
    <w:p w:rsidR="006968C9" w:rsidRPr="00CA02B6" w:rsidRDefault="006968C9" w:rsidP="00854B96">
      <w:pPr>
        <w:pStyle w:val="Bullet1"/>
        <w:ind w:left="1743" w:hanging="130"/>
        <w:rPr>
          <w:szCs w:val="24"/>
          <w:lang w:val="fr-FR"/>
        </w:rPr>
      </w:pPr>
      <w:r w:rsidRPr="00CA02B6">
        <w:rPr>
          <w:lang w:val="fr-FR"/>
        </w:rPr>
        <w:t>Résolution n</w:t>
      </w:r>
      <w:r w:rsidRPr="00934BD5">
        <w:rPr>
          <w:vertAlign w:val="superscript"/>
          <w:lang w:val="fr-FR"/>
        </w:rPr>
        <w:t>o</w:t>
      </w:r>
      <w:r w:rsidRPr="00854B96">
        <w:rPr>
          <w:lang w:val="fr-FR"/>
        </w:rPr>
        <w:t> </w:t>
      </w:r>
      <w:r w:rsidR="00854B96">
        <w:rPr>
          <w:lang w:val="fr-FR"/>
        </w:rPr>
        <w:t>14</w:t>
      </w:r>
      <w:r w:rsidRPr="00CA02B6">
        <w:rPr>
          <w:lang w:val="fr-FR"/>
        </w:rPr>
        <w:t xml:space="preserve"> </w:t>
      </w:r>
      <w:r w:rsidR="00854B96">
        <w:rPr>
          <w:lang w:val="fr-FR"/>
        </w:rPr>
        <w:t>« </w:t>
      </w:r>
      <w:r w:rsidRPr="00CA02B6">
        <w:rPr>
          <w:lang w:val="fr-FR"/>
        </w:rPr>
        <w:t>Certificat international (carte internationale) relatif à la capacité des cond</w:t>
      </w:r>
      <w:r w:rsidR="00854B96">
        <w:rPr>
          <w:lang w:val="fr-FR"/>
        </w:rPr>
        <w:t>ucteurs de bateaux de plaisance »</w:t>
      </w:r>
      <w:r w:rsidRPr="00CA02B6">
        <w:rPr>
          <w:lang w:val="fr-FR"/>
        </w:rPr>
        <w:t xml:space="preserve"> (TRANS/SC.3/96 et TRANS/SC.3/131);</w:t>
      </w:r>
    </w:p>
    <w:p w:rsidR="006968C9" w:rsidRPr="00CA02B6" w:rsidRDefault="006968C9" w:rsidP="00854B96">
      <w:pPr>
        <w:pStyle w:val="Bullet1"/>
        <w:ind w:left="1743" w:hanging="130"/>
        <w:rPr>
          <w:szCs w:val="24"/>
          <w:lang w:val="fr-FR"/>
        </w:rPr>
      </w:pPr>
      <w:r w:rsidRPr="00CA02B6">
        <w:rPr>
          <w:lang w:val="fr-FR"/>
        </w:rPr>
        <w:t>Résolution n</w:t>
      </w:r>
      <w:r w:rsidRPr="00934BD5">
        <w:rPr>
          <w:vertAlign w:val="superscript"/>
          <w:lang w:val="fr-FR"/>
        </w:rPr>
        <w:t>o</w:t>
      </w:r>
      <w:r w:rsidRPr="00854B96">
        <w:rPr>
          <w:lang w:val="fr-FR"/>
        </w:rPr>
        <w:t> </w:t>
      </w:r>
      <w:r w:rsidRPr="00CA02B6">
        <w:rPr>
          <w:lang w:val="fr-FR"/>
        </w:rPr>
        <w:t xml:space="preserve">41 </w:t>
      </w:r>
      <w:r w:rsidR="00854B96">
        <w:rPr>
          <w:lang w:val="fr-FR"/>
        </w:rPr>
        <w:t>« </w:t>
      </w:r>
      <w:r w:rsidRPr="00CA02B6">
        <w:rPr>
          <w:lang w:val="fr-FR"/>
        </w:rPr>
        <w:t xml:space="preserve">Menues embarcations utilisées exclusivement </w:t>
      </w:r>
      <w:r w:rsidR="00854B96">
        <w:rPr>
          <w:lang w:val="fr-FR"/>
        </w:rPr>
        <w:t>pour la navigation de plaisance »</w:t>
      </w:r>
      <w:r w:rsidRPr="00CA02B6">
        <w:rPr>
          <w:lang w:val="fr-FR"/>
        </w:rPr>
        <w:t xml:space="preserve"> (TRANS/SC.3/148); et</w:t>
      </w:r>
    </w:p>
    <w:p w:rsidR="006968C9" w:rsidRPr="00CA02B6" w:rsidRDefault="006968C9" w:rsidP="00854B96">
      <w:pPr>
        <w:pStyle w:val="Bullet1"/>
        <w:ind w:left="1743" w:hanging="130"/>
        <w:rPr>
          <w:szCs w:val="24"/>
          <w:lang w:val="fr-FR"/>
        </w:rPr>
      </w:pPr>
      <w:r w:rsidRPr="00CA02B6">
        <w:rPr>
          <w:lang w:val="fr-FR"/>
        </w:rPr>
        <w:t>Résolution n</w:t>
      </w:r>
      <w:r w:rsidRPr="00934BD5">
        <w:rPr>
          <w:vertAlign w:val="superscript"/>
          <w:lang w:val="fr-FR"/>
        </w:rPr>
        <w:t>o</w:t>
      </w:r>
      <w:r w:rsidRPr="00854B96">
        <w:rPr>
          <w:lang w:val="fr-FR"/>
        </w:rPr>
        <w:t> </w:t>
      </w:r>
      <w:r w:rsidR="00854B96">
        <w:rPr>
          <w:lang w:val="fr-FR"/>
        </w:rPr>
        <w:t>52</w:t>
      </w:r>
      <w:r w:rsidRPr="00CA02B6">
        <w:rPr>
          <w:lang w:val="fr-FR"/>
        </w:rPr>
        <w:t xml:space="preserve"> </w:t>
      </w:r>
      <w:r w:rsidR="00854B96">
        <w:rPr>
          <w:lang w:val="fr-FR"/>
        </w:rPr>
        <w:t>« </w:t>
      </w:r>
      <w:r w:rsidRPr="00CA02B6">
        <w:rPr>
          <w:lang w:val="fr-FR"/>
        </w:rPr>
        <w:t>Réseau euro</w:t>
      </w:r>
      <w:r w:rsidR="00854B96">
        <w:rPr>
          <w:lang w:val="fr-FR"/>
        </w:rPr>
        <w:t>péen de navigation de plaisance »</w:t>
      </w:r>
      <w:r w:rsidRPr="00CA02B6">
        <w:rPr>
          <w:lang w:val="fr-FR"/>
        </w:rPr>
        <w:t xml:space="preserve"> (ECE/TRANS/SC.3/164/Rev.1), révisée par le SC.3 à sa cinquante-sixième session en 2012.</w:t>
      </w:r>
    </w:p>
    <w:p w:rsidR="006968C9" w:rsidRPr="00CA02B6" w:rsidRDefault="006968C9" w:rsidP="008A1CFF">
      <w:pPr>
        <w:pStyle w:val="SingleTxt"/>
        <w:numPr>
          <w:ilvl w:val="0"/>
          <w:numId w:val="10"/>
        </w:numPr>
        <w:ind w:left="1267" w:firstLine="0"/>
        <w:rPr>
          <w:szCs w:val="24"/>
          <w:lang w:val="fr-FR"/>
        </w:rPr>
      </w:pPr>
      <w:r w:rsidRPr="00CA02B6">
        <w:rPr>
          <w:lang w:val="fr-FR"/>
        </w:rPr>
        <w:t>À sa quarante et unième session, tenue en 2012, le SC.3/WP.3 a noté les progrès réalisés dans l</w:t>
      </w:r>
      <w:r>
        <w:rPr>
          <w:lang w:val="fr-FR"/>
        </w:rPr>
        <w:t>’</w:t>
      </w:r>
      <w:r w:rsidRPr="00CA02B6">
        <w:rPr>
          <w:lang w:val="fr-FR"/>
        </w:rPr>
        <w:t>ouverture des voies navigables aux bateaux de plaisance en Fédération de Russie.</w:t>
      </w:r>
    </w:p>
    <w:p w:rsidR="006968C9" w:rsidRDefault="006968C9" w:rsidP="008A1CF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A02B6">
        <w:rPr>
          <w:lang w:val="fr-FR"/>
        </w:rPr>
        <w:lastRenderedPageBreak/>
        <w:tab/>
        <w:t>F.</w:t>
      </w:r>
      <w:r w:rsidRPr="00CA02B6">
        <w:rPr>
          <w:lang w:val="fr-FR"/>
        </w:rPr>
        <w:tab/>
        <w:t>Recommandation n</w:t>
      </w:r>
      <w:r w:rsidRPr="00CA02B6">
        <w:rPr>
          <w:vertAlign w:val="superscript"/>
          <w:lang w:val="fr-FR"/>
        </w:rPr>
        <w:t>o</w:t>
      </w:r>
      <w:r w:rsidRPr="008A1CFF">
        <w:rPr>
          <w:lang w:val="fr-FR"/>
        </w:rPr>
        <w:t> </w:t>
      </w:r>
      <w:r w:rsidRPr="00CA02B6">
        <w:rPr>
          <w:lang w:val="fr-FR"/>
        </w:rPr>
        <w:t>6</w:t>
      </w:r>
    </w:p>
    <w:p w:rsidR="008A1CFF" w:rsidRPr="008A1CFF" w:rsidRDefault="008A1CFF" w:rsidP="008A1CFF">
      <w:pPr>
        <w:pStyle w:val="SingleTxt"/>
        <w:spacing w:after="0" w:line="120" w:lineRule="exact"/>
        <w:rPr>
          <w:sz w:val="10"/>
          <w:lang w:val="fr-FR"/>
        </w:rPr>
      </w:pPr>
    </w:p>
    <w:p w:rsidR="008A1CFF" w:rsidRPr="008A1CFF" w:rsidRDefault="008A1CFF" w:rsidP="008A1CFF">
      <w:pPr>
        <w:pStyle w:val="SingleTxt"/>
        <w:spacing w:after="0" w:line="120" w:lineRule="exact"/>
        <w:rPr>
          <w:sz w:val="10"/>
          <w:lang w:val="fr-FR"/>
        </w:rPr>
      </w:pPr>
    </w:p>
    <w:p w:rsidR="006968C9" w:rsidRPr="00CA02B6" w:rsidRDefault="006968C9" w:rsidP="008A1CFF">
      <w:pPr>
        <w:pStyle w:val="SingleTxt"/>
        <w:numPr>
          <w:ilvl w:val="0"/>
          <w:numId w:val="10"/>
        </w:numPr>
        <w:ind w:left="1267" w:firstLine="0"/>
        <w:rPr>
          <w:szCs w:val="24"/>
          <w:lang w:val="fr-FR"/>
        </w:rPr>
      </w:pPr>
      <w:r w:rsidRPr="00CA02B6">
        <w:rPr>
          <w:lang w:val="fr-FR"/>
        </w:rPr>
        <w:t>S</w:t>
      </w:r>
      <w:r>
        <w:rPr>
          <w:lang w:val="fr-FR"/>
        </w:rPr>
        <w:t>’</w:t>
      </w:r>
      <w:r w:rsidRPr="00CA02B6">
        <w:rPr>
          <w:lang w:val="fr-FR"/>
        </w:rPr>
        <w:t>agissant de faire face aux défis environnementaux et de tenir compte de l</w:t>
      </w:r>
      <w:r>
        <w:rPr>
          <w:lang w:val="fr-FR"/>
        </w:rPr>
        <w:t>’</w:t>
      </w:r>
      <w:r w:rsidRPr="00CA02B6">
        <w:rPr>
          <w:lang w:val="fr-FR"/>
        </w:rPr>
        <w:t>empreinte carbone du transport par voir navigable, le SC.3 a révisé et actualisé les dispositions pertinentes du Code européen des voies de navigation intérieure (CEVNI). Une version</w:t>
      </w:r>
      <w:r w:rsidR="008A1CFF">
        <w:rPr>
          <w:lang w:val="fr-FR"/>
        </w:rPr>
        <w:t xml:space="preserve"> révisée du chapitre 10</w:t>
      </w:r>
      <w:r w:rsidRPr="00CA02B6">
        <w:rPr>
          <w:lang w:val="fr-FR"/>
        </w:rPr>
        <w:t xml:space="preserve"> </w:t>
      </w:r>
      <w:r w:rsidR="008A1CFF">
        <w:rPr>
          <w:lang w:val="fr-FR"/>
        </w:rPr>
        <w:t>« </w:t>
      </w:r>
      <w:r w:rsidRPr="00CA02B6">
        <w:rPr>
          <w:lang w:val="fr-FR"/>
        </w:rPr>
        <w:t>Prévention de la pollution des eaux et élimination des déche</w:t>
      </w:r>
      <w:r w:rsidR="008A1CFF">
        <w:rPr>
          <w:lang w:val="fr-FR"/>
        </w:rPr>
        <w:t>ts survenant à bord des bateaux » et une nouvelle annexe 11</w:t>
      </w:r>
      <w:r w:rsidRPr="00CA02B6">
        <w:rPr>
          <w:lang w:val="fr-FR"/>
        </w:rPr>
        <w:t xml:space="preserve"> </w:t>
      </w:r>
      <w:r w:rsidR="008A1CFF">
        <w:rPr>
          <w:lang w:val="fr-FR"/>
        </w:rPr>
        <w:t>« </w:t>
      </w:r>
      <w:r w:rsidRPr="00CA02B6">
        <w:rPr>
          <w:lang w:val="fr-FR"/>
        </w:rPr>
        <w:t>Liste de contrôle pour l</w:t>
      </w:r>
      <w:r>
        <w:rPr>
          <w:lang w:val="fr-FR"/>
        </w:rPr>
        <w:t>’</w:t>
      </w:r>
      <w:r w:rsidR="008A1CFF">
        <w:rPr>
          <w:lang w:val="fr-FR"/>
        </w:rPr>
        <w:t>avitaillement en combustible »</w:t>
      </w:r>
      <w:r w:rsidRPr="00CA02B6">
        <w:rPr>
          <w:lang w:val="fr-FR"/>
        </w:rPr>
        <w:t>, ont été incluses dans la cinquième édition révisée du CEVNI, adoptée en 2014.</w:t>
      </w:r>
    </w:p>
    <w:p w:rsidR="006968C9" w:rsidRPr="00CA02B6" w:rsidRDefault="006968C9" w:rsidP="00E959B0">
      <w:pPr>
        <w:pStyle w:val="SingleTxt"/>
        <w:numPr>
          <w:ilvl w:val="0"/>
          <w:numId w:val="10"/>
        </w:numPr>
        <w:ind w:left="1267" w:firstLine="0"/>
        <w:rPr>
          <w:szCs w:val="24"/>
          <w:lang w:val="fr-FR"/>
        </w:rPr>
      </w:pPr>
      <w:r w:rsidRPr="00CA02B6">
        <w:rPr>
          <w:lang w:val="fr-FR"/>
        </w:rPr>
        <w:t xml:space="preserve">En outre, les experts du SC.3 et des États membres ont contribué à des études de la CEE touchant à leur domaine, notamment le document de travail intitulé </w:t>
      </w:r>
      <w:r w:rsidR="00E959B0">
        <w:rPr>
          <w:lang w:val="fr-FR"/>
        </w:rPr>
        <w:t>« </w:t>
      </w:r>
      <w:r w:rsidRPr="00CA02B6">
        <w:rPr>
          <w:lang w:val="fr-FR"/>
        </w:rPr>
        <w:t>Gaz d</w:t>
      </w:r>
      <w:r>
        <w:rPr>
          <w:lang w:val="fr-FR"/>
        </w:rPr>
        <w:t>’</w:t>
      </w:r>
      <w:r w:rsidRPr="00CA02B6">
        <w:rPr>
          <w:lang w:val="fr-FR"/>
        </w:rPr>
        <w:t>échappement des mote</w:t>
      </w:r>
      <w:r w:rsidR="00E959B0">
        <w:rPr>
          <w:lang w:val="fr-FR"/>
        </w:rPr>
        <w:t>urs diesel : mythes et réalités »,</w:t>
      </w:r>
      <w:r w:rsidRPr="00CA02B6">
        <w:rPr>
          <w:lang w:val="fr-FR"/>
        </w:rPr>
        <w:t xml:space="preserve"> qui a été achevé en 2014.</w:t>
      </w:r>
    </w:p>
    <w:p w:rsidR="006968C9" w:rsidRPr="00CA02B6" w:rsidRDefault="006968C9" w:rsidP="00E959B0">
      <w:pPr>
        <w:pStyle w:val="SingleTxt"/>
        <w:numPr>
          <w:ilvl w:val="0"/>
          <w:numId w:val="10"/>
        </w:numPr>
        <w:ind w:left="1267" w:firstLine="0"/>
        <w:rPr>
          <w:szCs w:val="24"/>
          <w:lang w:val="fr-FR"/>
        </w:rPr>
      </w:pPr>
      <w:r w:rsidRPr="00CA02B6">
        <w:rPr>
          <w:lang w:val="fr-FR"/>
        </w:rPr>
        <w:t>À sa cinquante-neuvième session, le SC.3 a ouvert la discussion sur le n</w:t>
      </w:r>
      <w:r w:rsidR="00E959B0">
        <w:rPr>
          <w:lang w:val="fr-FR"/>
        </w:rPr>
        <w:t>ouveau texte de la section 8-4B</w:t>
      </w:r>
      <w:r w:rsidRPr="00CA02B6">
        <w:rPr>
          <w:lang w:val="fr-FR"/>
        </w:rPr>
        <w:t xml:space="preserve"> </w:t>
      </w:r>
      <w:r w:rsidR="00E959B0">
        <w:rPr>
          <w:lang w:val="fr-FR"/>
        </w:rPr>
        <w:t>« </w:t>
      </w:r>
      <w:r w:rsidRPr="00CA02B6">
        <w:rPr>
          <w:lang w:val="fr-FR"/>
        </w:rPr>
        <w:t>Prescriptions relatives aux installations d</w:t>
      </w:r>
      <w:r w:rsidR="00E959B0">
        <w:rPr>
          <w:lang w:val="fr-FR"/>
        </w:rPr>
        <w:t>e traitement des eaux ménagères »</w:t>
      </w:r>
      <w:r w:rsidRPr="00CA02B6">
        <w:rPr>
          <w:lang w:val="fr-FR"/>
        </w:rPr>
        <w:t xml:space="preserve"> de la Résolution n</w:t>
      </w:r>
      <w:r w:rsidRPr="00934BD5">
        <w:rPr>
          <w:vertAlign w:val="superscript"/>
          <w:lang w:val="fr-FR"/>
        </w:rPr>
        <w:t>o</w:t>
      </w:r>
      <w:r w:rsidRPr="00E959B0">
        <w:rPr>
          <w:lang w:val="fr-FR"/>
        </w:rPr>
        <w:t> </w:t>
      </w:r>
      <w:r w:rsidR="00E959B0">
        <w:rPr>
          <w:lang w:val="fr-FR"/>
        </w:rPr>
        <w:t>61</w:t>
      </w:r>
      <w:r w:rsidRPr="00CA02B6">
        <w:rPr>
          <w:lang w:val="fr-FR"/>
        </w:rPr>
        <w:t xml:space="preserve"> </w:t>
      </w:r>
      <w:r w:rsidR="00E959B0">
        <w:rPr>
          <w:lang w:val="fr-FR"/>
        </w:rPr>
        <w:t>« </w:t>
      </w:r>
      <w:r w:rsidRPr="00CA02B6">
        <w:rPr>
          <w:lang w:val="fr-FR"/>
        </w:rPr>
        <w:t>Recommandations relatives à des prescriptions techniques harmonisées à l</w:t>
      </w:r>
      <w:r>
        <w:rPr>
          <w:lang w:val="fr-FR"/>
        </w:rPr>
        <w:t>’</w:t>
      </w:r>
      <w:r w:rsidRPr="00CA02B6">
        <w:rPr>
          <w:lang w:val="fr-FR"/>
        </w:rPr>
        <w:t>échelle européenne applicables aux b</w:t>
      </w:r>
      <w:r w:rsidR="00E959B0">
        <w:rPr>
          <w:lang w:val="fr-FR"/>
        </w:rPr>
        <w:t>ateaux de navigation intérieure »</w:t>
      </w:r>
      <w:r w:rsidRPr="00CA02B6">
        <w:rPr>
          <w:lang w:val="fr-FR"/>
        </w:rPr>
        <w:t>, établi sur la base du chapitre 14a de la Directive 2006/87/CE (EC</w:t>
      </w:r>
      <w:r w:rsidR="00E959B0">
        <w:rPr>
          <w:lang w:val="fr-FR"/>
        </w:rPr>
        <w:t>E/TRANS/SC.3/2015/8) (voir par. </w:t>
      </w:r>
      <w:r w:rsidRPr="00CA02B6">
        <w:rPr>
          <w:lang w:val="fr-FR"/>
        </w:rPr>
        <w:t>21 ci-dessus). La proposition présente des normes de purification pour les stations d</w:t>
      </w:r>
      <w:r>
        <w:rPr>
          <w:lang w:val="fr-FR"/>
        </w:rPr>
        <w:t>’</w:t>
      </w:r>
      <w:r w:rsidRPr="00CA02B6">
        <w:rPr>
          <w:lang w:val="fr-FR"/>
        </w:rPr>
        <w:t>épuration de bord, ainsi que les procédures d</w:t>
      </w:r>
      <w:r>
        <w:rPr>
          <w:lang w:val="fr-FR"/>
        </w:rPr>
        <w:t>’</w:t>
      </w:r>
      <w:r w:rsidRPr="00CA02B6">
        <w:rPr>
          <w:lang w:val="fr-FR"/>
        </w:rPr>
        <w:t>essai et les certificats d</w:t>
      </w:r>
      <w:r>
        <w:rPr>
          <w:lang w:val="fr-FR"/>
        </w:rPr>
        <w:t>’</w:t>
      </w:r>
      <w:r w:rsidRPr="00CA02B6">
        <w:rPr>
          <w:lang w:val="fr-FR"/>
        </w:rPr>
        <w:t>homologation de type pour cet équipement.</w:t>
      </w:r>
    </w:p>
    <w:p w:rsidR="006968C9" w:rsidRPr="008E23B5" w:rsidRDefault="006968C9" w:rsidP="00E959B0">
      <w:pPr>
        <w:pStyle w:val="SingleTxt"/>
        <w:numPr>
          <w:ilvl w:val="0"/>
          <w:numId w:val="10"/>
        </w:numPr>
        <w:ind w:left="1267" w:firstLine="0"/>
        <w:rPr>
          <w:szCs w:val="24"/>
          <w:lang w:val="fr-FR"/>
        </w:rPr>
      </w:pPr>
      <w:r w:rsidRPr="00CA02B6">
        <w:rPr>
          <w:lang w:val="fr-FR"/>
        </w:rPr>
        <w:t>Les conclusions et recommandations du SC.3 ont contribué à la mise au point d</w:t>
      </w:r>
      <w:r>
        <w:rPr>
          <w:lang w:val="fr-FR"/>
        </w:rPr>
        <w:t>’</w:t>
      </w:r>
      <w:r w:rsidRPr="00CA02B6">
        <w:rPr>
          <w:lang w:val="fr-FR"/>
        </w:rPr>
        <w:t xml:space="preserve">un modèle relatif aux futurs systèmes de transport intérieur (projet </w:t>
      </w:r>
      <w:proofErr w:type="spellStart"/>
      <w:r w:rsidRPr="00CA02B6">
        <w:rPr>
          <w:lang w:val="fr-FR"/>
        </w:rPr>
        <w:t>ForFITS</w:t>
      </w:r>
      <w:proofErr w:type="spellEnd"/>
      <w:r w:rsidRPr="00CA02B6">
        <w:rPr>
          <w:lang w:val="fr-FR"/>
        </w:rPr>
        <w:t>). Cet outil de modélisation peut aider les utilisateurs à choisir les mesures les mieux adaptées et les plus efficaces pour réduire les émissions de CO</w:t>
      </w:r>
      <w:r w:rsidRPr="00E959B0">
        <w:rPr>
          <w:vertAlign w:val="subscript"/>
          <w:lang w:val="fr-FR"/>
        </w:rPr>
        <w:t>2</w:t>
      </w:r>
      <w:r w:rsidRPr="00CA02B6">
        <w:rPr>
          <w:lang w:val="fr-FR"/>
        </w:rPr>
        <w:t xml:space="preserve"> provenant des transports. Il permet de faire des projections des activités de transport, de la consommation d</w:t>
      </w:r>
      <w:r>
        <w:rPr>
          <w:lang w:val="fr-FR"/>
        </w:rPr>
        <w:t>’</w:t>
      </w:r>
      <w:r w:rsidRPr="00CA02B6">
        <w:rPr>
          <w:lang w:val="fr-FR"/>
        </w:rPr>
        <w:t>énergie et des émissions de CO</w:t>
      </w:r>
      <w:r w:rsidRPr="00E959B0">
        <w:rPr>
          <w:vertAlign w:val="subscript"/>
          <w:lang w:val="fr-FR"/>
        </w:rPr>
        <w:t>2</w:t>
      </w:r>
      <w:r w:rsidRPr="00CA02B6">
        <w:rPr>
          <w:lang w:val="fr-FR"/>
        </w:rPr>
        <w:t xml:space="preserve"> selon différents scénarios et interventions d</w:t>
      </w:r>
      <w:r>
        <w:rPr>
          <w:lang w:val="fr-FR"/>
        </w:rPr>
        <w:t>’</w:t>
      </w:r>
      <w:r w:rsidRPr="00CA02B6">
        <w:rPr>
          <w:lang w:val="fr-FR"/>
        </w:rPr>
        <w:t>ordre politique. Le modèle peut être appliqué aux niveaux local et régional, même s</w:t>
      </w:r>
      <w:r>
        <w:rPr>
          <w:lang w:val="fr-FR"/>
        </w:rPr>
        <w:t>’</w:t>
      </w:r>
      <w:r w:rsidRPr="00CA02B6">
        <w:rPr>
          <w:lang w:val="fr-FR"/>
        </w:rPr>
        <w:t>il est optimisé pour des applications nationales. Il permet d</w:t>
      </w:r>
      <w:r>
        <w:rPr>
          <w:lang w:val="fr-FR"/>
        </w:rPr>
        <w:t>’</w:t>
      </w:r>
      <w:r w:rsidRPr="00CA02B6">
        <w:rPr>
          <w:lang w:val="fr-FR"/>
        </w:rPr>
        <w:t>examiner un grand nombre de politiques tel</w:t>
      </w:r>
      <w:r w:rsidR="00CE74E1">
        <w:rPr>
          <w:lang w:val="fr-FR"/>
        </w:rPr>
        <w:t>le</w:t>
      </w:r>
      <w:r w:rsidRPr="00CA02B6">
        <w:rPr>
          <w:lang w:val="fr-FR"/>
        </w:rPr>
        <w:t>s que le passage des transports en véhicules privés à des transports publics, la fiscalité sur les carburants, les taxes routières, les subventions pour les véhicules les plus propres et l</w:t>
      </w:r>
      <w:r>
        <w:rPr>
          <w:lang w:val="fr-FR"/>
        </w:rPr>
        <w:t>’</w:t>
      </w:r>
      <w:r w:rsidRPr="00CA02B6">
        <w:rPr>
          <w:lang w:val="fr-FR"/>
        </w:rPr>
        <w:t>introduction de biocarburants, les bateaux de transport public et les bateaux personnels pour la mobilité des passagers, ainsi que la navigation intérieure, les brefs parcours maritimes et le transport maritime de marchandises.</w:t>
      </w:r>
    </w:p>
    <w:p w:rsidR="008E23B5" w:rsidRPr="008E23B5" w:rsidRDefault="008E23B5" w:rsidP="008E23B5">
      <w:pPr>
        <w:pStyle w:val="SingleTxt"/>
        <w:spacing w:after="0" w:line="120" w:lineRule="exact"/>
        <w:rPr>
          <w:sz w:val="10"/>
          <w:lang w:val="fr-FR"/>
        </w:rPr>
      </w:pPr>
    </w:p>
    <w:p w:rsidR="008E23B5" w:rsidRPr="008E23B5" w:rsidRDefault="008E23B5" w:rsidP="008E23B5">
      <w:pPr>
        <w:pStyle w:val="SingleTxt"/>
        <w:spacing w:after="0" w:line="120" w:lineRule="exact"/>
        <w:rPr>
          <w:sz w:val="10"/>
          <w:lang w:val="fr-FR"/>
        </w:rPr>
      </w:pPr>
    </w:p>
    <w:p w:rsidR="006968C9" w:rsidRDefault="006968C9" w:rsidP="008E23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02B6">
        <w:rPr>
          <w:lang w:val="fr-FR"/>
        </w:rPr>
        <w:tab/>
        <w:t>G.</w:t>
      </w:r>
      <w:r w:rsidRPr="00CA02B6">
        <w:rPr>
          <w:lang w:val="fr-FR"/>
        </w:rPr>
        <w:tab/>
        <w:t>Recommandation n</w:t>
      </w:r>
      <w:r w:rsidRPr="00CA02B6">
        <w:rPr>
          <w:vertAlign w:val="superscript"/>
          <w:lang w:val="fr-FR"/>
        </w:rPr>
        <w:t>o</w:t>
      </w:r>
      <w:r w:rsidR="008E23B5" w:rsidRPr="008E23B5">
        <w:rPr>
          <w:lang w:val="fr-FR"/>
        </w:rPr>
        <w:t> </w:t>
      </w:r>
      <w:r w:rsidRPr="00CA02B6">
        <w:rPr>
          <w:lang w:val="fr-FR"/>
        </w:rPr>
        <w:t>7</w:t>
      </w:r>
    </w:p>
    <w:p w:rsidR="008E23B5" w:rsidRPr="008E23B5" w:rsidRDefault="008E23B5" w:rsidP="008E23B5">
      <w:pPr>
        <w:pStyle w:val="SingleTxt"/>
        <w:spacing w:after="0" w:line="120" w:lineRule="exact"/>
        <w:rPr>
          <w:sz w:val="10"/>
          <w:lang w:val="fr-FR"/>
        </w:rPr>
      </w:pPr>
    </w:p>
    <w:p w:rsidR="008E23B5" w:rsidRPr="008E23B5" w:rsidRDefault="008E23B5" w:rsidP="008E23B5">
      <w:pPr>
        <w:pStyle w:val="SingleTxt"/>
        <w:spacing w:after="0" w:line="120" w:lineRule="exact"/>
        <w:rPr>
          <w:sz w:val="10"/>
          <w:lang w:val="fr-FR"/>
        </w:rPr>
      </w:pPr>
    </w:p>
    <w:p w:rsidR="006968C9" w:rsidRPr="00CA02B6" w:rsidRDefault="006968C9" w:rsidP="008E23B5">
      <w:pPr>
        <w:pStyle w:val="SingleTxt"/>
        <w:numPr>
          <w:ilvl w:val="0"/>
          <w:numId w:val="10"/>
        </w:numPr>
        <w:ind w:left="1267" w:firstLine="0"/>
        <w:rPr>
          <w:szCs w:val="24"/>
          <w:lang w:val="fr-FR"/>
        </w:rPr>
      </w:pPr>
      <w:r w:rsidRPr="00CA02B6">
        <w:rPr>
          <w:lang w:val="fr-FR"/>
        </w:rPr>
        <w:t>D</w:t>
      </w:r>
      <w:r>
        <w:rPr>
          <w:lang w:val="fr-FR"/>
        </w:rPr>
        <w:t>’</w:t>
      </w:r>
      <w:r w:rsidRPr="00CA02B6">
        <w:rPr>
          <w:lang w:val="fr-FR"/>
        </w:rPr>
        <w:t>intenses travaux de révision du Code européen des voies de navigation intérieure (CEVNI) – les règles paneuropéennes de la navigation intérieure – ont été entrepris par le Groupe d</w:t>
      </w:r>
      <w:r>
        <w:rPr>
          <w:lang w:val="fr-FR"/>
        </w:rPr>
        <w:t>’</w:t>
      </w:r>
      <w:r w:rsidRPr="00CA02B6">
        <w:rPr>
          <w:lang w:val="fr-FR"/>
        </w:rPr>
        <w:t>experts du CEVNI entre 2007 et 2014, en collaboration avec les États membres et toutes les commissions fluviales. Un ensemble d</w:t>
      </w:r>
      <w:r>
        <w:rPr>
          <w:lang w:val="fr-FR"/>
        </w:rPr>
        <w:t>’</w:t>
      </w:r>
      <w:r w:rsidRPr="00CA02B6">
        <w:rPr>
          <w:lang w:val="fr-FR"/>
        </w:rPr>
        <w:t>amendements au CEVNI a été adopté par le SC.3 en 2013.</w:t>
      </w:r>
    </w:p>
    <w:p w:rsidR="006968C9" w:rsidRPr="00CA02B6" w:rsidRDefault="006968C9" w:rsidP="008E23B5">
      <w:pPr>
        <w:pStyle w:val="SingleTxt"/>
        <w:numPr>
          <w:ilvl w:val="0"/>
          <w:numId w:val="10"/>
        </w:numPr>
        <w:ind w:left="1267" w:firstLine="0"/>
        <w:rPr>
          <w:szCs w:val="24"/>
          <w:lang w:val="fr-FR"/>
        </w:rPr>
      </w:pPr>
      <w:r w:rsidRPr="00CA02B6">
        <w:rPr>
          <w:lang w:val="fr-FR"/>
        </w:rPr>
        <w:t>La cinquième édition du Code a été adoptée à la cinquante-huitième session du SC.3, ce qui a permis d</w:t>
      </w:r>
      <w:r>
        <w:rPr>
          <w:lang w:val="fr-FR"/>
        </w:rPr>
        <w:t>’</w:t>
      </w:r>
      <w:r w:rsidRPr="00CA02B6">
        <w:rPr>
          <w:lang w:val="fr-FR"/>
        </w:rPr>
        <w:t>accroître la transparence et le degré d</w:t>
      </w:r>
      <w:r>
        <w:rPr>
          <w:lang w:val="fr-FR"/>
        </w:rPr>
        <w:t>’</w:t>
      </w:r>
      <w:r w:rsidRPr="00CA02B6">
        <w:rPr>
          <w:lang w:val="fr-FR"/>
        </w:rPr>
        <w:t>harmonisation des règles de navigation intérieure dans la région de la CEE et de renforcer le cadre institutionnel et réglementaire à l</w:t>
      </w:r>
      <w:r>
        <w:rPr>
          <w:lang w:val="fr-FR"/>
        </w:rPr>
        <w:t>’</w:t>
      </w:r>
      <w:r w:rsidRPr="00CA02B6">
        <w:rPr>
          <w:lang w:val="fr-FR"/>
        </w:rPr>
        <w:t>échelle paneuropéenne. Dans cette nouvelle édition du CEVNI, les meilleures pratiques découlant des règles de circulation en vigueur des commissions fluviales et des États membres de la CEE ont été intégrées. On y actualise en particulier plusieurs articles sur les menues embarcations, la signalisation, les règles de navigation, la radiotéléphonie, le Système d</w:t>
      </w:r>
      <w:r>
        <w:rPr>
          <w:lang w:val="fr-FR"/>
        </w:rPr>
        <w:t>’</w:t>
      </w:r>
      <w:r w:rsidRPr="00CA02B6">
        <w:rPr>
          <w:lang w:val="fr-FR"/>
        </w:rPr>
        <w:t>identification automatique intérieur (AIS) et la prévention de la pollution de l</w:t>
      </w:r>
      <w:r>
        <w:rPr>
          <w:lang w:val="fr-FR"/>
        </w:rPr>
        <w:t>’</w:t>
      </w:r>
      <w:r w:rsidRPr="00CA02B6">
        <w:rPr>
          <w:lang w:val="fr-FR"/>
        </w:rPr>
        <w:t>eau. La cinquième édition révisée du CEVNI peut être consultée sur le site Web de la CEE sous deux formes.</w:t>
      </w:r>
    </w:p>
    <w:p w:rsidR="006968C9" w:rsidRPr="00CA02B6" w:rsidRDefault="006968C9" w:rsidP="008E23B5">
      <w:pPr>
        <w:pStyle w:val="SingleTxt"/>
        <w:numPr>
          <w:ilvl w:val="0"/>
          <w:numId w:val="10"/>
        </w:numPr>
        <w:ind w:left="1267" w:firstLine="0"/>
        <w:rPr>
          <w:szCs w:val="24"/>
          <w:lang w:val="fr-FR"/>
        </w:rPr>
      </w:pPr>
      <w:r w:rsidRPr="00CA02B6">
        <w:rPr>
          <w:lang w:val="fr-FR"/>
        </w:rPr>
        <w:lastRenderedPageBreak/>
        <w:t>Le SC.3 continue de suivre l</w:t>
      </w:r>
      <w:r>
        <w:rPr>
          <w:lang w:val="fr-FR"/>
        </w:rPr>
        <w:t>’</w:t>
      </w:r>
      <w:r w:rsidRPr="00CA02B6">
        <w:rPr>
          <w:lang w:val="fr-FR"/>
        </w:rPr>
        <w:t>application du CEVNI. Un document sur l</w:t>
      </w:r>
      <w:r>
        <w:rPr>
          <w:lang w:val="fr-FR"/>
        </w:rPr>
        <w:t>’</w:t>
      </w:r>
      <w:r w:rsidRPr="00CA02B6">
        <w:rPr>
          <w:lang w:val="fr-FR"/>
        </w:rPr>
        <w:t>état actuel du CEVNI, établi sur la base des informations communiquées par les gouvernements</w:t>
      </w:r>
      <w:r w:rsidR="006923F0">
        <w:rPr>
          <w:lang w:val="fr-FR"/>
        </w:rPr>
        <w:t>,</w:t>
      </w:r>
      <w:r w:rsidRPr="00CA02B6">
        <w:rPr>
          <w:lang w:val="fr-FR"/>
        </w:rPr>
        <w:t xml:space="preserve"> et une proposition visant à mettre à jour un questionnaire sur cette application ont été publiés en 2015 pour la cinquante-neuvième session du SC.3 (ECE/TRANS/SC.3/2015/7).</w:t>
      </w:r>
    </w:p>
    <w:p w:rsidR="006968C9" w:rsidRPr="008E23B5" w:rsidRDefault="006968C9" w:rsidP="008E23B5">
      <w:pPr>
        <w:pStyle w:val="SingleTxt"/>
        <w:numPr>
          <w:ilvl w:val="0"/>
          <w:numId w:val="10"/>
        </w:numPr>
        <w:ind w:left="1267" w:firstLine="0"/>
        <w:rPr>
          <w:szCs w:val="24"/>
          <w:lang w:val="fr-FR"/>
        </w:rPr>
      </w:pPr>
      <w:r w:rsidRPr="00CA02B6">
        <w:rPr>
          <w:lang w:val="fr-FR"/>
        </w:rPr>
        <w:t>Le SC.3 examine régulièrement l</w:t>
      </w:r>
      <w:r>
        <w:rPr>
          <w:lang w:val="fr-FR"/>
        </w:rPr>
        <w:t>’</w:t>
      </w:r>
      <w:r w:rsidRPr="00CA02B6">
        <w:rPr>
          <w:lang w:val="fr-FR"/>
        </w:rPr>
        <w:t>état des conventions et accords internationaux touchant la navigation intérieure et l</w:t>
      </w:r>
      <w:r>
        <w:rPr>
          <w:lang w:val="fr-FR"/>
        </w:rPr>
        <w:t>’</w:t>
      </w:r>
      <w:r w:rsidRPr="00CA02B6">
        <w:rPr>
          <w:lang w:val="fr-FR"/>
        </w:rPr>
        <w:t>application des résolutions du SC.3 et le secrétariat actualise les documents sur l</w:t>
      </w:r>
      <w:r>
        <w:rPr>
          <w:lang w:val="fr-FR"/>
        </w:rPr>
        <w:t>’</w:t>
      </w:r>
      <w:r w:rsidRPr="00CA02B6">
        <w:rPr>
          <w:lang w:val="fr-FR"/>
        </w:rPr>
        <w:t>état de ces instruments. Les informations à jour sont publiées respectivement dans les documents ECE/TRANS/SC.3/2015/13 et ECE/TRANS/SC.3/2015/14. L</w:t>
      </w:r>
      <w:r>
        <w:rPr>
          <w:lang w:val="fr-FR"/>
        </w:rPr>
        <w:t>’</w:t>
      </w:r>
      <w:r w:rsidRPr="00CA02B6">
        <w:rPr>
          <w:lang w:val="fr-FR"/>
        </w:rPr>
        <w:t>état des conventions internationales pour la période 2011-2015 est indiqué dans la figure 2.</w:t>
      </w:r>
    </w:p>
    <w:p w:rsidR="008E23B5" w:rsidRPr="008E23B5" w:rsidRDefault="008E23B5" w:rsidP="008E23B5">
      <w:pPr>
        <w:pStyle w:val="SingleTxt"/>
        <w:spacing w:after="0" w:line="120" w:lineRule="exact"/>
        <w:rPr>
          <w:sz w:val="10"/>
          <w:lang w:val="fr-FR"/>
        </w:rPr>
      </w:pPr>
    </w:p>
    <w:p w:rsidR="006968C9" w:rsidRDefault="008E23B5" w:rsidP="008E23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968C9" w:rsidRPr="008E23B5">
        <w:rPr>
          <w:b w:val="0"/>
          <w:lang w:val="fr-FR"/>
        </w:rPr>
        <w:t>Figure 2</w:t>
      </w:r>
      <w:r w:rsidRPr="008E23B5">
        <w:rPr>
          <w:b w:val="0"/>
          <w:lang w:val="fr-FR"/>
        </w:rPr>
        <w:t xml:space="preserve"> </w:t>
      </w:r>
      <w:r>
        <w:rPr>
          <w:lang w:val="fr-FR"/>
        </w:rPr>
        <w:br/>
      </w:r>
      <w:r w:rsidR="006968C9" w:rsidRPr="00CA02B6">
        <w:rPr>
          <w:lang w:val="fr-FR"/>
        </w:rPr>
        <w:t xml:space="preserve">Nombre de conventions internationales touchant la navigation intérieure </w:t>
      </w:r>
      <w:r w:rsidR="006923F0">
        <w:rPr>
          <w:lang w:val="fr-FR"/>
        </w:rPr>
        <w:br/>
      </w:r>
      <w:r w:rsidR="006968C9" w:rsidRPr="00CA02B6">
        <w:rPr>
          <w:lang w:val="fr-FR"/>
        </w:rPr>
        <w:t>et de Parties contractantes à ces instruments</w:t>
      </w:r>
    </w:p>
    <w:p w:rsidR="008E23B5" w:rsidRPr="008E23B5" w:rsidRDefault="008E23B5" w:rsidP="008E23B5">
      <w:pPr>
        <w:pStyle w:val="SingleTxt"/>
        <w:spacing w:after="0" w:line="120" w:lineRule="exact"/>
        <w:rPr>
          <w:sz w:val="10"/>
          <w:lang w:val="fr-FR"/>
        </w:rPr>
      </w:pPr>
    </w:p>
    <w:p w:rsidR="008E23B5" w:rsidRPr="008E23B5" w:rsidRDefault="008E23B5" w:rsidP="008E23B5">
      <w:pPr>
        <w:pStyle w:val="SingleTxt"/>
        <w:spacing w:after="0" w:line="120" w:lineRule="exact"/>
        <w:rPr>
          <w:sz w:val="10"/>
          <w:lang w:val="fr-FR"/>
        </w:rPr>
      </w:pPr>
    </w:p>
    <w:p w:rsidR="006968C9" w:rsidRDefault="00A31313" w:rsidP="00A31313">
      <w:pPr>
        <w:pStyle w:val="SingleTxt"/>
        <w:spacing w:line="240" w:lineRule="auto"/>
      </w:pPr>
      <w:r>
        <w:rPr>
          <w:noProof/>
          <w:w w:val="100"/>
          <w:lang w:val="en-US"/>
        </w:rPr>
        <mc:AlternateContent>
          <mc:Choice Requires="wps">
            <w:drawing>
              <wp:anchor distT="0" distB="0" distL="0" distR="0" simplePos="0" relativeHeight="251659264" behindDoc="0" locked="0" layoutInCell="1" allowOverlap="1" wp14:anchorId="26149E5D" wp14:editId="000C1F25">
                <wp:simplePos x="0" y="0"/>
                <wp:positionH relativeFrom="column">
                  <wp:posOffset>4278894</wp:posOffset>
                </wp:positionH>
                <wp:positionV relativeFrom="paragraph">
                  <wp:posOffset>998220</wp:posOffset>
                </wp:positionV>
                <wp:extent cx="1250830" cy="759124"/>
                <wp:effectExtent l="0" t="0" r="6985"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830" cy="75912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7403E" w:rsidRPr="008E23B5" w:rsidRDefault="0047403E" w:rsidP="008E23B5">
                            <w:pPr>
                              <w:spacing w:after="100"/>
                              <w:rPr>
                                <w:sz w:val="18"/>
                                <w:szCs w:val="18"/>
                              </w:rPr>
                            </w:pPr>
                            <w:r w:rsidRPr="008E23B5">
                              <w:rPr>
                                <w:sz w:val="18"/>
                                <w:szCs w:val="18"/>
                              </w:rPr>
                              <w:t>Conventions</w:t>
                            </w:r>
                          </w:p>
                          <w:p w:rsidR="0047403E" w:rsidRPr="008E23B5" w:rsidRDefault="0047403E" w:rsidP="00A31313">
                            <w:pPr>
                              <w:spacing w:after="120"/>
                              <w:rPr>
                                <w:sz w:val="18"/>
                                <w:szCs w:val="18"/>
                              </w:rPr>
                            </w:pPr>
                            <w:r w:rsidRPr="008E23B5">
                              <w:rPr>
                                <w:sz w:val="18"/>
                                <w:szCs w:val="18"/>
                              </w:rPr>
                              <w:t>Conventions en vigueur</w:t>
                            </w:r>
                          </w:p>
                          <w:p w:rsidR="0047403E" w:rsidRPr="008E23B5" w:rsidRDefault="0047403E" w:rsidP="00A31313">
                            <w:pPr>
                              <w:rPr>
                                <w:sz w:val="18"/>
                                <w:szCs w:val="18"/>
                              </w:rPr>
                            </w:pPr>
                            <w:r w:rsidRPr="008E23B5">
                              <w:rPr>
                                <w:sz w:val="18"/>
                                <w:szCs w:val="18"/>
                              </w:rPr>
                              <w:t>Parties aux Conventions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36.9pt;margin-top:78.6pt;width:98.5pt;height:59.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" stroked="f">
                <v:stroke joinstyle="round"/>
                <v:path arrowok="t"/>
                <v:textbox inset="0,0,0,0">
                  <w:txbxContent>
                    <w:p w:rsidR="0047403E" w:rsidRPr="008E23B5" w:rsidRDefault="0047403E" w:rsidP="008E23B5">
                      <w:pPr>
                        <w:spacing w:after="100"/>
                        <w:rPr>
                          <w:sz w:val="18"/>
                          <w:szCs w:val="18"/>
                        </w:rPr>
                      </w:pPr>
                      <w:r w:rsidRPr="008E23B5">
                        <w:rPr>
                          <w:sz w:val="18"/>
                          <w:szCs w:val="18"/>
                        </w:rPr>
                        <w:t>Conventions</w:t>
                      </w:r>
                    </w:p>
                    <w:p w:rsidR="0047403E" w:rsidRPr="008E23B5" w:rsidRDefault="0047403E" w:rsidP="00A31313">
                      <w:pPr>
                        <w:spacing w:after="120"/>
                        <w:rPr>
                          <w:sz w:val="18"/>
                          <w:szCs w:val="18"/>
                        </w:rPr>
                      </w:pPr>
                      <w:r w:rsidRPr="008E23B5">
                        <w:rPr>
                          <w:sz w:val="18"/>
                          <w:szCs w:val="18"/>
                        </w:rPr>
                        <w:t>Conventions en vigueur</w:t>
                      </w:r>
                    </w:p>
                    <w:p w:rsidR="0047403E" w:rsidRPr="008E23B5" w:rsidRDefault="0047403E" w:rsidP="00A31313">
                      <w:pPr>
                        <w:rPr>
                          <w:sz w:val="18"/>
                          <w:szCs w:val="18"/>
                        </w:rPr>
                      </w:pPr>
                      <w:r w:rsidRPr="008E23B5">
                        <w:rPr>
                          <w:sz w:val="18"/>
                          <w:szCs w:val="18"/>
                        </w:rPr>
                        <w:t>Parties aux Conventions</w:t>
                      </w:r>
                    </w:p>
                  </w:txbxContent>
                </v:textbox>
              </v:shape>
            </w:pict>
          </mc:Fallback>
        </mc:AlternateContent>
      </w:r>
      <w:r w:rsidRPr="0073276E">
        <w:rPr>
          <w:noProof/>
          <w:lang w:val="en-US"/>
        </w:rPr>
        <w:drawing>
          <wp:inline distT="0" distB="0" distL="0" distR="0" wp14:anchorId="1D5C4871" wp14:editId="7853D8C3">
            <wp:extent cx="4753155" cy="2613804"/>
            <wp:effectExtent l="0" t="0" r="9525" b="1524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23B5" w:rsidRPr="008E23B5" w:rsidRDefault="008E23B5" w:rsidP="008E23B5">
      <w:pPr>
        <w:pStyle w:val="SingleTxt"/>
        <w:spacing w:after="0" w:line="120" w:lineRule="exact"/>
        <w:rPr>
          <w:sz w:val="10"/>
        </w:rPr>
      </w:pPr>
    </w:p>
    <w:p w:rsidR="008E23B5" w:rsidRPr="008E23B5" w:rsidRDefault="008E23B5" w:rsidP="008E23B5">
      <w:pPr>
        <w:pStyle w:val="SingleTxt"/>
        <w:spacing w:after="0" w:line="120" w:lineRule="exact"/>
        <w:rPr>
          <w:sz w:val="10"/>
        </w:rPr>
      </w:pPr>
    </w:p>
    <w:p w:rsidR="0093740C" w:rsidRPr="00CA02B6" w:rsidRDefault="0093740C" w:rsidP="008E23B5">
      <w:pPr>
        <w:pStyle w:val="SingleTxt"/>
        <w:numPr>
          <w:ilvl w:val="0"/>
          <w:numId w:val="10"/>
        </w:numPr>
        <w:ind w:left="1267" w:firstLine="0"/>
        <w:rPr>
          <w:szCs w:val="24"/>
          <w:lang w:val="fr-FR"/>
        </w:rPr>
      </w:pPr>
      <w:r w:rsidRPr="00CA02B6">
        <w:rPr>
          <w:lang w:val="fr-FR"/>
        </w:rPr>
        <w:t>Les États membres se sont intéressés tout particulièrement à l</w:t>
      </w:r>
      <w:r>
        <w:rPr>
          <w:lang w:val="fr-FR"/>
        </w:rPr>
        <w:t>’</w:t>
      </w:r>
      <w:r w:rsidRPr="00CA02B6">
        <w:rPr>
          <w:lang w:val="fr-FR"/>
        </w:rPr>
        <w:t>application de la Convention relative au jaugeage des bateaux de navi</w:t>
      </w:r>
      <w:r w:rsidR="006923F0">
        <w:rPr>
          <w:lang w:val="fr-FR"/>
        </w:rPr>
        <w:t>gation intérieure à la quarante</w:t>
      </w:r>
      <w:r w:rsidR="006923F0">
        <w:rPr>
          <w:lang w:val="fr-FR"/>
        </w:rPr>
        <w:noBreakHyphen/>
      </w:r>
      <w:r w:rsidRPr="00CA02B6">
        <w:rPr>
          <w:lang w:val="fr-FR"/>
        </w:rPr>
        <w:t>troisième session du SC.3/WP.3 (ECE/TRANS/SC.3/WP.3/2013/13) et à la Convention relative à l</w:t>
      </w:r>
      <w:r>
        <w:rPr>
          <w:lang w:val="fr-FR"/>
        </w:rPr>
        <w:t>’</w:t>
      </w:r>
      <w:r w:rsidRPr="00CA02B6">
        <w:rPr>
          <w:lang w:val="fr-FR"/>
        </w:rPr>
        <w:t>immatriculation des bateaux de navigation intérieure qui doit faire l</w:t>
      </w:r>
      <w:r>
        <w:rPr>
          <w:lang w:val="fr-FR"/>
        </w:rPr>
        <w:t>’</w:t>
      </w:r>
      <w:r w:rsidRPr="00CA02B6">
        <w:rPr>
          <w:lang w:val="fr-FR"/>
        </w:rPr>
        <w:t>objet d</w:t>
      </w:r>
      <w:r>
        <w:rPr>
          <w:lang w:val="fr-FR"/>
        </w:rPr>
        <w:t>’</w:t>
      </w:r>
      <w:r w:rsidRPr="00CA02B6">
        <w:rPr>
          <w:lang w:val="fr-FR"/>
        </w:rPr>
        <w:t>un débat à la cinquante-neuvième session du SC.3 (ECE/TRANS/SC.3/WP.3/2015/15).</w:t>
      </w:r>
    </w:p>
    <w:p w:rsidR="0093740C" w:rsidRPr="008E23B5" w:rsidRDefault="0093740C" w:rsidP="008E23B5">
      <w:pPr>
        <w:pStyle w:val="SingleTxt"/>
        <w:numPr>
          <w:ilvl w:val="0"/>
          <w:numId w:val="10"/>
        </w:numPr>
        <w:ind w:left="1267" w:firstLine="0"/>
        <w:rPr>
          <w:szCs w:val="24"/>
          <w:lang w:val="fr-FR"/>
        </w:rPr>
      </w:pPr>
      <w:r w:rsidRPr="00CA02B6">
        <w:rPr>
          <w:lang w:val="fr-FR"/>
        </w:rPr>
        <w:t>Le SC.3/WP.3 a appuyé une proposition présentée en 2013 par la Serbie qui vise à établir une résolution de la CEE relative à des Règles paneuropéennes sur l</w:t>
      </w:r>
      <w:r>
        <w:rPr>
          <w:lang w:val="fr-FR"/>
        </w:rPr>
        <w:t>’</w:t>
      </w:r>
      <w:r w:rsidRPr="00CA02B6">
        <w:rPr>
          <w:lang w:val="fr-FR"/>
        </w:rPr>
        <w:t>avarie commune.</w:t>
      </w:r>
    </w:p>
    <w:p w:rsidR="008E23B5" w:rsidRPr="008E23B5" w:rsidRDefault="008E23B5" w:rsidP="008E23B5">
      <w:pPr>
        <w:pStyle w:val="SingleTxt"/>
        <w:spacing w:after="0" w:line="120" w:lineRule="exact"/>
        <w:rPr>
          <w:sz w:val="10"/>
          <w:lang w:val="fr-FR"/>
        </w:rPr>
      </w:pPr>
    </w:p>
    <w:p w:rsidR="008E23B5" w:rsidRPr="008E23B5" w:rsidRDefault="008E23B5" w:rsidP="008E23B5">
      <w:pPr>
        <w:pStyle w:val="SingleTxt"/>
        <w:spacing w:after="0" w:line="120" w:lineRule="exact"/>
        <w:rPr>
          <w:sz w:val="10"/>
          <w:lang w:val="fr-FR"/>
        </w:rPr>
      </w:pPr>
    </w:p>
    <w:p w:rsidR="0093740C" w:rsidRDefault="0093740C" w:rsidP="008E23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02B6">
        <w:rPr>
          <w:lang w:val="fr-FR"/>
        </w:rPr>
        <w:tab/>
        <w:t>H.</w:t>
      </w:r>
      <w:r w:rsidRPr="00CA02B6">
        <w:rPr>
          <w:lang w:val="fr-FR"/>
        </w:rPr>
        <w:tab/>
        <w:t xml:space="preserve">Conférence internationale sur les questions relatives </w:t>
      </w:r>
      <w:r w:rsidR="008E23B5">
        <w:rPr>
          <w:lang w:val="fr-FR"/>
        </w:rPr>
        <w:br/>
      </w:r>
      <w:r w:rsidRPr="00CA02B6">
        <w:rPr>
          <w:lang w:val="fr-FR"/>
        </w:rPr>
        <w:t>au transport par voie navigable</w:t>
      </w:r>
    </w:p>
    <w:p w:rsidR="008E23B5" w:rsidRPr="008E23B5" w:rsidRDefault="008E23B5" w:rsidP="008E23B5">
      <w:pPr>
        <w:pStyle w:val="SingleTxt"/>
        <w:spacing w:after="0" w:line="120" w:lineRule="exact"/>
        <w:rPr>
          <w:sz w:val="10"/>
          <w:lang w:val="fr-FR"/>
        </w:rPr>
      </w:pPr>
    </w:p>
    <w:p w:rsidR="008E23B5" w:rsidRPr="008E23B5" w:rsidRDefault="008E23B5" w:rsidP="008E23B5">
      <w:pPr>
        <w:pStyle w:val="SingleTxt"/>
        <w:spacing w:after="0" w:line="120" w:lineRule="exact"/>
        <w:rPr>
          <w:sz w:val="10"/>
          <w:lang w:val="fr-FR"/>
        </w:rPr>
      </w:pPr>
    </w:p>
    <w:p w:rsidR="0093740C" w:rsidRPr="001F3FF9" w:rsidRDefault="0093740C" w:rsidP="008E23B5">
      <w:pPr>
        <w:pStyle w:val="SingleTxt"/>
        <w:numPr>
          <w:ilvl w:val="0"/>
          <w:numId w:val="10"/>
        </w:numPr>
        <w:ind w:left="1267" w:firstLine="0"/>
      </w:pPr>
      <w:r w:rsidRPr="00CA02B6">
        <w:rPr>
          <w:lang w:val="fr-FR"/>
        </w:rPr>
        <w:t>En étroite coopération avec les États membres, les commissions fluviales et d</w:t>
      </w:r>
      <w:r>
        <w:rPr>
          <w:lang w:val="fr-FR"/>
        </w:rPr>
        <w:t>’</w:t>
      </w:r>
      <w:r w:rsidRPr="00CA02B6">
        <w:rPr>
          <w:lang w:val="fr-FR"/>
        </w:rPr>
        <w:t>autres parties prenantes, le SC.3 a commencé à préparer et organiser une conférence internationale de haut niveau qui sera ouverte à la participation de tous les pays du monde intéressés par la navigation intérieure et qui se tiendra en 2016</w:t>
      </w:r>
      <w:r w:rsidR="006923F0">
        <w:rPr>
          <w:lang w:val="fr-FR"/>
        </w:rPr>
        <w:t>-2017</w:t>
      </w:r>
      <w:r w:rsidRPr="00CA02B6">
        <w:rPr>
          <w:lang w:val="fr-FR"/>
        </w:rPr>
        <w:t xml:space="preserve"> conformément à la demande formulée par le Comité des transports intérieurs </w:t>
      </w:r>
      <w:r w:rsidRPr="00CA02B6">
        <w:rPr>
          <w:lang w:val="fr-FR"/>
        </w:rPr>
        <w:lastRenderedPageBreak/>
        <w:t>(ECE/TRANS/236, par.</w:t>
      </w:r>
      <w:r w:rsidR="008E23B5">
        <w:rPr>
          <w:lang w:val="fr-FR"/>
        </w:rPr>
        <w:t> </w:t>
      </w:r>
      <w:r w:rsidRPr="00CA02B6">
        <w:rPr>
          <w:lang w:val="fr-FR"/>
        </w:rPr>
        <w:t>31). Le suivi de la conférence et l</w:t>
      </w:r>
      <w:r>
        <w:rPr>
          <w:lang w:val="fr-FR"/>
        </w:rPr>
        <w:t>’</w:t>
      </w:r>
      <w:r w:rsidRPr="00CA02B6">
        <w:rPr>
          <w:lang w:val="fr-FR"/>
        </w:rPr>
        <w:t>exécution des tâches prévues après 2015 contribueront à la poursuite de l</w:t>
      </w:r>
      <w:r>
        <w:rPr>
          <w:lang w:val="fr-FR"/>
        </w:rPr>
        <w:t>’</w:t>
      </w:r>
      <w:r w:rsidRPr="00CA02B6">
        <w:rPr>
          <w:lang w:val="fr-FR"/>
        </w:rPr>
        <w:t>application par le SC.3 et le SC.3/WP.3 des recommandations énoncées dans le Livre blanc.</w:t>
      </w:r>
    </w:p>
    <w:p w:rsidR="001F3FF9" w:rsidRPr="001F3FF9" w:rsidRDefault="001F3FF9" w:rsidP="001F3FF9">
      <w:pPr>
        <w:pStyle w:val="SingleTxt"/>
        <w:spacing w:after="0" w:line="240" w:lineRule="auto"/>
      </w:pPr>
      <w:r>
        <w:rPr>
          <w:noProof/>
          <w:w w:val="100"/>
          <w:lang w:val="en-US"/>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1F3FF9" w:rsidRPr="001F3FF9" w:rsidSect="00901051">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3E" w:rsidRDefault="0047403E" w:rsidP="00F3330B">
      <w:pPr>
        <w:spacing w:line="240" w:lineRule="auto"/>
      </w:pPr>
      <w:r>
        <w:separator/>
      </w:r>
    </w:p>
  </w:endnote>
  <w:endnote w:type="continuationSeparator" w:id="0">
    <w:p w:rsidR="0047403E" w:rsidRDefault="0047403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7403E" w:rsidTr="00901051">
      <w:trPr>
        <w:jc w:val="center"/>
      </w:trPr>
      <w:tc>
        <w:tcPr>
          <w:tcW w:w="5126" w:type="dxa"/>
          <w:shd w:val="clear" w:color="auto" w:fill="auto"/>
        </w:tcPr>
        <w:p w:rsidR="0047403E" w:rsidRPr="00901051" w:rsidRDefault="0047403E" w:rsidP="0090105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43CEF">
            <w:rPr>
              <w:b w:val="0"/>
              <w:w w:val="103"/>
              <w:sz w:val="14"/>
            </w:rPr>
            <w:t>GE.15-22002</w:t>
          </w:r>
          <w:r>
            <w:rPr>
              <w:b w:val="0"/>
              <w:w w:val="103"/>
              <w:sz w:val="14"/>
            </w:rPr>
            <w:fldChar w:fldCharType="end"/>
          </w:r>
        </w:p>
      </w:tc>
      <w:tc>
        <w:tcPr>
          <w:tcW w:w="5127" w:type="dxa"/>
          <w:shd w:val="clear" w:color="auto" w:fill="auto"/>
        </w:tcPr>
        <w:p w:rsidR="0047403E" w:rsidRPr="00901051" w:rsidRDefault="0047403E" w:rsidP="00901051">
          <w:pPr>
            <w:pStyle w:val="Footer"/>
            <w:rPr>
              <w:w w:val="103"/>
            </w:rPr>
          </w:pPr>
          <w:r>
            <w:rPr>
              <w:w w:val="103"/>
            </w:rPr>
            <w:fldChar w:fldCharType="begin"/>
          </w:r>
          <w:r>
            <w:rPr>
              <w:w w:val="103"/>
            </w:rPr>
            <w:instrText xml:space="preserve"> PAGE  \* Arabic  \* MERGEFORMAT </w:instrText>
          </w:r>
          <w:r>
            <w:rPr>
              <w:w w:val="103"/>
            </w:rPr>
            <w:fldChar w:fldCharType="separate"/>
          </w:r>
          <w:r w:rsidR="00E31E87">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31E87">
            <w:rPr>
              <w:noProof/>
              <w:w w:val="103"/>
            </w:rPr>
            <w:t>12</w:t>
          </w:r>
          <w:r>
            <w:rPr>
              <w:w w:val="103"/>
            </w:rPr>
            <w:fldChar w:fldCharType="end"/>
          </w:r>
        </w:p>
      </w:tc>
    </w:tr>
  </w:tbl>
  <w:p w:rsidR="0047403E" w:rsidRPr="00901051" w:rsidRDefault="0047403E" w:rsidP="00901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7403E" w:rsidTr="00901051">
      <w:trPr>
        <w:jc w:val="center"/>
      </w:trPr>
      <w:tc>
        <w:tcPr>
          <w:tcW w:w="5126" w:type="dxa"/>
          <w:shd w:val="clear" w:color="auto" w:fill="auto"/>
        </w:tcPr>
        <w:p w:rsidR="0047403E" w:rsidRPr="00901051" w:rsidRDefault="0047403E" w:rsidP="0090105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31E87">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31E87">
            <w:rPr>
              <w:noProof/>
              <w:w w:val="103"/>
            </w:rPr>
            <w:t>11</w:t>
          </w:r>
          <w:r>
            <w:rPr>
              <w:w w:val="103"/>
            </w:rPr>
            <w:fldChar w:fldCharType="end"/>
          </w:r>
        </w:p>
      </w:tc>
      <w:tc>
        <w:tcPr>
          <w:tcW w:w="5127" w:type="dxa"/>
          <w:shd w:val="clear" w:color="auto" w:fill="auto"/>
        </w:tcPr>
        <w:p w:rsidR="0047403E" w:rsidRPr="00901051" w:rsidRDefault="0047403E" w:rsidP="0090105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43CEF">
            <w:rPr>
              <w:b w:val="0"/>
              <w:w w:val="103"/>
              <w:sz w:val="14"/>
            </w:rPr>
            <w:t>GE.15-22002</w:t>
          </w:r>
          <w:r>
            <w:rPr>
              <w:b w:val="0"/>
              <w:w w:val="103"/>
              <w:sz w:val="14"/>
            </w:rPr>
            <w:fldChar w:fldCharType="end"/>
          </w:r>
        </w:p>
      </w:tc>
    </w:tr>
  </w:tbl>
  <w:p w:rsidR="0047403E" w:rsidRPr="00901051" w:rsidRDefault="0047403E" w:rsidP="009010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3E" w:rsidRDefault="0047403E">
    <w:pPr>
      <w:pStyle w:val="Footer"/>
    </w:pPr>
    <w:r>
      <w:rPr>
        <w:noProof/>
      </w:rPr>
      <w:drawing>
        <wp:anchor distT="0" distB="0" distL="114300" distR="114300" simplePos="0" relativeHeight="251658240" behindDoc="0" locked="0" layoutInCell="1" allowOverlap="1" wp14:anchorId="363CA6B3" wp14:editId="4FD3E00B">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2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2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7403E" w:rsidTr="00901051">
      <w:tc>
        <w:tcPr>
          <w:tcW w:w="3859" w:type="dxa"/>
        </w:tcPr>
        <w:p w:rsidR="0047403E" w:rsidRDefault="0047403E" w:rsidP="0090105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43CEF">
            <w:rPr>
              <w:b w:val="0"/>
              <w:sz w:val="20"/>
            </w:rPr>
            <w:t>GE.15-22002 (F)</w:t>
          </w:r>
          <w:r>
            <w:rPr>
              <w:b w:val="0"/>
              <w:sz w:val="20"/>
            </w:rPr>
            <w:fldChar w:fldCharType="end"/>
          </w:r>
          <w:r w:rsidR="008C2835">
            <w:rPr>
              <w:b w:val="0"/>
              <w:sz w:val="20"/>
            </w:rPr>
            <w:t xml:space="preserve">    01</w:t>
          </w:r>
          <w:r w:rsidR="006923F0">
            <w:rPr>
              <w:b w:val="0"/>
              <w:sz w:val="20"/>
            </w:rPr>
            <w:t>0216    02</w:t>
          </w:r>
          <w:r>
            <w:rPr>
              <w:b w:val="0"/>
              <w:sz w:val="20"/>
            </w:rPr>
            <w:t>0216</w:t>
          </w:r>
        </w:p>
        <w:p w:rsidR="0047403E" w:rsidRPr="00901051" w:rsidRDefault="0047403E" w:rsidP="0090105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43CEF">
            <w:rPr>
              <w:rFonts w:ascii="Barcode 3 of 9 by request" w:hAnsi="Barcode 3 of 9 by request"/>
              <w:b w:val="0"/>
              <w:spacing w:val="0"/>
              <w:w w:val="100"/>
              <w:sz w:val="24"/>
            </w:rPr>
            <w:t>*1522002*</w:t>
          </w:r>
          <w:r>
            <w:rPr>
              <w:rFonts w:ascii="Barcode 3 of 9 by request" w:hAnsi="Barcode 3 of 9 by request"/>
              <w:b w:val="0"/>
              <w:spacing w:val="0"/>
              <w:w w:val="100"/>
              <w:sz w:val="24"/>
            </w:rPr>
            <w:fldChar w:fldCharType="end"/>
          </w:r>
        </w:p>
      </w:tc>
      <w:tc>
        <w:tcPr>
          <w:tcW w:w="5127" w:type="dxa"/>
        </w:tcPr>
        <w:p w:rsidR="0047403E" w:rsidRDefault="0047403E" w:rsidP="00901051">
          <w:pPr>
            <w:pStyle w:val="Footer"/>
            <w:spacing w:line="240" w:lineRule="atLeast"/>
            <w:jc w:val="right"/>
            <w:rPr>
              <w:b w:val="0"/>
              <w:sz w:val="20"/>
            </w:rPr>
          </w:pPr>
          <w:r>
            <w:rPr>
              <w:b w:val="0"/>
              <w:noProof/>
              <w:sz w:val="20"/>
            </w:rPr>
            <w:drawing>
              <wp:inline distT="0" distB="0" distL="0" distR="0" wp14:anchorId="0E46D69F" wp14:editId="4EA4565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7403E" w:rsidRPr="00901051" w:rsidRDefault="0047403E" w:rsidP="0090105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3E" w:rsidRPr="003E47D8" w:rsidRDefault="0047403E" w:rsidP="003E47D8">
      <w:pPr>
        <w:pStyle w:val="Footer"/>
        <w:spacing w:after="80"/>
        <w:rPr>
          <w:sz w:val="16"/>
        </w:rPr>
      </w:pPr>
      <w:r w:rsidRPr="003E47D8">
        <w:rPr>
          <w:sz w:val="16"/>
        </w:rPr>
        <w:t>__________________</w:t>
      </w:r>
    </w:p>
  </w:footnote>
  <w:footnote w:type="continuationSeparator" w:id="0">
    <w:p w:rsidR="0047403E" w:rsidRPr="003E47D8" w:rsidRDefault="0047403E"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7403E" w:rsidTr="00901051">
      <w:trPr>
        <w:trHeight w:hRule="exact" w:val="864"/>
        <w:jc w:val="center"/>
      </w:trPr>
      <w:tc>
        <w:tcPr>
          <w:tcW w:w="4882" w:type="dxa"/>
          <w:shd w:val="clear" w:color="auto" w:fill="auto"/>
          <w:vAlign w:val="bottom"/>
        </w:tcPr>
        <w:p w:rsidR="0047403E" w:rsidRPr="00901051" w:rsidRDefault="0047403E" w:rsidP="0090105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43CEF">
            <w:rPr>
              <w:b/>
              <w:color w:val="000000"/>
            </w:rPr>
            <w:t>ECE/TRANS/2016/20</w:t>
          </w:r>
          <w:r>
            <w:rPr>
              <w:b/>
              <w:color w:val="000000"/>
            </w:rPr>
            <w:fldChar w:fldCharType="end"/>
          </w:r>
        </w:p>
      </w:tc>
      <w:tc>
        <w:tcPr>
          <w:tcW w:w="5127" w:type="dxa"/>
          <w:shd w:val="clear" w:color="auto" w:fill="auto"/>
          <w:vAlign w:val="bottom"/>
        </w:tcPr>
        <w:p w:rsidR="0047403E" w:rsidRDefault="0047403E" w:rsidP="00901051">
          <w:pPr>
            <w:pStyle w:val="Header"/>
          </w:pPr>
        </w:p>
      </w:tc>
    </w:tr>
  </w:tbl>
  <w:p w:rsidR="0047403E" w:rsidRPr="00901051" w:rsidRDefault="0047403E" w:rsidP="0090105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7403E" w:rsidTr="00901051">
      <w:trPr>
        <w:trHeight w:hRule="exact" w:val="864"/>
        <w:jc w:val="center"/>
      </w:trPr>
      <w:tc>
        <w:tcPr>
          <w:tcW w:w="4882" w:type="dxa"/>
          <w:shd w:val="clear" w:color="auto" w:fill="auto"/>
          <w:vAlign w:val="bottom"/>
        </w:tcPr>
        <w:p w:rsidR="0047403E" w:rsidRDefault="0047403E" w:rsidP="00901051">
          <w:pPr>
            <w:pStyle w:val="Header"/>
          </w:pPr>
        </w:p>
      </w:tc>
      <w:tc>
        <w:tcPr>
          <w:tcW w:w="5127" w:type="dxa"/>
          <w:shd w:val="clear" w:color="auto" w:fill="auto"/>
          <w:vAlign w:val="bottom"/>
        </w:tcPr>
        <w:p w:rsidR="0047403E" w:rsidRPr="00901051" w:rsidRDefault="0047403E" w:rsidP="0090105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43CEF">
            <w:rPr>
              <w:b/>
              <w:color w:val="000000"/>
            </w:rPr>
            <w:t>ECE/TRANS/2016/20</w:t>
          </w:r>
          <w:r>
            <w:rPr>
              <w:b/>
              <w:color w:val="000000"/>
            </w:rPr>
            <w:fldChar w:fldCharType="end"/>
          </w:r>
        </w:p>
      </w:tc>
    </w:tr>
  </w:tbl>
  <w:p w:rsidR="0047403E" w:rsidRPr="00901051" w:rsidRDefault="0047403E" w:rsidP="0090105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7403E" w:rsidTr="00901051">
      <w:trPr>
        <w:trHeight w:hRule="exact" w:val="864"/>
      </w:trPr>
      <w:tc>
        <w:tcPr>
          <w:tcW w:w="1267" w:type="dxa"/>
          <w:tcBorders>
            <w:bottom w:val="single" w:sz="4" w:space="0" w:color="auto"/>
          </w:tcBorders>
          <w:shd w:val="clear" w:color="auto" w:fill="auto"/>
          <w:vAlign w:val="bottom"/>
        </w:tcPr>
        <w:p w:rsidR="0047403E" w:rsidRDefault="0047403E" w:rsidP="00901051">
          <w:pPr>
            <w:pStyle w:val="Header"/>
            <w:spacing w:after="120"/>
          </w:pPr>
        </w:p>
      </w:tc>
      <w:tc>
        <w:tcPr>
          <w:tcW w:w="2059" w:type="dxa"/>
          <w:tcBorders>
            <w:bottom w:val="single" w:sz="4" w:space="0" w:color="auto"/>
          </w:tcBorders>
          <w:shd w:val="clear" w:color="auto" w:fill="auto"/>
          <w:vAlign w:val="bottom"/>
        </w:tcPr>
        <w:p w:rsidR="0047403E" w:rsidRPr="00901051" w:rsidRDefault="0047403E" w:rsidP="0090105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7403E" w:rsidRDefault="0047403E" w:rsidP="00901051">
          <w:pPr>
            <w:pStyle w:val="Header"/>
            <w:spacing w:after="120"/>
          </w:pPr>
        </w:p>
      </w:tc>
      <w:tc>
        <w:tcPr>
          <w:tcW w:w="6653" w:type="dxa"/>
          <w:gridSpan w:val="4"/>
          <w:tcBorders>
            <w:bottom w:val="single" w:sz="4" w:space="0" w:color="auto"/>
          </w:tcBorders>
          <w:shd w:val="clear" w:color="auto" w:fill="auto"/>
          <w:vAlign w:val="bottom"/>
        </w:tcPr>
        <w:p w:rsidR="0047403E" w:rsidRPr="00901051" w:rsidRDefault="0047403E" w:rsidP="00901051">
          <w:pPr>
            <w:spacing w:after="80" w:line="240" w:lineRule="auto"/>
            <w:jc w:val="right"/>
            <w:rPr>
              <w:position w:val="-4"/>
            </w:rPr>
          </w:pPr>
          <w:r>
            <w:rPr>
              <w:position w:val="-4"/>
              <w:sz w:val="40"/>
            </w:rPr>
            <w:t>ECE</w:t>
          </w:r>
          <w:r>
            <w:rPr>
              <w:position w:val="-4"/>
            </w:rPr>
            <w:t>/TRANS/2016/20</w:t>
          </w:r>
        </w:p>
      </w:tc>
    </w:tr>
    <w:tr w:rsidR="0047403E" w:rsidRPr="00901051" w:rsidTr="00901051">
      <w:trPr>
        <w:gridAfter w:val="1"/>
        <w:wAfter w:w="18" w:type="dxa"/>
        <w:trHeight w:hRule="exact" w:val="2880"/>
      </w:trPr>
      <w:tc>
        <w:tcPr>
          <w:tcW w:w="1267" w:type="dxa"/>
          <w:tcBorders>
            <w:top w:val="single" w:sz="4" w:space="0" w:color="auto"/>
            <w:bottom w:val="single" w:sz="12" w:space="0" w:color="auto"/>
          </w:tcBorders>
          <w:shd w:val="clear" w:color="auto" w:fill="auto"/>
        </w:tcPr>
        <w:p w:rsidR="0047403E" w:rsidRPr="00901051" w:rsidRDefault="0047403E" w:rsidP="00901051">
          <w:pPr>
            <w:pStyle w:val="Header"/>
            <w:spacing w:before="120" w:line="240" w:lineRule="auto"/>
            <w:ind w:left="-72"/>
            <w:jc w:val="center"/>
          </w:pPr>
          <w:r>
            <w:t xml:space="preserve">  </w:t>
          </w:r>
          <w:r>
            <w:rPr>
              <w:noProof/>
            </w:rPr>
            <w:drawing>
              <wp:inline distT="0" distB="0" distL="0" distR="0" wp14:anchorId="567F8BF9" wp14:editId="7629A21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7403E" w:rsidRPr="00901051" w:rsidRDefault="0047403E" w:rsidP="00901051">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47403E" w:rsidRPr="00901051" w:rsidRDefault="0047403E" w:rsidP="00901051">
          <w:pPr>
            <w:pStyle w:val="Header"/>
            <w:spacing w:before="109"/>
          </w:pPr>
        </w:p>
      </w:tc>
      <w:tc>
        <w:tcPr>
          <w:tcW w:w="3280" w:type="dxa"/>
          <w:tcBorders>
            <w:top w:val="single" w:sz="4" w:space="0" w:color="auto"/>
            <w:bottom w:val="single" w:sz="12" w:space="0" w:color="auto"/>
          </w:tcBorders>
          <w:shd w:val="clear" w:color="auto" w:fill="auto"/>
        </w:tcPr>
        <w:p w:rsidR="0047403E" w:rsidRDefault="0047403E" w:rsidP="00901051">
          <w:pPr>
            <w:pStyle w:val="Distribution"/>
            <w:rPr>
              <w:color w:val="000000"/>
            </w:rPr>
          </w:pPr>
          <w:r>
            <w:rPr>
              <w:color w:val="000000"/>
            </w:rPr>
            <w:t xml:space="preserve">Distr. </w:t>
          </w:r>
          <w:proofErr w:type="spellStart"/>
          <w:r>
            <w:rPr>
              <w:color w:val="000000"/>
            </w:rPr>
            <w:t>générale</w:t>
          </w:r>
          <w:proofErr w:type="spellEnd"/>
        </w:p>
        <w:p w:rsidR="0047403E" w:rsidRDefault="0047403E" w:rsidP="00901051">
          <w:pPr>
            <w:pStyle w:val="Publication"/>
            <w:rPr>
              <w:color w:val="000000"/>
            </w:rPr>
          </w:pPr>
          <w:r>
            <w:rPr>
              <w:color w:val="000000"/>
            </w:rPr>
            <w:t xml:space="preserve">15 </w:t>
          </w:r>
          <w:proofErr w:type="spellStart"/>
          <w:r>
            <w:rPr>
              <w:color w:val="000000"/>
            </w:rPr>
            <w:t>décembre</w:t>
          </w:r>
          <w:proofErr w:type="spellEnd"/>
          <w:r>
            <w:rPr>
              <w:color w:val="000000"/>
            </w:rPr>
            <w:t xml:space="preserve"> 2015</w:t>
          </w:r>
        </w:p>
        <w:p w:rsidR="0047403E" w:rsidRDefault="0047403E" w:rsidP="00901051">
          <w:pPr>
            <w:rPr>
              <w:lang w:val="en-US"/>
            </w:rPr>
          </w:pPr>
          <w:proofErr w:type="spellStart"/>
          <w:r>
            <w:rPr>
              <w:lang w:val="en-US"/>
            </w:rPr>
            <w:t>Français</w:t>
          </w:r>
          <w:proofErr w:type="spellEnd"/>
        </w:p>
        <w:p w:rsidR="0047403E" w:rsidRPr="00901051" w:rsidRDefault="0047403E" w:rsidP="0047403E">
          <w:pPr>
            <w:pStyle w:val="Original"/>
            <w:rPr>
              <w:color w:val="000000"/>
            </w:rPr>
          </w:pPr>
          <w:r>
            <w:rPr>
              <w:color w:val="000000"/>
            </w:rPr>
            <w:t xml:space="preserve">Original : </w:t>
          </w:r>
          <w:proofErr w:type="spellStart"/>
          <w:r>
            <w:rPr>
              <w:color w:val="000000"/>
            </w:rPr>
            <w:t>anglais</w:t>
          </w:r>
          <w:proofErr w:type="spellEnd"/>
        </w:p>
      </w:tc>
    </w:tr>
  </w:tbl>
  <w:p w:rsidR="0047403E" w:rsidRPr="00901051" w:rsidRDefault="0047403E" w:rsidP="0090105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10D4CD7"/>
    <w:multiLevelType w:val="singleLevel"/>
    <w:tmpl w:val="10CEFE82"/>
    <w:lvl w:ilvl="0">
      <w:start w:val="1"/>
      <w:numFmt w:val="decimal"/>
      <w:lvlText w:val="%1."/>
      <w:lvlJc w:val="left"/>
      <w:pPr>
        <w:ind w:left="720" w:hanging="360"/>
      </w:pPr>
      <w:rPr>
        <w:sz w:val="20"/>
        <w:szCs w:val="20"/>
      </w:r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7335B"/>
    <w:multiLevelType w:val="hybridMultilevel"/>
    <w:tmpl w:val="5EB22AA2"/>
    <w:lvl w:ilvl="0" w:tplc="A030F43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4437308"/>
    <w:multiLevelType w:val="singleLevel"/>
    <w:tmpl w:val="0409000F"/>
    <w:lvl w:ilvl="0">
      <w:start w:val="1"/>
      <w:numFmt w:val="decimal"/>
      <w:lvlText w:val="%1."/>
      <w:lvlJc w:val="left"/>
      <w:pPr>
        <w:ind w:left="720" w:hanging="360"/>
      </w:p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925DC1"/>
    <w:multiLevelType w:val="hybridMultilevel"/>
    <w:tmpl w:val="FAA66F24"/>
    <w:lvl w:ilvl="0" w:tplc="8C4849AC">
      <w:start w:val="1"/>
      <w:numFmt w:val="bullet"/>
      <w:lvlText w:val="•"/>
      <w:lvlJc w:val="left"/>
      <w:pPr>
        <w:tabs>
          <w:tab w:val="num" w:pos="1871"/>
        </w:tabs>
        <w:ind w:left="187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9"/>
  </w:num>
  <w:num w:numId="7">
    <w:abstractNumId w:val="8"/>
  </w:num>
  <w:num w:numId="8">
    <w:abstractNumId w:val="6"/>
  </w:num>
  <w:num w:numId="9">
    <w:abstractNumId w:val="5"/>
  </w:num>
  <w:num w:numId="10">
    <w:abstractNumId w:val="2"/>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002*"/>
    <w:docVar w:name="CreationDt" w:val="2/2/2016 10:30 AM"/>
    <w:docVar w:name="DocCategory" w:val="Doc"/>
    <w:docVar w:name="DocType" w:val="Final"/>
    <w:docVar w:name="DutyStation" w:val="Geneva"/>
    <w:docVar w:name="FooterJN" w:val="GE.15-22002"/>
    <w:docVar w:name="jobn" w:val="GE.15-22002 (F)"/>
    <w:docVar w:name="jobnDT" w:val="GE.15-22002 (F)   020216"/>
    <w:docVar w:name="jobnDTDT" w:val="GE.15-22002 (F)   020216   020216"/>
    <w:docVar w:name="JobNo" w:val="GE.1522002F"/>
    <w:docVar w:name="JobNo2" w:val="GE.1528457F"/>
    <w:docVar w:name="LocalDrive" w:val="0"/>
    <w:docVar w:name="OandT" w:val="OKRZESIK"/>
    <w:docVar w:name="PaperSize" w:val="A4"/>
    <w:docVar w:name="sss1" w:val="ECE/TRANS/2016/20"/>
    <w:docVar w:name="sss2" w:val="-"/>
    <w:docVar w:name="Symbol1" w:val="ECE/TRANS/2016/20"/>
    <w:docVar w:name="Symbol2" w:val="-"/>
  </w:docVars>
  <w:rsids>
    <w:rsidRoot w:val="00066ADC"/>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4788"/>
    <w:rsid w:val="00046145"/>
    <w:rsid w:val="00050961"/>
    <w:rsid w:val="00050D9C"/>
    <w:rsid w:val="00054482"/>
    <w:rsid w:val="0005669A"/>
    <w:rsid w:val="00057151"/>
    <w:rsid w:val="000571B5"/>
    <w:rsid w:val="000616D7"/>
    <w:rsid w:val="000636D2"/>
    <w:rsid w:val="00063B2D"/>
    <w:rsid w:val="000643C1"/>
    <w:rsid w:val="000658A4"/>
    <w:rsid w:val="00065BD4"/>
    <w:rsid w:val="00066ADC"/>
    <w:rsid w:val="000675CF"/>
    <w:rsid w:val="00071173"/>
    <w:rsid w:val="0007246F"/>
    <w:rsid w:val="000746A5"/>
    <w:rsid w:val="00074EA0"/>
    <w:rsid w:val="000776CA"/>
    <w:rsid w:val="00077CC4"/>
    <w:rsid w:val="0008205B"/>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3FF9"/>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7742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403E"/>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27F3"/>
    <w:rsid w:val="004A5E67"/>
    <w:rsid w:val="004A698E"/>
    <w:rsid w:val="004A7606"/>
    <w:rsid w:val="004B1DBB"/>
    <w:rsid w:val="004B56C6"/>
    <w:rsid w:val="004B7E99"/>
    <w:rsid w:val="004C1A6A"/>
    <w:rsid w:val="004C304C"/>
    <w:rsid w:val="004C38FF"/>
    <w:rsid w:val="004C5C41"/>
    <w:rsid w:val="004C7E5A"/>
    <w:rsid w:val="004D13C8"/>
    <w:rsid w:val="004D4F44"/>
    <w:rsid w:val="004D5C67"/>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6FB0"/>
    <w:rsid w:val="0051772A"/>
    <w:rsid w:val="00517E8B"/>
    <w:rsid w:val="00520271"/>
    <w:rsid w:val="00520B7B"/>
    <w:rsid w:val="00521F7B"/>
    <w:rsid w:val="00522110"/>
    <w:rsid w:val="00522657"/>
    <w:rsid w:val="00523069"/>
    <w:rsid w:val="00523378"/>
    <w:rsid w:val="0052413A"/>
    <w:rsid w:val="00525625"/>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575BC"/>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54C6"/>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1EAE"/>
    <w:rsid w:val="006923F0"/>
    <w:rsid w:val="0069608C"/>
    <w:rsid w:val="006968C9"/>
    <w:rsid w:val="00697952"/>
    <w:rsid w:val="006A04E6"/>
    <w:rsid w:val="006A0B3D"/>
    <w:rsid w:val="006A2F71"/>
    <w:rsid w:val="006A5910"/>
    <w:rsid w:val="006A6ED8"/>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26AA7"/>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DB7"/>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3CEF"/>
    <w:rsid w:val="00844B5C"/>
    <w:rsid w:val="00845C9F"/>
    <w:rsid w:val="00846431"/>
    <w:rsid w:val="00850A6F"/>
    <w:rsid w:val="00851353"/>
    <w:rsid w:val="008531A6"/>
    <w:rsid w:val="00854B96"/>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1CFF"/>
    <w:rsid w:val="008A3ABC"/>
    <w:rsid w:val="008A46C1"/>
    <w:rsid w:val="008A4C0E"/>
    <w:rsid w:val="008A5334"/>
    <w:rsid w:val="008A630B"/>
    <w:rsid w:val="008A734B"/>
    <w:rsid w:val="008B24ED"/>
    <w:rsid w:val="008B5932"/>
    <w:rsid w:val="008C1225"/>
    <w:rsid w:val="008C1646"/>
    <w:rsid w:val="008C1766"/>
    <w:rsid w:val="008C189A"/>
    <w:rsid w:val="008C1E51"/>
    <w:rsid w:val="008C2835"/>
    <w:rsid w:val="008C2C0E"/>
    <w:rsid w:val="008C5E6B"/>
    <w:rsid w:val="008C6672"/>
    <w:rsid w:val="008D2DCF"/>
    <w:rsid w:val="008D3043"/>
    <w:rsid w:val="008D3318"/>
    <w:rsid w:val="008D4C00"/>
    <w:rsid w:val="008D52CD"/>
    <w:rsid w:val="008D5C5F"/>
    <w:rsid w:val="008D613D"/>
    <w:rsid w:val="008D756B"/>
    <w:rsid w:val="008E07B5"/>
    <w:rsid w:val="008E1E88"/>
    <w:rsid w:val="008E23B5"/>
    <w:rsid w:val="008E4FFA"/>
    <w:rsid w:val="008E5CC1"/>
    <w:rsid w:val="008E6532"/>
    <w:rsid w:val="008E7FF5"/>
    <w:rsid w:val="008F125F"/>
    <w:rsid w:val="008F2C00"/>
    <w:rsid w:val="008F3DAE"/>
    <w:rsid w:val="008F6630"/>
    <w:rsid w:val="008F7622"/>
    <w:rsid w:val="00901051"/>
    <w:rsid w:val="0090311E"/>
    <w:rsid w:val="0090438E"/>
    <w:rsid w:val="00906110"/>
    <w:rsid w:val="0090704E"/>
    <w:rsid w:val="00907727"/>
    <w:rsid w:val="0091108F"/>
    <w:rsid w:val="009133F5"/>
    <w:rsid w:val="00914786"/>
    <w:rsid w:val="00915680"/>
    <w:rsid w:val="00915FB9"/>
    <w:rsid w:val="0091610E"/>
    <w:rsid w:val="00916373"/>
    <w:rsid w:val="00916548"/>
    <w:rsid w:val="00916A77"/>
    <w:rsid w:val="00921BE8"/>
    <w:rsid w:val="00922E3D"/>
    <w:rsid w:val="00923BEC"/>
    <w:rsid w:val="009316DC"/>
    <w:rsid w:val="00931752"/>
    <w:rsid w:val="00932FDF"/>
    <w:rsid w:val="00936529"/>
    <w:rsid w:val="0093740C"/>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3C89"/>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1313"/>
    <w:rsid w:val="00A329BC"/>
    <w:rsid w:val="00A33E3C"/>
    <w:rsid w:val="00A3426E"/>
    <w:rsid w:val="00A353ED"/>
    <w:rsid w:val="00A359B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5335"/>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2D71"/>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D6290"/>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B63B7"/>
    <w:rsid w:val="00CC3EAA"/>
    <w:rsid w:val="00CD0670"/>
    <w:rsid w:val="00CD4A8B"/>
    <w:rsid w:val="00CE1548"/>
    <w:rsid w:val="00CE3799"/>
    <w:rsid w:val="00CE4AA9"/>
    <w:rsid w:val="00CE5477"/>
    <w:rsid w:val="00CE74E1"/>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749E"/>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BF0"/>
    <w:rsid w:val="00E00C20"/>
    <w:rsid w:val="00E028F6"/>
    <w:rsid w:val="00E036CD"/>
    <w:rsid w:val="00E0543E"/>
    <w:rsid w:val="00E0753F"/>
    <w:rsid w:val="00E10BF1"/>
    <w:rsid w:val="00E11B5C"/>
    <w:rsid w:val="00E13E2B"/>
    <w:rsid w:val="00E165A0"/>
    <w:rsid w:val="00E22DB7"/>
    <w:rsid w:val="00E23C1B"/>
    <w:rsid w:val="00E24D2B"/>
    <w:rsid w:val="00E25DDC"/>
    <w:rsid w:val="00E31E87"/>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534C"/>
    <w:rsid w:val="00E86286"/>
    <w:rsid w:val="00E878FF"/>
    <w:rsid w:val="00E91E16"/>
    <w:rsid w:val="00E952EF"/>
    <w:rsid w:val="00E959B0"/>
    <w:rsid w:val="00E96437"/>
    <w:rsid w:val="00E968A0"/>
    <w:rsid w:val="00E97145"/>
    <w:rsid w:val="00EA4196"/>
    <w:rsid w:val="00EB0BAE"/>
    <w:rsid w:val="00EB0F20"/>
    <w:rsid w:val="00EB1632"/>
    <w:rsid w:val="00EB377B"/>
    <w:rsid w:val="00EB4086"/>
    <w:rsid w:val="00EB4EB6"/>
    <w:rsid w:val="00EB535D"/>
    <w:rsid w:val="00EB5CD2"/>
    <w:rsid w:val="00EC34E0"/>
    <w:rsid w:val="00EC3DAD"/>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0F53"/>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01051"/>
    <w:rPr>
      <w:sz w:val="16"/>
      <w:szCs w:val="16"/>
    </w:rPr>
  </w:style>
  <w:style w:type="paragraph" w:styleId="CommentText">
    <w:name w:val="annotation text"/>
    <w:basedOn w:val="Normal"/>
    <w:link w:val="CommentTextChar"/>
    <w:uiPriority w:val="99"/>
    <w:semiHidden/>
    <w:unhideWhenUsed/>
    <w:rsid w:val="00901051"/>
    <w:pPr>
      <w:spacing w:line="240" w:lineRule="auto"/>
    </w:pPr>
    <w:rPr>
      <w:szCs w:val="20"/>
    </w:rPr>
  </w:style>
  <w:style w:type="character" w:customStyle="1" w:styleId="CommentTextChar">
    <w:name w:val="Comment Text Char"/>
    <w:basedOn w:val="DefaultParagraphFont"/>
    <w:link w:val="CommentText"/>
    <w:uiPriority w:val="99"/>
    <w:semiHidden/>
    <w:rsid w:val="0090105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01051"/>
    <w:rPr>
      <w:b/>
      <w:bCs/>
    </w:rPr>
  </w:style>
  <w:style w:type="character" w:customStyle="1" w:styleId="CommentSubjectChar">
    <w:name w:val="Comment Subject Char"/>
    <w:basedOn w:val="CommentTextChar"/>
    <w:link w:val="CommentSubject"/>
    <w:uiPriority w:val="99"/>
    <w:semiHidden/>
    <w:rsid w:val="00901051"/>
    <w:rPr>
      <w:rFonts w:ascii="Times New Roman" w:hAnsi="Times New Roman"/>
      <w:b/>
      <w:bCs/>
      <w:spacing w:val="4"/>
      <w:w w:val="103"/>
      <w:kern w:val="14"/>
      <w:lang w:val="fr-CA"/>
    </w:rPr>
  </w:style>
  <w:style w:type="paragraph" w:customStyle="1" w:styleId="HChG">
    <w:name w:val="_ H _Ch_G"/>
    <w:basedOn w:val="Normal"/>
    <w:next w:val="Normal"/>
    <w:qFormat/>
    <w:rsid w:val="00377420"/>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EC3DAD"/>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SingleTxtG">
    <w:name w:val="_ Single Txt_G"/>
    <w:basedOn w:val="Normal"/>
    <w:link w:val="SingleTxtGChar"/>
    <w:qFormat/>
    <w:rsid w:val="00EC3DAD"/>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EC3DAD"/>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SingleTxtGChar">
    <w:name w:val="_ Single Txt_G Char"/>
    <w:link w:val="SingleTxtG"/>
    <w:locked/>
    <w:rsid w:val="00EC3DAD"/>
    <w:rPr>
      <w:rFonts w:ascii="Times New Roman" w:eastAsia="Calibri" w:hAnsi="Times New Roman"/>
      <w:sz w:val="24"/>
      <w:lang w:val="fr-CH"/>
    </w:rPr>
  </w:style>
  <w:style w:type="character" w:customStyle="1" w:styleId="H1GChar">
    <w:name w:val="_ H_1_G Char"/>
    <w:basedOn w:val="DefaultParagraphFont"/>
    <w:link w:val="H1G"/>
    <w:locked/>
    <w:rsid w:val="00EC3DAD"/>
    <w:rPr>
      <w:rFonts w:ascii="Times New Roman" w:eastAsia="Calibri" w:hAnsi="Times New Roman"/>
      <w:b/>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01051"/>
    <w:rPr>
      <w:sz w:val="16"/>
      <w:szCs w:val="16"/>
    </w:rPr>
  </w:style>
  <w:style w:type="paragraph" w:styleId="CommentText">
    <w:name w:val="annotation text"/>
    <w:basedOn w:val="Normal"/>
    <w:link w:val="CommentTextChar"/>
    <w:uiPriority w:val="99"/>
    <w:semiHidden/>
    <w:unhideWhenUsed/>
    <w:rsid w:val="00901051"/>
    <w:pPr>
      <w:spacing w:line="240" w:lineRule="auto"/>
    </w:pPr>
    <w:rPr>
      <w:szCs w:val="20"/>
    </w:rPr>
  </w:style>
  <w:style w:type="character" w:customStyle="1" w:styleId="CommentTextChar">
    <w:name w:val="Comment Text Char"/>
    <w:basedOn w:val="DefaultParagraphFont"/>
    <w:link w:val="CommentText"/>
    <w:uiPriority w:val="99"/>
    <w:semiHidden/>
    <w:rsid w:val="0090105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01051"/>
    <w:rPr>
      <w:b/>
      <w:bCs/>
    </w:rPr>
  </w:style>
  <w:style w:type="character" w:customStyle="1" w:styleId="CommentSubjectChar">
    <w:name w:val="Comment Subject Char"/>
    <w:basedOn w:val="CommentTextChar"/>
    <w:link w:val="CommentSubject"/>
    <w:uiPriority w:val="99"/>
    <w:semiHidden/>
    <w:rsid w:val="00901051"/>
    <w:rPr>
      <w:rFonts w:ascii="Times New Roman" w:hAnsi="Times New Roman"/>
      <w:b/>
      <w:bCs/>
      <w:spacing w:val="4"/>
      <w:w w:val="103"/>
      <w:kern w:val="14"/>
      <w:lang w:val="fr-CA"/>
    </w:rPr>
  </w:style>
  <w:style w:type="paragraph" w:customStyle="1" w:styleId="HChG">
    <w:name w:val="_ H _Ch_G"/>
    <w:basedOn w:val="Normal"/>
    <w:next w:val="Normal"/>
    <w:qFormat/>
    <w:rsid w:val="00377420"/>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EC3DAD"/>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SingleTxtG">
    <w:name w:val="_ Single Txt_G"/>
    <w:basedOn w:val="Normal"/>
    <w:link w:val="SingleTxtGChar"/>
    <w:qFormat/>
    <w:rsid w:val="00EC3DAD"/>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EC3DAD"/>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SingleTxtGChar">
    <w:name w:val="_ Single Txt_G Char"/>
    <w:link w:val="SingleTxtG"/>
    <w:locked/>
    <w:rsid w:val="00EC3DAD"/>
    <w:rPr>
      <w:rFonts w:ascii="Times New Roman" w:eastAsia="Calibri" w:hAnsi="Times New Roman"/>
      <w:sz w:val="24"/>
      <w:lang w:val="fr-CH"/>
    </w:rPr>
  </w:style>
  <w:style w:type="character" w:customStyle="1" w:styleId="H1GChar">
    <w:name w:val="_ H_1_G Char"/>
    <w:basedOn w:val="DefaultParagraphFont"/>
    <w:link w:val="H1G"/>
    <w:locked/>
    <w:rsid w:val="00EC3DAD"/>
    <w:rPr>
      <w:rFonts w:ascii="Times New Roman" w:eastAsia="Calibri" w:hAnsi="Times New Roman"/>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720" b="0" i="0" u="none" strike="noStrike" kern="1200" cap="none" spc="20" baseline="0">
                <a:solidFill>
                  <a:schemeClr val="tx1">
                    <a:lumMod val="50000"/>
                    <a:lumOff val="50000"/>
                  </a:schemeClr>
                </a:solidFill>
                <a:latin typeface="+mn-lt"/>
                <a:ea typeface="+mn-ea"/>
                <a:cs typeface="+mn-cs"/>
              </a:defRPr>
            </a:pPr>
            <a:r>
              <a:rPr lang="en-US" sz="1400">
                <a:solidFill>
                  <a:sysClr val="windowText" lastClr="000000"/>
                </a:solidFill>
              </a:rPr>
              <a:t>AGN</a:t>
            </a:r>
            <a:endParaRPr lang="ru-RU" sz="1400">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Ratification</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numRef>
              <c:f>Лист1!$A$2:$A$21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Лист1!$B$2:$B$21</c:f>
              <c:numCache>
                <c:formatCode>General</c:formatCode>
                <c:ptCount val="20"/>
                <c:pt idx="1">
                  <c:v>3</c:v>
                </c:pt>
                <c:pt idx="2">
                  <c:v>6</c:v>
                </c:pt>
                <c:pt idx="3">
                  <c:v>10</c:v>
                </c:pt>
                <c:pt idx="4">
                  <c:v>12</c:v>
                </c:pt>
                <c:pt idx="5">
                  <c:v>12</c:v>
                </c:pt>
                <c:pt idx="6">
                  <c:v>13</c:v>
                </c:pt>
                <c:pt idx="7">
                  <c:v>13</c:v>
                </c:pt>
                <c:pt idx="8">
                  <c:v>13</c:v>
                </c:pt>
                <c:pt idx="9">
                  <c:v>13</c:v>
                </c:pt>
                <c:pt idx="10">
                  <c:v>13</c:v>
                </c:pt>
                <c:pt idx="11">
                  <c:v>13</c:v>
                </c:pt>
                <c:pt idx="12">
                  <c:v>15</c:v>
                </c:pt>
                <c:pt idx="13">
                  <c:v>15</c:v>
                </c:pt>
                <c:pt idx="14">
                  <c:v>17</c:v>
                </c:pt>
                <c:pt idx="15">
                  <c:v>17</c:v>
                </c:pt>
                <c:pt idx="16">
                  <c:v>17</c:v>
                </c:pt>
                <c:pt idx="17">
                  <c:v>17</c:v>
                </c:pt>
                <c:pt idx="18">
                  <c:v>18</c:v>
                </c:pt>
                <c:pt idx="19">
                  <c:v>18</c:v>
                </c:pt>
              </c:numCache>
            </c:numRef>
          </c:val>
        </c:ser>
        <c:ser>
          <c:idx val="1"/>
          <c:order val="1"/>
          <c:tx>
            <c:strRef>
              <c:f>Лист1!$C$1</c:f>
              <c:strCache>
                <c:ptCount val="1"/>
                <c:pt idx="0">
                  <c:v>Signature</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cat>
            <c:numRef>
              <c:f>Лист1!$A$2:$A$21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Лист1!$C$2:$C$21</c:f>
              <c:numCache>
                <c:formatCode>General</c:formatCode>
                <c:ptCount val="20"/>
                <c:pt idx="1">
                  <c:v>17</c:v>
                </c:pt>
              </c:numCache>
            </c:numRef>
          </c:val>
        </c:ser>
        <c:ser>
          <c:idx val="2"/>
          <c:order val="2"/>
          <c:tx>
            <c:strRef>
              <c:f>Лист1!$D$1</c:f>
              <c:strCache>
                <c:ptCount val="1"/>
                <c:pt idx="0">
                  <c:v>Столбец1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cat>
            <c:numRef>
              <c:f>Лист1!$A$2:$A$21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Лист1!$D$2:$D$21</c:f>
              <c:numCache>
                <c:formatCode>General</c:formatCode>
                <c:ptCount val="20"/>
              </c:numCache>
            </c:numRef>
          </c:val>
        </c:ser>
        <c:dLbls>
          <c:showLegendKey val="0"/>
          <c:showVal val="0"/>
          <c:showCatName val="0"/>
          <c:showSerName val="0"/>
          <c:showPercent val="0"/>
          <c:showBubbleSize val="0"/>
        </c:dLbls>
        <c:gapWidth val="150"/>
        <c:axId val="221872640"/>
        <c:axId val="79570048"/>
      </c:barChart>
      <c:catAx>
        <c:axId val="22187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50000"/>
                    <a:lumOff val="50000"/>
                  </a:schemeClr>
                </a:solidFill>
                <a:latin typeface="+mn-lt"/>
                <a:ea typeface="+mn-ea"/>
                <a:cs typeface="+mn-cs"/>
              </a:defRPr>
            </a:pPr>
            <a:endParaRPr lang="en-US"/>
          </a:p>
        </c:txPr>
        <c:crossAx val="79570048"/>
        <c:crosses val="autoZero"/>
        <c:auto val="1"/>
        <c:lblAlgn val="ctr"/>
        <c:lblOffset val="100"/>
        <c:noMultiLvlLbl val="0"/>
      </c:catAx>
      <c:valAx>
        <c:axId val="79570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Parties contractantes</a:t>
                </a:r>
                <a:endParaRPr lang="ru-RU"/>
              </a:p>
            </c:rich>
          </c:tx>
          <c:overlay val="0"/>
        </c:title>
        <c:numFmt formatCode="General" sourceLinked="1"/>
        <c:majorTickMark val="out"/>
        <c:minorTickMark val="none"/>
        <c:tickLblPos val="nextTo"/>
        <c:spPr>
          <a:noFill/>
          <a:effectLst/>
        </c:spPr>
        <c:txPr>
          <a:bodyPr rot="-60000000" spcFirstLastPara="1" vertOverflow="ellipsis" vert="horz" wrap="square" anchor="ctr" anchorCtr="1"/>
          <a:lstStyle/>
          <a:p>
            <a:pPr>
              <a:defRPr sz="6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221872640"/>
        <c:crosses val="autoZero"/>
        <c:crossBetween val="between"/>
      </c:valAx>
      <c:spPr>
        <a:noFill/>
        <a:ln>
          <a:noFill/>
        </a:ln>
        <a:effectLst/>
      </c:spPr>
    </c:plotArea>
    <c:legend>
      <c:legendPos val="r"/>
      <c:legendEntry>
        <c:idx val="2"/>
        <c:delete val="1"/>
      </c:legendEntry>
      <c:overlay val="0"/>
      <c:spPr>
        <a:noFill/>
        <a:ln>
          <a:noFill/>
        </a:ln>
        <a:effectLst/>
      </c:spPr>
      <c:txPr>
        <a:bodyPr rot="0" spcFirstLastPara="1" vertOverflow="ellipsis" vert="horz" wrap="square" anchor="ctr" anchorCtr="1"/>
        <a:lstStyle/>
        <a:p>
          <a:pPr>
            <a:defRPr sz="6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baseline="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Conventions</c:v>
                </c:pt>
              </c:strCache>
            </c:strRef>
          </c:tx>
          <c:spPr>
            <a:solidFill>
              <a:schemeClr val="accent1"/>
            </a:solidFill>
            <a:effectLst/>
          </c:spPr>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11</c:v>
                </c:pt>
                <c:pt idx="1">
                  <c:v>11</c:v>
                </c:pt>
                <c:pt idx="2">
                  <c:v>11</c:v>
                </c:pt>
                <c:pt idx="3">
                  <c:v>11</c:v>
                </c:pt>
                <c:pt idx="4">
                  <c:v>11</c:v>
                </c:pt>
                <c:pt idx="5">
                  <c:v>11</c:v>
                </c:pt>
              </c:numCache>
            </c:numRef>
          </c:val>
        </c:ser>
        <c:ser>
          <c:idx val="1"/>
          <c:order val="1"/>
          <c:tx>
            <c:strRef>
              <c:f>Лист1!$C$1</c:f>
              <c:strCache>
                <c:ptCount val="1"/>
                <c:pt idx="0">
                  <c:v>Conventions in force</c:v>
                </c:pt>
              </c:strCache>
            </c:strRef>
          </c:tx>
          <c:spPr>
            <a:solidFill>
              <a:schemeClr val="accent2"/>
            </a:solidFill>
            <a:effectLst/>
          </c:spPr>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pt idx="0">
                  <c:v>7</c:v>
                </c:pt>
                <c:pt idx="1">
                  <c:v>7</c:v>
                </c:pt>
                <c:pt idx="2">
                  <c:v>7</c:v>
                </c:pt>
                <c:pt idx="3">
                  <c:v>7</c:v>
                </c:pt>
                <c:pt idx="4">
                  <c:v>7</c:v>
                </c:pt>
                <c:pt idx="5">
                  <c:v>7</c:v>
                </c:pt>
              </c:numCache>
            </c:numRef>
          </c:val>
        </c:ser>
        <c:ser>
          <c:idx val="2"/>
          <c:order val="2"/>
          <c:tx>
            <c:strRef>
              <c:f>Лист1!$D$1</c:f>
              <c:strCache>
                <c:ptCount val="1"/>
                <c:pt idx="0">
                  <c:v>Parties to Conventions</c:v>
                </c:pt>
              </c:strCache>
            </c:strRef>
          </c:tx>
          <c:spPr>
            <a:ln w="38100" cap="rnd">
              <a:solidFill>
                <a:schemeClr val="accent3"/>
              </a:solidFill>
              <a:round/>
            </a:ln>
            <a:effectLst/>
          </c:spPr>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Лист1!$D$2:$D$7</c:f>
              <c:numCache>
                <c:formatCode>General</c:formatCode>
                <c:ptCount val="6"/>
                <c:pt idx="0">
                  <c:v>84</c:v>
                </c:pt>
                <c:pt idx="1">
                  <c:v>87</c:v>
                </c:pt>
                <c:pt idx="2">
                  <c:v>87</c:v>
                </c:pt>
                <c:pt idx="3">
                  <c:v>87</c:v>
                </c:pt>
                <c:pt idx="4">
                  <c:v>89</c:v>
                </c:pt>
                <c:pt idx="5">
                  <c:v>89</c:v>
                </c:pt>
              </c:numCache>
            </c:numRef>
          </c:val>
        </c:ser>
        <c:dLbls>
          <c:showLegendKey val="0"/>
          <c:showVal val="0"/>
          <c:showCatName val="0"/>
          <c:showSerName val="0"/>
          <c:showPercent val="0"/>
          <c:showBubbleSize val="0"/>
        </c:dLbls>
        <c:gapWidth val="150"/>
        <c:axId val="143836672"/>
        <c:axId val="79571776"/>
      </c:barChart>
      <c:catAx>
        <c:axId val="14383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79571776"/>
        <c:crosses val="autoZero"/>
        <c:auto val="1"/>
        <c:lblAlgn val="ctr"/>
        <c:lblOffset val="100"/>
        <c:noMultiLvlLbl val="0"/>
      </c:catAx>
      <c:valAx>
        <c:axId val="79571776"/>
        <c:scaling>
          <c:orientation val="minMax"/>
        </c:scaling>
        <c:delete val="0"/>
        <c:axPos val="l"/>
        <c:majorGridlines/>
        <c:numFmt formatCode="General" sourceLinked="1"/>
        <c:majorTickMark val="out"/>
        <c:minorTickMark val="none"/>
        <c:tickLblPos val="nextTo"/>
        <c:crossAx val="143836672"/>
        <c:crosses val="autoZero"/>
        <c:crossBetween val="between"/>
      </c:valAx>
      <c:spPr>
        <a:effectLst/>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753E-2B1B-41C4-912F-81CA851B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5038</Words>
  <Characters>28723</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Anastasia Barinova</cp:lastModifiedBy>
  <cp:revision>2</cp:revision>
  <cp:lastPrinted>2016-02-02T16:07:00Z</cp:lastPrinted>
  <dcterms:created xsi:type="dcterms:W3CDTF">2016-02-03T13:11:00Z</dcterms:created>
  <dcterms:modified xsi:type="dcterms:W3CDTF">2016-02-03T13:11:00Z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1522002F</vt:lpwstr>
  </property>
  <property fmtid="{D5CDD505-2E9C-101B-9397-08002B2CF9AE}" pid="3" name="ODSRefJobNo">
    <vt:lpwstr>1528457F</vt:lpwstr>
  </property>
  <property fmtid="{D5CDD505-2E9C-101B-9397-08002B2CF9AE}" pid="4" name="Symbol1">
    <vt:lpwstr>ECE/TRANS/2016/20</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français</vt:lpwstr>
  </property>
  <property fmtid="{D5CDD505-2E9C-101B-9397-08002B2CF9AE}" pid="13" name="Release Date">
    <vt:lpwstr>020216</vt:lpwstr>
  </property>
</Properties>
</file>