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4075C" w:rsidTr="009E6CB7">
        <w:trPr>
          <w:cantSplit/>
          <w:trHeight w:hRule="exact" w:val="851"/>
        </w:trPr>
        <w:tc>
          <w:tcPr>
            <w:tcW w:w="1276" w:type="dxa"/>
            <w:tcBorders>
              <w:bottom w:val="single" w:sz="4" w:space="0" w:color="auto"/>
            </w:tcBorders>
            <w:vAlign w:val="bottom"/>
          </w:tcPr>
          <w:p w:rsidR="009E6CB7" w:rsidRPr="0074075C" w:rsidRDefault="009E6CB7" w:rsidP="009E6CB7">
            <w:pPr>
              <w:spacing w:after="80"/>
            </w:pPr>
          </w:p>
        </w:tc>
        <w:tc>
          <w:tcPr>
            <w:tcW w:w="2268" w:type="dxa"/>
            <w:tcBorders>
              <w:bottom w:val="single" w:sz="4" w:space="0" w:color="auto"/>
            </w:tcBorders>
            <w:vAlign w:val="bottom"/>
          </w:tcPr>
          <w:p w:rsidR="009E6CB7" w:rsidRPr="0074075C" w:rsidRDefault="009E6CB7" w:rsidP="009E6CB7">
            <w:pPr>
              <w:spacing w:after="80" w:line="300" w:lineRule="exact"/>
              <w:rPr>
                <w:b/>
                <w:sz w:val="24"/>
                <w:szCs w:val="24"/>
              </w:rPr>
            </w:pPr>
            <w:r w:rsidRPr="0074075C">
              <w:rPr>
                <w:sz w:val="28"/>
                <w:szCs w:val="28"/>
              </w:rPr>
              <w:t>United Nations</w:t>
            </w:r>
          </w:p>
        </w:tc>
        <w:tc>
          <w:tcPr>
            <w:tcW w:w="6095" w:type="dxa"/>
            <w:gridSpan w:val="2"/>
            <w:tcBorders>
              <w:bottom w:val="single" w:sz="4" w:space="0" w:color="auto"/>
            </w:tcBorders>
            <w:vAlign w:val="bottom"/>
          </w:tcPr>
          <w:p w:rsidR="009E6CB7" w:rsidRPr="0074075C" w:rsidRDefault="003A5F98" w:rsidP="00646BFB">
            <w:pPr>
              <w:jc w:val="right"/>
            </w:pPr>
            <w:r w:rsidRPr="0074075C">
              <w:rPr>
                <w:sz w:val="40"/>
              </w:rPr>
              <w:t>ECE</w:t>
            </w:r>
            <w:r w:rsidRPr="0074075C">
              <w:t>/TRANS/2016/</w:t>
            </w:r>
            <w:r w:rsidR="00646BFB" w:rsidRPr="0074075C">
              <w:t>10</w:t>
            </w:r>
          </w:p>
        </w:tc>
      </w:tr>
      <w:tr w:rsidR="009E6CB7" w:rsidRPr="0074075C" w:rsidTr="009E6CB7">
        <w:trPr>
          <w:cantSplit/>
          <w:trHeight w:hRule="exact" w:val="2835"/>
        </w:trPr>
        <w:tc>
          <w:tcPr>
            <w:tcW w:w="1276" w:type="dxa"/>
            <w:tcBorders>
              <w:top w:val="single" w:sz="4" w:space="0" w:color="auto"/>
              <w:bottom w:val="single" w:sz="12" w:space="0" w:color="auto"/>
            </w:tcBorders>
          </w:tcPr>
          <w:p w:rsidR="009E6CB7" w:rsidRPr="0074075C" w:rsidRDefault="00BC7F91" w:rsidP="009E6CB7">
            <w:pPr>
              <w:spacing w:before="120"/>
            </w:pPr>
            <w:r w:rsidRPr="0074075C">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4075C" w:rsidRDefault="009E6CB7" w:rsidP="009E6CB7">
            <w:pPr>
              <w:spacing w:before="120" w:line="420" w:lineRule="exact"/>
              <w:rPr>
                <w:sz w:val="40"/>
                <w:szCs w:val="40"/>
              </w:rPr>
            </w:pPr>
            <w:r w:rsidRPr="0074075C">
              <w:rPr>
                <w:b/>
                <w:sz w:val="40"/>
                <w:szCs w:val="40"/>
              </w:rPr>
              <w:t>Economic and Social Council</w:t>
            </w:r>
          </w:p>
        </w:tc>
        <w:tc>
          <w:tcPr>
            <w:tcW w:w="2835" w:type="dxa"/>
            <w:tcBorders>
              <w:top w:val="single" w:sz="4" w:space="0" w:color="auto"/>
              <w:bottom w:val="single" w:sz="12" w:space="0" w:color="auto"/>
            </w:tcBorders>
          </w:tcPr>
          <w:p w:rsidR="009E6CB7" w:rsidRPr="0074075C" w:rsidRDefault="003A5F98" w:rsidP="003A5F98">
            <w:pPr>
              <w:spacing w:before="240" w:line="240" w:lineRule="exact"/>
            </w:pPr>
            <w:r w:rsidRPr="0074075C">
              <w:t>Distr.: General</w:t>
            </w:r>
          </w:p>
          <w:p w:rsidR="003A5F98" w:rsidRPr="0074075C" w:rsidRDefault="003A5F98" w:rsidP="003A5F98">
            <w:pPr>
              <w:spacing w:line="240" w:lineRule="exact"/>
            </w:pPr>
            <w:r w:rsidRPr="0074075C">
              <w:t>15 December 2015</w:t>
            </w:r>
          </w:p>
          <w:p w:rsidR="003A5F98" w:rsidRPr="0074075C" w:rsidRDefault="003A5F98" w:rsidP="003A5F98">
            <w:pPr>
              <w:spacing w:line="240" w:lineRule="exact"/>
            </w:pPr>
          </w:p>
          <w:p w:rsidR="003A5F98" w:rsidRPr="0074075C" w:rsidRDefault="003A5F98" w:rsidP="003A5F98">
            <w:pPr>
              <w:spacing w:line="240" w:lineRule="exact"/>
            </w:pPr>
            <w:r w:rsidRPr="0074075C">
              <w:t>Original: English</w:t>
            </w:r>
          </w:p>
        </w:tc>
      </w:tr>
    </w:tbl>
    <w:p w:rsidR="003A5F98" w:rsidRPr="0074075C" w:rsidRDefault="003A5F98" w:rsidP="003A5F98">
      <w:pPr>
        <w:spacing w:before="120"/>
        <w:rPr>
          <w:b/>
          <w:bCs/>
          <w:sz w:val="28"/>
          <w:szCs w:val="28"/>
        </w:rPr>
      </w:pPr>
      <w:r w:rsidRPr="0074075C">
        <w:rPr>
          <w:b/>
          <w:bCs/>
          <w:sz w:val="28"/>
          <w:szCs w:val="28"/>
        </w:rPr>
        <w:t>Economic Commission for Europe</w:t>
      </w:r>
    </w:p>
    <w:p w:rsidR="003A5F98" w:rsidRPr="0074075C" w:rsidRDefault="003A5F98" w:rsidP="003A5F98">
      <w:pPr>
        <w:spacing w:before="120"/>
        <w:rPr>
          <w:sz w:val="28"/>
          <w:szCs w:val="28"/>
        </w:rPr>
      </w:pPr>
      <w:r w:rsidRPr="0074075C">
        <w:rPr>
          <w:sz w:val="28"/>
          <w:szCs w:val="28"/>
        </w:rPr>
        <w:t>Inland Transport Committee</w:t>
      </w:r>
      <w:bookmarkStart w:id="0" w:name="_GoBack"/>
      <w:bookmarkEnd w:id="0"/>
    </w:p>
    <w:p w:rsidR="003A5F98" w:rsidRPr="0074075C" w:rsidRDefault="003A5F98" w:rsidP="003A5F98">
      <w:pPr>
        <w:spacing w:before="120"/>
        <w:rPr>
          <w:b/>
          <w:bCs/>
        </w:rPr>
      </w:pPr>
      <w:r w:rsidRPr="0074075C">
        <w:rPr>
          <w:b/>
          <w:bCs/>
        </w:rPr>
        <w:t>Seventy-eighth session</w:t>
      </w:r>
    </w:p>
    <w:p w:rsidR="00CD16C6" w:rsidRPr="0074075C" w:rsidRDefault="003A5F98" w:rsidP="00CD16C6">
      <w:pPr>
        <w:rPr>
          <w:b/>
          <w:bCs/>
        </w:rPr>
      </w:pPr>
      <w:r w:rsidRPr="0074075C">
        <w:t>Geneva, 23–26 February 2016</w:t>
      </w:r>
      <w:r w:rsidRPr="0074075C">
        <w:br/>
      </w:r>
      <w:r w:rsidR="00CD16C6" w:rsidRPr="0074075C">
        <w:t>Item 4 (f) of the provisional agenda</w:t>
      </w:r>
      <w:r w:rsidR="00CD16C6" w:rsidRPr="0074075C">
        <w:br/>
      </w:r>
      <w:r w:rsidR="00CD16C6" w:rsidRPr="0074075C">
        <w:rPr>
          <w:b/>
          <w:bCs/>
        </w:rPr>
        <w:t>Strategic questions of a horizontal policy nature:</w:t>
      </w:r>
      <w:r w:rsidR="00CD16C6" w:rsidRPr="0074075C">
        <w:rPr>
          <w:b/>
          <w:bCs/>
        </w:rPr>
        <w:br/>
      </w:r>
      <w:r w:rsidR="00CD16C6" w:rsidRPr="0074075C">
        <w:rPr>
          <w:b/>
        </w:rPr>
        <w:t>Intelligent transport systems</w:t>
      </w:r>
    </w:p>
    <w:p w:rsidR="00CD16C6" w:rsidRPr="0074075C" w:rsidRDefault="00CD16C6" w:rsidP="00CD16C6">
      <w:pPr>
        <w:pStyle w:val="HChG"/>
      </w:pPr>
      <w:r w:rsidRPr="0074075C">
        <w:tab/>
      </w:r>
      <w:r w:rsidRPr="0074075C">
        <w:tab/>
      </w:r>
      <w:r w:rsidRPr="0074075C">
        <w:rPr>
          <w:lang w:eastAsia="en-GB"/>
        </w:rPr>
        <w:t>Intelligent Transport Systems – Concept Note</w:t>
      </w:r>
    </w:p>
    <w:p w:rsidR="00CD16C6" w:rsidRPr="0074075C" w:rsidRDefault="00CD16C6" w:rsidP="00CD16C6">
      <w:pPr>
        <w:pStyle w:val="H1G"/>
      </w:pPr>
      <w:r w:rsidRPr="0074075C">
        <w:tab/>
      </w:r>
      <w:r w:rsidRPr="0074075C">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D16C6" w:rsidRPr="0074075C" w:rsidTr="00F436CC">
        <w:trPr>
          <w:jc w:val="center"/>
        </w:trPr>
        <w:tc>
          <w:tcPr>
            <w:tcW w:w="9637" w:type="dxa"/>
            <w:shd w:val="clear" w:color="auto" w:fill="auto"/>
          </w:tcPr>
          <w:p w:rsidR="00CD16C6" w:rsidRPr="0074075C" w:rsidRDefault="00CD16C6" w:rsidP="00F436CC"/>
        </w:tc>
      </w:tr>
      <w:tr w:rsidR="00CD16C6" w:rsidRPr="0074075C" w:rsidTr="00F436CC">
        <w:trPr>
          <w:jc w:val="center"/>
        </w:trPr>
        <w:tc>
          <w:tcPr>
            <w:tcW w:w="9637" w:type="dxa"/>
            <w:shd w:val="clear" w:color="auto" w:fill="auto"/>
          </w:tcPr>
          <w:p w:rsidR="00CD16C6" w:rsidRPr="0074075C" w:rsidRDefault="00CD16C6" w:rsidP="00EC42B3">
            <w:pPr>
              <w:pStyle w:val="SingleTxtG"/>
            </w:pPr>
            <w:r w:rsidRPr="0074075C">
              <w:tab/>
            </w:r>
            <w:r w:rsidR="0074075C">
              <w:t>The i</w:t>
            </w:r>
            <w:r w:rsidRPr="0074075C">
              <w:t xml:space="preserve">mplementation of information and communication technologies to </w:t>
            </w:r>
            <w:r w:rsidR="00680848">
              <w:t>improve</w:t>
            </w:r>
            <w:r w:rsidR="00680848" w:rsidRPr="0074075C">
              <w:t xml:space="preserve"> </w:t>
            </w:r>
            <w:r w:rsidRPr="0074075C">
              <w:t>transport systems will profound</w:t>
            </w:r>
            <w:r w:rsidR="00680848">
              <w:t>ly</w:t>
            </w:r>
            <w:r w:rsidRPr="0074075C">
              <w:t xml:space="preserve"> </w:t>
            </w:r>
            <w:proofErr w:type="gramStart"/>
            <w:r w:rsidRPr="0074075C">
              <w:t>impact</w:t>
            </w:r>
            <w:proofErr w:type="gramEnd"/>
            <w:r w:rsidRPr="0074075C">
              <w:t xml:space="preserve"> the transport sector</w:t>
            </w:r>
            <w:r w:rsidR="0074075C" w:rsidRPr="0074075C">
              <w:t>’</w:t>
            </w:r>
            <w:r w:rsidRPr="0074075C">
              <w:t xml:space="preserve">s ability to actively and positively contribute to </w:t>
            </w:r>
            <w:r w:rsidR="00C20492" w:rsidRPr="0074075C">
              <w:t>achiev</w:t>
            </w:r>
            <w:r w:rsidR="00C20492">
              <w:t xml:space="preserve">ing </w:t>
            </w:r>
            <w:r w:rsidR="00C20492" w:rsidRPr="0074075C">
              <w:t>sustainable</w:t>
            </w:r>
            <w:r w:rsidRPr="0074075C">
              <w:t xml:space="preserve"> </w:t>
            </w:r>
            <w:r w:rsidR="00EC42B3">
              <w:t>mobility</w:t>
            </w:r>
            <w:r w:rsidRPr="0074075C">
              <w:t>.</w:t>
            </w:r>
          </w:p>
        </w:tc>
      </w:tr>
      <w:tr w:rsidR="00CD16C6" w:rsidRPr="0074075C" w:rsidTr="00F436CC">
        <w:trPr>
          <w:jc w:val="center"/>
        </w:trPr>
        <w:tc>
          <w:tcPr>
            <w:tcW w:w="9637" w:type="dxa"/>
            <w:shd w:val="clear" w:color="auto" w:fill="auto"/>
          </w:tcPr>
          <w:p w:rsidR="00CD16C6" w:rsidRPr="0074075C" w:rsidRDefault="00CD16C6" w:rsidP="00EC42B3">
            <w:pPr>
              <w:pStyle w:val="SingleTxtG"/>
            </w:pPr>
            <w:r w:rsidRPr="0074075C">
              <w:tab/>
              <w:t>Intelligent Transport Systems (ITS</w:t>
            </w:r>
            <w:r w:rsidR="00680848" w:rsidRPr="0074075C">
              <w:t>)</w:t>
            </w:r>
            <w:r w:rsidR="00680848">
              <w:t xml:space="preserve"> are</w:t>
            </w:r>
            <w:r w:rsidR="00EC42B3">
              <w:t xml:space="preserve"> more than</w:t>
            </w:r>
            <w:r w:rsidR="00680848" w:rsidRPr="0074075C">
              <w:t xml:space="preserve"> </w:t>
            </w:r>
            <w:r w:rsidRPr="0074075C">
              <w:t xml:space="preserve">advanced </w:t>
            </w:r>
            <w:r w:rsidR="000640EE">
              <w:t>technologies</w:t>
            </w:r>
            <w:r w:rsidR="00EC42B3">
              <w:t>, they are systemic changes</w:t>
            </w:r>
            <w:r w:rsidR="000640EE" w:rsidRPr="0074075C">
              <w:t xml:space="preserve"> </w:t>
            </w:r>
            <w:r w:rsidRPr="0074075C">
              <w:t>that aim to</w:t>
            </w:r>
            <w:r w:rsidR="000640EE">
              <w:t>:</w:t>
            </w:r>
            <w:r w:rsidRPr="0074075C">
              <w:t xml:space="preserve"> </w:t>
            </w:r>
            <w:r w:rsidR="000640EE">
              <w:t>(</w:t>
            </w:r>
            <w:proofErr w:type="spellStart"/>
            <w:r w:rsidR="000640EE">
              <w:t>i</w:t>
            </w:r>
            <w:proofErr w:type="spellEnd"/>
            <w:r w:rsidR="000640EE">
              <w:t>)</w:t>
            </w:r>
            <w:r w:rsidR="00CA6C62">
              <w:t xml:space="preserve"> </w:t>
            </w:r>
            <w:r w:rsidRPr="0074075C">
              <w:t xml:space="preserve">provide </w:t>
            </w:r>
            <w:r w:rsidR="000640EE">
              <w:t xml:space="preserve">various and </w:t>
            </w:r>
            <w:r w:rsidRPr="0074075C">
              <w:t xml:space="preserve">innovative services </w:t>
            </w:r>
            <w:r w:rsidR="00680848">
              <w:t>for</w:t>
            </w:r>
            <w:r w:rsidRPr="0074075C">
              <w:t xml:space="preserve"> different modes of transport, </w:t>
            </w:r>
            <w:r w:rsidR="000640EE">
              <w:t>(ii)</w:t>
            </w:r>
            <w:r w:rsidR="00680848" w:rsidRPr="0074075C">
              <w:t xml:space="preserve"> </w:t>
            </w:r>
            <w:r w:rsidRPr="0074075C">
              <w:t>facilitate sustainable mobility by making transport more efficient, safer and environmentally friendly</w:t>
            </w:r>
            <w:r w:rsidR="000640EE">
              <w:t xml:space="preserve"> </w:t>
            </w:r>
            <w:r w:rsidR="000640EE">
              <w:rPr>
                <w:rFonts w:ascii="Calibri" w:hAnsi="Calibri"/>
              </w:rPr>
              <w:t>—</w:t>
            </w:r>
            <w:r w:rsidR="000640EE">
              <w:t xml:space="preserve">and thus </w:t>
            </w:r>
            <w:r w:rsidRPr="0074075C">
              <w:t>are considered among key stakeholders</w:t>
            </w:r>
            <w:r w:rsidR="000640EE">
              <w:rPr>
                <w:rFonts w:ascii="Calibri" w:hAnsi="Calibri"/>
              </w:rPr>
              <w:t>—</w:t>
            </w:r>
            <w:r w:rsidRPr="0074075C">
              <w:t>as bridge</w:t>
            </w:r>
            <w:r w:rsidR="000640EE">
              <w:t>s</w:t>
            </w:r>
            <w:r w:rsidRPr="0074075C">
              <w:t xml:space="preserve"> </w:t>
            </w:r>
            <w:r w:rsidR="000640EE">
              <w:t xml:space="preserve">across </w:t>
            </w:r>
            <w:r w:rsidRPr="0074075C">
              <w:t xml:space="preserve">the </w:t>
            </w:r>
            <w:r w:rsidR="00921F2E">
              <w:t xml:space="preserve">current </w:t>
            </w:r>
            <w:r w:rsidRPr="0074075C">
              <w:t>sustainability gap in transportation systems</w:t>
            </w:r>
            <w:r w:rsidR="000640EE">
              <w:t xml:space="preserve">. </w:t>
            </w:r>
          </w:p>
        </w:tc>
      </w:tr>
      <w:tr w:rsidR="00CD16C6" w:rsidRPr="0074075C" w:rsidTr="00F436CC">
        <w:trPr>
          <w:jc w:val="center"/>
        </w:trPr>
        <w:tc>
          <w:tcPr>
            <w:tcW w:w="9637" w:type="dxa"/>
            <w:shd w:val="clear" w:color="auto" w:fill="auto"/>
          </w:tcPr>
          <w:p w:rsidR="00CD16C6" w:rsidRPr="0074075C" w:rsidRDefault="00CD16C6" w:rsidP="00EC42B3">
            <w:pPr>
              <w:pStyle w:val="SingleTxtG"/>
            </w:pPr>
            <w:r w:rsidRPr="0074075C">
              <w:tab/>
              <w:t xml:space="preserve">ITS state of the art is developing at </w:t>
            </w:r>
            <w:r w:rsidR="00D828B1">
              <w:t xml:space="preserve">such </w:t>
            </w:r>
            <w:r w:rsidRPr="0074075C">
              <w:t xml:space="preserve">a pace that lawmakers </w:t>
            </w:r>
            <w:r w:rsidR="00FA7F65">
              <w:t xml:space="preserve">have not </w:t>
            </w:r>
            <w:r w:rsidRPr="0074075C">
              <w:t>ke</w:t>
            </w:r>
            <w:r w:rsidR="00FA7F65">
              <w:t>pt</w:t>
            </w:r>
            <w:r w:rsidRPr="0074075C">
              <w:t xml:space="preserve"> up</w:t>
            </w:r>
            <w:r w:rsidR="000640EE">
              <w:t xml:space="preserve">: </w:t>
            </w:r>
            <w:r w:rsidRPr="0074075C">
              <w:t xml:space="preserve">ITS </w:t>
            </w:r>
            <w:proofErr w:type="gramStart"/>
            <w:r w:rsidR="00C20492" w:rsidRPr="0074075C">
              <w:t>implemen</w:t>
            </w:r>
            <w:r w:rsidR="00C20492">
              <w:t>tation still</w:t>
            </w:r>
            <w:proofErr w:type="gramEnd"/>
            <w:r w:rsidR="00EC42B3">
              <w:t xml:space="preserve"> </w:t>
            </w:r>
            <w:r w:rsidR="00C20492">
              <w:t xml:space="preserve">remains </w:t>
            </w:r>
            <w:r w:rsidR="00C20492" w:rsidRPr="0074075C">
              <w:t>fragmented</w:t>
            </w:r>
            <w:r w:rsidRPr="0074075C">
              <w:t xml:space="preserve"> and no</w:t>
            </w:r>
            <w:r w:rsidR="00FA7F65">
              <w:t xml:space="preserve">t </w:t>
            </w:r>
            <w:r w:rsidR="000640EE" w:rsidRPr="0074075C">
              <w:t>inter</w:t>
            </w:r>
            <w:r w:rsidR="000640EE">
              <w:t>connected</w:t>
            </w:r>
            <w:r w:rsidRPr="0074075C">
              <w:t xml:space="preserve">, </w:t>
            </w:r>
            <w:r w:rsidR="00FA7F65">
              <w:t xml:space="preserve">partially </w:t>
            </w:r>
            <w:r w:rsidRPr="0074075C">
              <w:t xml:space="preserve">due to </w:t>
            </w:r>
            <w:r w:rsidR="00FA7F65">
              <w:t>a</w:t>
            </w:r>
            <w:r w:rsidR="00FA7F65" w:rsidRPr="0074075C">
              <w:t xml:space="preserve"> </w:t>
            </w:r>
            <w:r w:rsidRPr="0074075C">
              <w:t>lack of internationally harmonized</w:t>
            </w:r>
            <w:r w:rsidR="00EC42B3">
              <w:t xml:space="preserve"> policies</w:t>
            </w:r>
            <w:r w:rsidRPr="0074075C">
              <w:t xml:space="preserve"> </w:t>
            </w:r>
            <w:r w:rsidR="00EC42B3">
              <w:t xml:space="preserve">and in some areas even </w:t>
            </w:r>
            <w:r w:rsidRPr="0074075C">
              <w:t>regulations.</w:t>
            </w:r>
            <w:r w:rsidR="00EC42B3">
              <w:t xml:space="preserve"> While huge progress has already been achieved in addressing specific technical issues, transport policy and institutional responses of a horizontal nature are being under consideration only in a handful of countries.</w:t>
            </w:r>
          </w:p>
        </w:tc>
      </w:tr>
      <w:tr w:rsidR="00CD16C6" w:rsidRPr="0074075C" w:rsidTr="00F436CC">
        <w:trPr>
          <w:jc w:val="center"/>
        </w:trPr>
        <w:tc>
          <w:tcPr>
            <w:tcW w:w="9637" w:type="dxa"/>
            <w:shd w:val="clear" w:color="auto" w:fill="auto"/>
          </w:tcPr>
          <w:p w:rsidR="00CD16C6" w:rsidRPr="0074075C" w:rsidRDefault="00CD16C6" w:rsidP="00EC42B3">
            <w:pPr>
              <w:pStyle w:val="SingleTxtG"/>
            </w:pPr>
            <w:r w:rsidRPr="0074075C">
              <w:tab/>
            </w:r>
            <w:r w:rsidRPr="0074075C">
              <w:rPr>
                <w:lang w:eastAsia="en-GB"/>
              </w:rPr>
              <w:t xml:space="preserve">The </w:t>
            </w:r>
            <w:r w:rsidR="007D5090" w:rsidRPr="0074075C">
              <w:rPr>
                <w:lang w:eastAsia="en-GB"/>
              </w:rPr>
              <w:t xml:space="preserve">Committee </w:t>
            </w:r>
            <w:r w:rsidRPr="0074075C">
              <w:rPr>
                <w:lang w:eastAsia="en-GB"/>
              </w:rPr>
              <w:t xml:space="preserve">is invited to </w:t>
            </w:r>
            <w:r w:rsidR="00FA7F65">
              <w:rPr>
                <w:b/>
                <w:lang w:eastAsia="en-GB"/>
              </w:rPr>
              <w:t>consider</w:t>
            </w:r>
            <w:r w:rsidR="00FA7F65" w:rsidRPr="0074075C">
              <w:rPr>
                <w:lang w:eastAsia="en-GB"/>
              </w:rPr>
              <w:t xml:space="preserve"> </w:t>
            </w:r>
            <w:r w:rsidR="00EC42B3">
              <w:rPr>
                <w:lang w:eastAsia="en-GB"/>
              </w:rPr>
              <w:t>how it could promote the</w:t>
            </w:r>
            <w:r w:rsidRPr="0074075C">
              <w:rPr>
                <w:lang w:eastAsia="en-GB"/>
              </w:rPr>
              <w:t xml:space="preserve"> ITS policy dialogue</w:t>
            </w:r>
            <w:r w:rsidR="00EC42B3">
              <w:rPr>
                <w:lang w:eastAsia="en-GB"/>
              </w:rPr>
              <w:t>.</w:t>
            </w:r>
            <w:r w:rsidR="00FA7F65">
              <w:rPr>
                <w:lang w:eastAsia="en-GB"/>
              </w:rPr>
              <w:t xml:space="preserve"> </w:t>
            </w:r>
          </w:p>
        </w:tc>
      </w:tr>
      <w:tr w:rsidR="00CD16C6" w:rsidRPr="0074075C" w:rsidTr="00F436CC">
        <w:trPr>
          <w:jc w:val="center"/>
        </w:trPr>
        <w:tc>
          <w:tcPr>
            <w:tcW w:w="9637" w:type="dxa"/>
            <w:shd w:val="clear" w:color="auto" w:fill="auto"/>
          </w:tcPr>
          <w:p w:rsidR="00CD16C6" w:rsidRPr="0074075C" w:rsidRDefault="00CD16C6" w:rsidP="00F436CC"/>
        </w:tc>
      </w:tr>
    </w:tbl>
    <w:p w:rsidR="00CD16C6" w:rsidRPr="0074075C" w:rsidRDefault="00CD16C6" w:rsidP="00CD16C6">
      <w:pPr>
        <w:pStyle w:val="HChG"/>
        <w:rPr>
          <w:bCs/>
          <w:lang w:eastAsia="en-GB"/>
        </w:rPr>
      </w:pPr>
      <w:r w:rsidRPr="0074075C">
        <w:br w:type="page"/>
      </w:r>
      <w:r w:rsidRPr="0074075C">
        <w:lastRenderedPageBreak/>
        <w:tab/>
        <w:t>I.</w:t>
      </w:r>
      <w:r w:rsidRPr="0074075C">
        <w:tab/>
      </w:r>
      <w:r w:rsidRPr="0074075C">
        <w:rPr>
          <w:lang w:eastAsia="en-GB"/>
        </w:rPr>
        <w:t>Introduction</w:t>
      </w:r>
    </w:p>
    <w:p w:rsidR="00CD16C6" w:rsidRPr="0074075C" w:rsidRDefault="00CD16C6" w:rsidP="00CD16C6">
      <w:pPr>
        <w:pStyle w:val="SingleTxtG"/>
        <w:rPr>
          <w:lang w:eastAsia="en-GB"/>
        </w:rPr>
      </w:pPr>
      <w:r w:rsidRPr="0074075C">
        <w:rPr>
          <w:lang w:eastAsia="en-GB"/>
        </w:rPr>
        <w:t>1.</w:t>
      </w:r>
      <w:r w:rsidRPr="0074075C">
        <w:rPr>
          <w:lang w:eastAsia="en-GB"/>
        </w:rPr>
        <w:tab/>
      </w:r>
      <w:r w:rsidR="00C12390">
        <w:rPr>
          <w:lang w:eastAsia="en-GB"/>
        </w:rPr>
        <w:t xml:space="preserve">Sustainable </w:t>
      </w:r>
      <w:r w:rsidRPr="0074075C">
        <w:rPr>
          <w:lang w:eastAsia="en-GB"/>
        </w:rPr>
        <w:t xml:space="preserve">transport </w:t>
      </w:r>
      <w:r w:rsidR="00C12390">
        <w:rPr>
          <w:lang w:eastAsia="en-GB"/>
        </w:rPr>
        <w:t xml:space="preserve">and mobility </w:t>
      </w:r>
      <w:r w:rsidRPr="0074075C">
        <w:rPr>
          <w:lang w:eastAsia="en-GB"/>
        </w:rPr>
        <w:t>requires systemic thinking</w:t>
      </w:r>
      <w:r w:rsidR="00C12390">
        <w:rPr>
          <w:lang w:eastAsia="en-GB"/>
        </w:rPr>
        <w:t xml:space="preserve"> </w:t>
      </w:r>
      <w:r w:rsidR="00A611AC">
        <w:rPr>
          <w:lang w:eastAsia="en-GB"/>
        </w:rPr>
        <w:t>that translates into</w:t>
      </w:r>
      <w:r w:rsidR="00C12390">
        <w:rPr>
          <w:lang w:eastAsia="en-GB"/>
        </w:rPr>
        <w:t xml:space="preserve"> </w:t>
      </w:r>
      <w:r w:rsidR="00A611AC">
        <w:rPr>
          <w:lang w:eastAsia="en-GB"/>
        </w:rPr>
        <w:t xml:space="preserve">achievable </w:t>
      </w:r>
      <w:r w:rsidR="00C12390">
        <w:rPr>
          <w:lang w:eastAsia="en-GB"/>
        </w:rPr>
        <w:t xml:space="preserve">results in </w:t>
      </w:r>
      <w:r w:rsidR="00A611AC">
        <w:rPr>
          <w:lang w:eastAsia="en-GB"/>
        </w:rPr>
        <w:t xml:space="preserve">improving </w:t>
      </w:r>
      <w:r w:rsidRPr="0074075C">
        <w:rPr>
          <w:lang w:eastAsia="en-GB"/>
        </w:rPr>
        <w:t>road safety</w:t>
      </w:r>
      <w:r w:rsidR="00A611AC">
        <w:rPr>
          <w:lang w:eastAsia="en-GB"/>
        </w:rPr>
        <w:t xml:space="preserve"> and</w:t>
      </w:r>
      <w:r w:rsidR="00C12390">
        <w:rPr>
          <w:lang w:eastAsia="en-GB"/>
        </w:rPr>
        <w:t xml:space="preserve"> </w:t>
      </w:r>
      <w:r w:rsidRPr="0074075C">
        <w:rPr>
          <w:lang w:eastAsia="en-GB"/>
        </w:rPr>
        <w:t xml:space="preserve">energy efficiency, decreasing </w:t>
      </w:r>
      <w:r w:rsidR="00C20492" w:rsidRPr="0074075C">
        <w:rPr>
          <w:lang w:eastAsia="en-GB"/>
        </w:rPr>
        <w:t>Greenhouse</w:t>
      </w:r>
      <w:r w:rsidRPr="0074075C">
        <w:rPr>
          <w:lang w:eastAsia="en-GB"/>
        </w:rPr>
        <w:t xml:space="preserve"> Gas (GHG) and pollutant emissions, </w:t>
      </w:r>
      <w:r w:rsidR="00A611AC">
        <w:rPr>
          <w:lang w:eastAsia="en-GB"/>
        </w:rPr>
        <w:t xml:space="preserve">and </w:t>
      </w:r>
      <w:r w:rsidRPr="0074075C">
        <w:rPr>
          <w:lang w:eastAsia="en-GB"/>
        </w:rPr>
        <w:t>increasing the share of renewable energy in the sector</w:t>
      </w:r>
      <w:r w:rsidR="00A611AC">
        <w:rPr>
          <w:lang w:eastAsia="en-GB"/>
        </w:rPr>
        <w:t>, among other things</w:t>
      </w:r>
      <w:r w:rsidR="00C12390">
        <w:rPr>
          <w:lang w:eastAsia="en-GB"/>
        </w:rPr>
        <w:t>. The use of communication and information technologies can be the catalyst in this process</w:t>
      </w:r>
      <w:r w:rsidR="007414FB">
        <w:rPr>
          <w:lang w:eastAsia="en-GB"/>
        </w:rPr>
        <w:t>.</w:t>
      </w:r>
    </w:p>
    <w:p w:rsidR="00CD16C6" w:rsidRPr="0074075C" w:rsidRDefault="007414FB" w:rsidP="00CD16C6">
      <w:pPr>
        <w:pStyle w:val="SingleTxtG"/>
        <w:rPr>
          <w:lang w:eastAsia="en-GB"/>
        </w:rPr>
      </w:pPr>
      <w:r>
        <w:rPr>
          <w:lang w:eastAsia="en-GB"/>
        </w:rPr>
        <w:t>2</w:t>
      </w:r>
      <w:r w:rsidR="00CD16C6" w:rsidRPr="0074075C">
        <w:rPr>
          <w:lang w:eastAsia="en-GB"/>
        </w:rPr>
        <w:t>.</w:t>
      </w:r>
      <w:r w:rsidR="00CD16C6" w:rsidRPr="0074075C">
        <w:rPr>
          <w:lang w:eastAsia="en-GB"/>
        </w:rPr>
        <w:tab/>
        <w:t>In order to successfully facilitat</w:t>
      </w:r>
      <w:r w:rsidR="003B6078">
        <w:rPr>
          <w:lang w:eastAsia="en-GB"/>
        </w:rPr>
        <w:t>e</w:t>
      </w:r>
      <w:r w:rsidR="00CD16C6" w:rsidRPr="0074075C">
        <w:rPr>
          <w:lang w:eastAsia="en-GB"/>
        </w:rPr>
        <w:t xml:space="preserve"> </w:t>
      </w:r>
      <w:r w:rsidR="003B6078">
        <w:rPr>
          <w:lang w:eastAsia="en-GB"/>
        </w:rPr>
        <w:t xml:space="preserve">the </w:t>
      </w:r>
      <w:r w:rsidR="00C12390">
        <w:rPr>
          <w:lang w:eastAsia="en-GB"/>
        </w:rPr>
        <w:t xml:space="preserve">transition </w:t>
      </w:r>
      <w:r w:rsidR="00C20492">
        <w:rPr>
          <w:lang w:eastAsia="en-GB"/>
        </w:rPr>
        <w:t>to sustainable</w:t>
      </w:r>
      <w:r w:rsidR="00C12390">
        <w:rPr>
          <w:lang w:eastAsia="en-GB"/>
        </w:rPr>
        <w:t xml:space="preserve"> mobility</w:t>
      </w:r>
      <w:r w:rsidR="00CD16C6" w:rsidRPr="0074075C">
        <w:rPr>
          <w:lang w:eastAsia="en-GB"/>
        </w:rPr>
        <w:t xml:space="preserve">, </w:t>
      </w:r>
      <w:r w:rsidR="00C12390">
        <w:rPr>
          <w:lang w:eastAsia="en-GB"/>
        </w:rPr>
        <w:t xml:space="preserve">current </w:t>
      </w:r>
      <w:r w:rsidR="00CD16C6" w:rsidRPr="0074075C">
        <w:rPr>
          <w:lang w:eastAsia="en-GB"/>
        </w:rPr>
        <w:t>transport systems require a new vision</w:t>
      </w:r>
      <w:r w:rsidR="003B6078">
        <w:rPr>
          <w:lang w:eastAsia="en-GB"/>
        </w:rPr>
        <w:t xml:space="preserve"> of development</w:t>
      </w:r>
      <w:r w:rsidR="00CD16C6" w:rsidRPr="0074075C">
        <w:rPr>
          <w:lang w:eastAsia="en-GB"/>
        </w:rPr>
        <w:t>. Global megatrends of population</w:t>
      </w:r>
      <w:r w:rsidR="00C20492">
        <w:rPr>
          <w:lang w:eastAsia="en-GB"/>
        </w:rPr>
        <w:t xml:space="preserve"> dynamics,</w:t>
      </w:r>
      <w:r w:rsidR="00CD16C6" w:rsidRPr="0074075C">
        <w:rPr>
          <w:lang w:eastAsia="en-GB"/>
        </w:rPr>
        <w:t xml:space="preserve"> trade growth</w:t>
      </w:r>
      <w:r w:rsidR="00C20492">
        <w:rPr>
          <w:lang w:eastAsia="en-GB"/>
        </w:rPr>
        <w:t xml:space="preserve"> and</w:t>
      </w:r>
      <w:r w:rsidR="00CD16C6" w:rsidRPr="0074075C">
        <w:rPr>
          <w:lang w:eastAsia="en-GB"/>
        </w:rPr>
        <w:t xml:space="preserve"> rapid urbanization, </w:t>
      </w:r>
      <w:r w:rsidR="00C20492">
        <w:rPr>
          <w:lang w:eastAsia="en-GB"/>
        </w:rPr>
        <w:t xml:space="preserve">as well as </w:t>
      </w:r>
      <w:r w:rsidR="00EE20D0">
        <w:rPr>
          <w:lang w:eastAsia="en-GB"/>
        </w:rPr>
        <w:t xml:space="preserve">their </w:t>
      </w:r>
      <w:r w:rsidR="00CD16C6" w:rsidRPr="0074075C">
        <w:rPr>
          <w:lang w:eastAsia="en-GB"/>
        </w:rPr>
        <w:t xml:space="preserve">impacts on the environment and the vulnerability of transport infrastructure to </w:t>
      </w:r>
      <w:r w:rsidR="003B6078">
        <w:rPr>
          <w:lang w:eastAsia="en-GB"/>
        </w:rPr>
        <w:t xml:space="preserve">the </w:t>
      </w:r>
      <w:r w:rsidR="00CD16C6" w:rsidRPr="0074075C">
        <w:rPr>
          <w:lang w:eastAsia="en-GB"/>
        </w:rPr>
        <w:t xml:space="preserve">effects of climate </w:t>
      </w:r>
      <w:proofErr w:type="gramStart"/>
      <w:r w:rsidR="00CD16C6" w:rsidRPr="0074075C">
        <w:rPr>
          <w:lang w:eastAsia="en-GB"/>
        </w:rPr>
        <w:t>change,</w:t>
      </w:r>
      <w:proofErr w:type="gramEnd"/>
      <w:r w:rsidR="00CD16C6" w:rsidRPr="0074075C">
        <w:rPr>
          <w:lang w:eastAsia="en-GB"/>
        </w:rPr>
        <w:t xml:space="preserve"> have been signalling the need to redesign and adapt transport systems to ensure their sustainable utility in the twenty-first century. Traditional efforts to enhance transport systems are alone not </w:t>
      </w:r>
      <w:r w:rsidR="00DE7645">
        <w:rPr>
          <w:lang w:eastAsia="en-GB"/>
        </w:rPr>
        <w:t>enough</w:t>
      </w:r>
      <w:r w:rsidR="00DE7645" w:rsidRPr="0074075C">
        <w:rPr>
          <w:lang w:eastAsia="en-GB"/>
        </w:rPr>
        <w:t xml:space="preserve"> </w:t>
      </w:r>
      <w:r w:rsidR="00CD16C6" w:rsidRPr="0074075C">
        <w:rPr>
          <w:lang w:eastAsia="en-GB"/>
        </w:rPr>
        <w:t>to respond to those systemic and interlocked challenges in a manner that would, alongside mitigating their negative externalities, ensure their worldwide transformation into universally accessible and affordable</w:t>
      </w:r>
      <w:r w:rsidR="000839AA">
        <w:rPr>
          <w:lang w:eastAsia="en-GB"/>
        </w:rPr>
        <w:t xml:space="preserve"> </w:t>
      </w:r>
      <w:r w:rsidR="00CD16C6" w:rsidRPr="0074075C">
        <w:rPr>
          <w:lang w:eastAsia="en-GB"/>
        </w:rPr>
        <w:t xml:space="preserve">mobility for individuals and society. Moreover, transport systems of the future should provide safer and more </w:t>
      </w:r>
      <w:r w:rsidR="00C20492" w:rsidRPr="0074075C">
        <w:rPr>
          <w:lang w:eastAsia="en-GB"/>
        </w:rPr>
        <w:t>secure</w:t>
      </w:r>
      <w:r w:rsidR="00C20492">
        <w:rPr>
          <w:lang w:eastAsia="en-GB"/>
        </w:rPr>
        <w:t xml:space="preserve"> </w:t>
      </w:r>
      <w:r w:rsidR="00C20492" w:rsidRPr="0074075C">
        <w:rPr>
          <w:lang w:eastAsia="en-GB"/>
        </w:rPr>
        <w:t>systems</w:t>
      </w:r>
      <w:r w:rsidR="00CD16C6" w:rsidRPr="0074075C">
        <w:rPr>
          <w:lang w:eastAsia="en-GB"/>
        </w:rPr>
        <w:t xml:space="preserve"> that have minimal </w:t>
      </w:r>
      <w:proofErr w:type="spellStart"/>
      <w:r w:rsidR="00C20492" w:rsidRPr="0074075C">
        <w:rPr>
          <w:lang w:eastAsia="en-GB"/>
        </w:rPr>
        <w:t>spillover</w:t>
      </w:r>
      <w:proofErr w:type="spellEnd"/>
      <w:r w:rsidR="00CD16C6" w:rsidRPr="0074075C">
        <w:rPr>
          <w:lang w:eastAsia="en-GB"/>
        </w:rPr>
        <w:t xml:space="preserve"> effects on our natural and social environment. </w:t>
      </w:r>
      <w:r w:rsidR="00C12390">
        <w:rPr>
          <w:lang w:eastAsia="en-GB"/>
        </w:rPr>
        <w:t>T</w:t>
      </w:r>
      <w:r w:rsidR="00CD16C6" w:rsidRPr="0074075C">
        <w:rPr>
          <w:lang w:eastAsia="en-GB"/>
        </w:rPr>
        <w:t>ransport systems development has been brought to a crossroads</w:t>
      </w:r>
      <w:r w:rsidR="00CD16C6" w:rsidRPr="0074075C" w:rsidDel="00575579">
        <w:rPr>
          <w:lang w:eastAsia="en-GB"/>
        </w:rPr>
        <w:t xml:space="preserve"> </w:t>
      </w:r>
      <w:r w:rsidR="00CD16C6" w:rsidRPr="0074075C">
        <w:rPr>
          <w:lang w:eastAsia="en-GB"/>
        </w:rPr>
        <w:t>by ITS technologies and applications. ITS offer a paradigm change and present an opportunity to bridge the sectoral sustainable development gap through enhanced Information and Communication Technology (ICT) supported solutions.</w:t>
      </w:r>
    </w:p>
    <w:p w:rsidR="00CD16C6" w:rsidRPr="0074075C" w:rsidRDefault="007414FB" w:rsidP="00CD16C6">
      <w:pPr>
        <w:pStyle w:val="SingleTxtG"/>
        <w:rPr>
          <w:lang w:eastAsia="en-GB"/>
        </w:rPr>
      </w:pPr>
      <w:r>
        <w:rPr>
          <w:lang w:eastAsia="en-GB"/>
        </w:rPr>
        <w:t>3</w:t>
      </w:r>
      <w:r w:rsidR="00CD16C6" w:rsidRPr="0074075C">
        <w:rPr>
          <w:lang w:eastAsia="en-GB"/>
        </w:rPr>
        <w:t>.</w:t>
      </w:r>
      <w:r w:rsidR="00CD16C6" w:rsidRPr="0074075C">
        <w:rPr>
          <w:lang w:eastAsia="en-GB"/>
        </w:rPr>
        <w:tab/>
        <w:t xml:space="preserve">ITS have been identified as key enablers of the transport </w:t>
      </w:r>
      <w:r w:rsidR="00C20492" w:rsidRPr="0074075C">
        <w:rPr>
          <w:lang w:eastAsia="en-GB"/>
        </w:rPr>
        <w:t xml:space="preserve">sectors’ </w:t>
      </w:r>
      <w:r w:rsidR="00C20492">
        <w:rPr>
          <w:lang w:eastAsia="en-GB"/>
        </w:rPr>
        <w:t>role</w:t>
      </w:r>
      <w:r w:rsidR="009D187D">
        <w:rPr>
          <w:lang w:eastAsia="en-GB"/>
        </w:rPr>
        <w:t xml:space="preserve"> e.g. </w:t>
      </w:r>
      <w:r w:rsidR="00CD16C6" w:rsidRPr="0074075C">
        <w:rPr>
          <w:lang w:eastAsia="en-GB"/>
        </w:rPr>
        <w:t xml:space="preserve">in achieving SDG 13 - Climate Change Adaptation and Mitigation goals. The Ministers’ Round Table held during the twenty-second Intelligent Transport Systems World Congress in Bordeaux, France, </w:t>
      </w:r>
      <w:r w:rsidR="00DE7645">
        <w:rPr>
          <w:lang w:eastAsia="en-GB"/>
        </w:rPr>
        <w:t xml:space="preserve">5-9 </w:t>
      </w:r>
      <w:r w:rsidR="00CD16C6" w:rsidRPr="0074075C">
        <w:rPr>
          <w:lang w:eastAsia="en-GB"/>
        </w:rPr>
        <w:t>October 2015, led to the adoption of the 2015 Bordeaux Manifesto “ITS Addressing Climate Change”</w:t>
      </w:r>
      <w:r w:rsidR="00DE4DE0" w:rsidRPr="0074075C">
        <w:rPr>
          <w:rStyle w:val="FootnoteReference"/>
          <w:lang w:eastAsia="en-GB"/>
        </w:rPr>
        <w:footnoteReference w:id="2"/>
      </w:r>
      <w:r w:rsidR="00CD16C6" w:rsidRPr="0074075C">
        <w:rPr>
          <w:lang w:eastAsia="en-GB"/>
        </w:rPr>
        <w:t>, which clearly acknowledges the indispensable role of ITS in transport systems impact on achieving SDG targets, particularly within the scope of climate action, stating that:</w:t>
      </w:r>
    </w:p>
    <w:p w:rsidR="00CD16C6" w:rsidRPr="0074075C" w:rsidRDefault="00CD16C6" w:rsidP="003802F5">
      <w:pPr>
        <w:pStyle w:val="SingleTxtG"/>
        <w:ind w:firstLine="567"/>
        <w:rPr>
          <w:lang w:eastAsia="en-GB"/>
        </w:rPr>
      </w:pPr>
      <w:r w:rsidRPr="0074075C">
        <w:rPr>
          <w:lang w:eastAsia="en-GB"/>
        </w:rPr>
        <w:t>(a)</w:t>
      </w:r>
      <w:r w:rsidRPr="0074075C">
        <w:rPr>
          <w:lang w:eastAsia="en-GB"/>
        </w:rPr>
        <w:tab/>
        <w:t>ITS can contribute to reducing CO</w:t>
      </w:r>
      <w:r w:rsidRPr="0074075C">
        <w:rPr>
          <w:vertAlign w:val="subscript"/>
          <w:lang w:eastAsia="en-GB"/>
        </w:rPr>
        <w:t>2</w:t>
      </w:r>
      <w:r w:rsidRPr="0074075C">
        <w:rPr>
          <w:lang w:eastAsia="en-GB"/>
        </w:rPr>
        <w:t xml:space="preserve"> emissions and the pollution of air in cities by </w:t>
      </w:r>
      <w:r w:rsidRPr="003802F5">
        <w:t>optimising</w:t>
      </w:r>
      <w:r w:rsidRPr="0074075C">
        <w:rPr>
          <w:lang w:eastAsia="en-GB"/>
        </w:rPr>
        <w:t xml:space="preserve"> network management, encouraging eco-driving and encouraging a shift from private personal cars to collective public transport and lower carbon transport modes.</w:t>
      </w:r>
    </w:p>
    <w:p w:rsidR="00CD16C6" w:rsidRPr="0074075C" w:rsidRDefault="00CD16C6" w:rsidP="003802F5">
      <w:pPr>
        <w:pStyle w:val="SingleTxtG"/>
        <w:ind w:firstLine="567"/>
        <w:rPr>
          <w:lang w:eastAsia="en-GB"/>
        </w:rPr>
      </w:pPr>
      <w:r w:rsidRPr="0074075C">
        <w:rPr>
          <w:lang w:eastAsia="en-GB"/>
        </w:rPr>
        <w:t>(b)</w:t>
      </w:r>
      <w:r w:rsidRPr="0074075C">
        <w:rPr>
          <w:lang w:eastAsia="en-GB"/>
        </w:rPr>
        <w:tab/>
        <w:t>ITS can link in the integrated approach needed to reduce the CO</w:t>
      </w:r>
      <w:r w:rsidRPr="0074075C">
        <w:rPr>
          <w:vertAlign w:val="subscript"/>
          <w:lang w:eastAsia="en-GB"/>
        </w:rPr>
        <w:t>2</w:t>
      </w:r>
      <w:r w:rsidRPr="0074075C">
        <w:rPr>
          <w:lang w:eastAsia="en-GB"/>
        </w:rPr>
        <w:t xml:space="preserve"> emissions services </w:t>
      </w:r>
      <w:r w:rsidRPr="003802F5">
        <w:t>such</w:t>
      </w:r>
      <w:r w:rsidRPr="0074075C">
        <w:rPr>
          <w:lang w:eastAsia="en-GB"/>
        </w:rPr>
        <w:t xml:space="preserve"> </w:t>
      </w:r>
      <w:proofErr w:type="gramStart"/>
      <w:r w:rsidRPr="0074075C">
        <w:rPr>
          <w:lang w:eastAsia="en-GB"/>
        </w:rPr>
        <w:t>as:</w:t>
      </w:r>
      <w:proofErr w:type="gramEnd"/>
      <w:r w:rsidRPr="0074075C">
        <w:rPr>
          <w:lang w:eastAsia="en-GB"/>
        </w:rPr>
        <w:t xml:space="preserve"> connected and autonomous vehicles; satellite-based applications for transport; electro-mobility; parking and park-and-ride management; urban logistics and eco-traffic management.</w:t>
      </w:r>
    </w:p>
    <w:p w:rsidR="00CD16C6" w:rsidRPr="0074075C" w:rsidRDefault="00CD16C6" w:rsidP="00CD16C6">
      <w:pPr>
        <w:pStyle w:val="HChG"/>
        <w:rPr>
          <w:lang w:eastAsia="en-GB"/>
        </w:rPr>
      </w:pPr>
      <w:r w:rsidRPr="0074075C">
        <w:rPr>
          <w:lang w:eastAsia="en-GB"/>
        </w:rPr>
        <w:tab/>
        <w:t>II.</w:t>
      </w:r>
      <w:r w:rsidRPr="0074075C">
        <w:rPr>
          <w:lang w:eastAsia="en-GB"/>
        </w:rPr>
        <w:tab/>
      </w:r>
      <w:proofErr w:type="gramStart"/>
      <w:r w:rsidRPr="0074075C">
        <w:rPr>
          <w:lang w:eastAsia="en-GB"/>
        </w:rPr>
        <w:t>ITS</w:t>
      </w:r>
      <w:proofErr w:type="gramEnd"/>
      <w:r w:rsidRPr="0074075C">
        <w:rPr>
          <w:lang w:eastAsia="en-GB"/>
        </w:rPr>
        <w:t xml:space="preserve"> at a glance</w:t>
      </w:r>
    </w:p>
    <w:p w:rsidR="00CD16C6" w:rsidRPr="0074075C" w:rsidRDefault="007414FB" w:rsidP="00CD16C6">
      <w:pPr>
        <w:pStyle w:val="SingleTxtG"/>
      </w:pPr>
      <w:r>
        <w:rPr>
          <w:lang w:eastAsia="en-GB"/>
        </w:rPr>
        <w:t>4</w:t>
      </w:r>
      <w:r w:rsidR="00CD16C6" w:rsidRPr="0074075C">
        <w:rPr>
          <w:lang w:eastAsia="en-GB"/>
        </w:rPr>
        <w:t>.</w:t>
      </w:r>
      <w:r w:rsidR="00CD16C6" w:rsidRPr="0074075C">
        <w:rPr>
          <w:lang w:eastAsia="en-GB"/>
        </w:rPr>
        <w:tab/>
        <w:t>ITS have been described as advanced applications which aim to provide innovative services relating to different modes of transport and traffic management and enable users to be better informed and make safer, more coordinated and “smarter” use of transport networks (EU 2010). Their application helps in achieving sustainable mobility by making transport more efficient, safer and env</w:t>
      </w:r>
      <w:r w:rsidR="00CD16C6" w:rsidRPr="00DE7645">
        <w:rPr>
          <w:lang w:eastAsia="en-GB"/>
        </w:rPr>
        <w:t>ironmentally friendly. ITS can also be defined as</w:t>
      </w:r>
      <w:r w:rsidR="00CD16C6" w:rsidRPr="00451C1C">
        <w:t xml:space="preserve"> </w:t>
      </w:r>
      <w:r w:rsidR="004E5F59">
        <w:t>‘</w:t>
      </w:r>
      <w:r w:rsidR="004E5F59" w:rsidRPr="00EE20D0">
        <w:t xml:space="preserve">any </w:t>
      </w:r>
      <w:r w:rsidR="004E5F59" w:rsidRPr="00EE20D0">
        <w:lastRenderedPageBreak/>
        <w:t>system or service that makes the movement of people or goods more efficient and economical, thus more “intelligent”’</w:t>
      </w:r>
      <w:r w:rsidR="00CD16C6" w:rsidRPr="00DE7645">
        <w:t xml:space="preserve"> </w:t>
      </w:r>
      <w:r w:rsidR="00CD16C6" w:rsidRPr="0074075C">
        <w:t>(U</w:t>
      </w:r>
      <w:r w:rsidR="00F760C8">
        <w:t xml:space="preserve">nited </w:t>
      </w:r>
      <w:r w:rsidR="00CD16C6" w:rsidRPr="0074075C">
        <w:t>N</w:t>
      </w:r>
      <w:r w:rsidR="00F760C8">
        <w:t>ations,</w:t>
      </w:r>
      <w:r w:rsidR="00CD16C6" w:rsidRPr="0074075C">
        <w:t xml:space="preserve"> 2014).</w:t>
      </w:r>
    </w:p>
    <w:p w:rsidR="00CD16C6" w:rsidRPr="0074075C" w:rsidRDefault="007414FB" w:rsidP="00CD16C6">
      <w:pPr>
        <w:pStyle w:val="SingleTxtG"/>
      </w:pPr>
      <w:r>
        <w:t>5</w:t>
      </w:r>
      <w:r w:rsidR="00CD16C6" w:rsidRPr="0074075C">
        <w:t>.</w:t>
      </w:r>
      <w:r w:rsidR="00CD16C6" w:rsidRPr="0074075C">
        <w:tab/>
        <w:t>ITS integrate telecommunications, electronics and information technologies (IT) with transport engineering to plan, design, operate, maintain and manage transport systems. The application of ICT across transport modes significantly contributes to improving usage of existing transport networks, environmental performance, efficiency, including energy efficiency, passenger and freight mobility, safety and security, including</w:t>
      </w:r>
      <w:r w:rsidR="000839AA">
        <w:t xml:space="preserve"> </w:t>
      </w:r>
      <w:r w:rsidR="00CD16C6" w:rsidRPr="0074075C">
        <w:t xml:space="preserve">the transport of dangerous goods, </w:t>
      </w:r>
      <w:r w:rsidR="00F760C8">
        <w:t>while</w:t>
      </w:r>
      <w:r w:rsidR="00F760C8" w:rsidRPr="0074075C">
        <w:t xml:space="preserve"> </w:t>
      </w:r>
      <w:r w:rsidR="00CD16C6" w:rsidRPr="0074075C">
        <w:t>at the same time contributing to economic growth as well as increased levels of competitiveness and employment (EU 2010).</w:t>
      </w:r>
    </w:p>
    <w:p w:rsidR="00CD16C6" w:rsidRPr="0074075C" w:rsidRDefault="007414FB" w:rsidP="00CD16C6">
      <w:pPr>
        <w:pStyle w:val="SingleTxtG"/>
        <w:rPr>
          <w:szCs w:val="24"/>
          <w:lang w:eastAsia="en-GB"/>
        </w:rPr>
      </w:pPr>
      <w:r>
        <w:t>6</w:t>
      </w:r>
      <w:r w:rsidR="00CD16C6" w:rsidRPr="0074075C">
        <w:t>.</w:t>
      </w:r>
      <w:r w:rsidR="00CD16C6" w:rsidRPr="0074075C">
        <w:tab/>
        <w:t xml:space="preserve">ITS provide state-of-the-art customized devices that can relay real-time information to road users and law enforcement agencies. In-vehicle and roadside ITS include all technologies related to driver assistance and driving automation, traffic management and vehicle control, that improve vehicle and infrastructure safety, and enable smooth and comfortable transportation by making use of specific vehicle functions and interacting with roadside infrastructure and other vehicles. </w:t>
      </w:r>
      <w:r w:rsidR="00CD16C6" w:rsidRPr="0074075C">
        <w:rPr>
          <w:szCs w:val="24"/>
          <w:lang w:eastAsia="en-GB"/>
        </w:rPr>
        <w:t>Solutions such as stand-alone driver assistance can help drivers to, for example, maintain a safe speed and distance, drive within the lane, avoid overtaking in critical situations and safely pass intersections and thus have positive effects on safety and traffic management. However, benefits are further magnified if individual vehicles were able to continuously communicate with each other or with the road infrastructure.</w:t>
      </w:r>
    </w:p>
    <w:p w:rsidR="00CD16C6" w:rsidRPr="0074075C" w:rsidRDefault="007414FB" w:rsidP="00CD16C6">
      <w:pPr>
        <w:pStyle w:val="SingleTxtG"/>
        <w:rPr>
          <w:szCs w:val="24"/>
          <w:lang w:eastAsia="en-GB"/>
        </w:rPr>
      </w:pPr>
      <w:r>
        <w:rPr>
          <w:szCs w:val="24"/>
          <w:lang w:eastAsia="en-GB"/>
        </w:rPr>
        <w:t>7</w:t>
      </w:r>
      <w:r w:rsidR="00CD16C6" w:rsidRPr="0074075C">
        <w:rPr>
          <w:szCs w:val="24"/>
          <w:lang w:eastAsia="en-GB"/>
        </w:rPr>
        <w:t>.</w:t>
      </w:r>
      <w:r w:rsidR="00CD16C6" w:rsidRPr="0074075C">
        <w:rPr>
          <w:szCs w:val="24"/>
          <w:lang w:eastAsia="en-GB"/>
        </w:rPr>
        <w:tab/>
        <w:t>Over recent years, the emphasis in intelligent vehicle research has turned to Cooperative ITS (C-ITS) in which the vehicles communicate with each other and/or with the infrastructure. Cooperative ITS can greatly increase the quality and reliability of information available about vehicles, their location and the road environment. Cooperative ITS improve existing services and will lead to new ones for transport systems users, which, in turn, will bring major social and economic benefits and lead to greater transport efficiency and increased safety.</w:t>
      </w:r>
    </w:p>
    <w:p w:rsidR="00CD16C6" w:rsidRPr="0074075C" w:rsidRDefault="007414FB" w:rsidP="00CD16C6">
      <w:pPr>
        <w:pStyle w:val="SingleTxtG"/>
        <w:rPr>
          <w:szCs w:val="24"/>
          <w:lang w:eastAsia="en-GB"/>
        </w:rPr>
      </w:pPr>
      <w:r>
        <w:rPr>
          <w:szCs w:val="24"/>
          <w:lang w:eastAsia="en-GB"/>
        </w:rPr>
        <w:t>8</w:t>
      </w:r>
      <w:r w:rsidR="00CD16C6" w:rsidRPr="0074075C">
        <w:rPr>
          <w:szCs w:val="24"/>
          <w:lang w:eastAsia="en-GB"/>
        </w:rPr>
        <w:t>.</w:t>
      </w:r>
      <w:r w:rsidR="00CD16C6" w:rsidRPr="0074075C">
        <w:rPr>
          <w:szCs w:val="24"/>
          <w:lang w:eastAsia="en-GB"/>
        </w:rPr>
        <w:tab/>
        <w:t xml:space="preserve">ITS also provide transport system wide integration through applications such as door-to-door ticketing for commuters. Already available applications are offering optimization of transport routes for individuals across transport modes, providing recommendations for most efficient mix of transport services to get from home to a destination within a city or across continents, and to do it </w:t>
      </w:r>
      <w:r w:rsidR="00F760C8">
        <w:rPr>
          <w:szCs w:val="24"/>
          <w:lang w:eastAsia="en-GB"/>
        </w:rPr>
        <w:t xml:space="preserve">by </w:t>
      </w:r>
      <w:r w:rsidR="00CD16C6" w:rsidRPr="0074075C">
        <w:rPr>
          <w:szCs w:val="24"/>
          <w:lang w:eastAsia="en-GB"/>
        </w:rPr>
        <w:t>purchasing a single electronic ticket. The same concepts can be developed and applied for freight transport, offering optimisation of transport routes and modes from production to consumption, thereby creating added value for the manufacturer and for the customer, while limiting environmental impact.</w:t>
      </w:r>
    </w:p>
    <w:p w:rsidR="00CD16C6" w:rsidRPr="0074075C" w:rsidRDefault="00CD16C6" w:rsidP="00CD16C6">
      <w:pPr>
        <w:pStyle w:val="HChG"/>
        <w:rPr>
          <w:lang w:eastAsia="en-GB"/>
        </w:rPr>
      </w:pPr>
      <w:r w:rsidRPr="0074075C">
        <w:rPr>
          <w:lang w:eastAsia="en-GB"/>
        </w:rPr>
        <w:tab/>
        <w:t>I</w:t>
      </w:r>
      <w:r w:rsidR="009D187D">
        <w:rPr>
          <w:lang w:eastAsia="en-GB"/>
        </w:rPr>
        <w:t>II</w:t>
      </w:r>
      <w:r w:rsidRPr="0074075C">
        <w:rPr>
          <w:lang w:eastAsia="en-GB"/>
        </w:rPr>
        <w:t>.</w:t>
      </w:r>
      <w:r w:rsidRPr="0074075C">
        <w:rPr>
          <w:lang w:eastAsia="en-GB"/>
        </w:rPr>
        <w:tab/>
      </w:r>
      <w:r w:rsidR="003F67E0">
        <w:rPr>
          <w:lang w:eastAsia="en-GB"/>
        </w:rPr>
        <w:t xml:space="preserve">The </w:t>
      </w:r>
      <w:r w:rsidR="003F67E0" w:rsidRPr="0074075C">
        <w:rPr>
          <w:lang w:eastAsia="en-GB"/>
        </w:rPr>
        <w:t xml:space="preserve">role </w:t>
      </w:r>
      <w:r w:rsidR="00EE20D0">
        <w:rPr>
          <w:lang w:eastAsia="en-GB"/>
        </w:rPr>
        <w:t xml:space="preserve">of </w:t>
      </w:r>
      <w:r w:rsidRPr="0074075C">
        <w:rPr>
          <w:lang w:eastAsia="en-GB"/>
        </w:rPr>
        <w:t>ITS in meeting SDG targets</w:t>
      </w:r>
    </w:p>
    <w:p w:rsidR="00CD16C6" w:rsidRPr="0074075C" w:rsidRDefault="007414FB" w:rsidP="00CD16C6">
      <w:pPr>
        <w:pStyle w:val="SingleTxtG"/>
      </w:pPr>
      <w:proofErr w:type="gramStart"/>
      <w:r>
        <w:t>9</w:t>
      </w:r>
      <w:r w:rsidR="00CD16C6" w:rsidRPr="0074075C">
        <w:t>.</w:t>
      </w:r>
      <w:r w:rsidR="00CD16C6" w:rsidRPr="0074075C">
        <w:tab/>
        <w:t>ITS can</w:t>
      </w:r>
      <w:r w:rsidR="00F760C8">
        <w:t>,</w:t>
      </w:r>
      <w:r w:rsidR="00CD16C6" w:rsidRPr="0074075C">
        <w:t xml:space="preserve"> on the one hand</w:t>
      </w:r>
      <w:r w:rsidR="00F760C8">
        <w:t>,</w:t>
      </w:r>
      <w:r w:rsidR="00CD16C6" w:rsidRPr="0074075C">
        <w:t xml:space="preserve"> be viewed as enablers of policies designed to mitigate negative externalities of transport systems (through congestion charges, emission fees, etc.) while on the other hand as vehicles for facilitating more equitable public mobility (for pedestrians, </w:t>
      </w:r>
      <w:r w:rsidR="00EE20D0">
        <w:t>cyclists</w:t>
      </w:r>
      <w:r w:rsidR="00EE20D0" w:rsidRPr="0074075C">
        <w:t xml:space="preserve"> </w:t>
      </w:r>
      <w:r w:rsidR="00CD16C6" w:rsidRPr="0074075C">
        <w:t xml:space="preserve">and vulnerable </w:t>
      </w:r>
      <w:r w:rsidR="00EE20D0">
        <w:t xml:space="preserve">road </w:t>
      </w:r>
      <w:r w:rsidR="00C20492">
        <w:t xml:space="preserve">users </w:t>
      </w:r>
      <w:r w:rsidR="00C20492" w:rsidRPr="0074075C">
        <w:t>in</w:t>
      </w:r>
      <w:r w:rsidR="00CD16C6" w:rsidRPr="0074075C">
        <w:t xml:space="preserve"> automobile dominated traffic environments)</w:t>
      </w:r>
      <w:r w:rsidR="00EE20D0">
        <w:t>, as well as</w:t>
      </w:r>
      <w:r w:rsidR="000839AA">
        <w:t xml:space="preserve"> </w:t>
      </w:r>
      <w:r w:rsidR="00CD16C6" w:rsidRPr="0074075C">
        <w:t>more efficient trade of goods (e.g. e-CMR).</w:t>
      </w:r>
      <w:proofErr w:type="gramEnd"/>
      <w:r w:rsidR="00CD16C6" w:rsidRPr="0074075C">
        <w:rPr>
          <w:lang w:eastAsia="en-GB"/>
        </w:rPr>
        <w:t xml:space="preserve"> </w:t>
      </w:r>
    </w:p>
    <w:p w:rsidR="00A1233A" w:rsidRPr="0074075C" w:rsidRDefault="007414FB" w:rsidP="00CD16C6">
      <w:pPr>
        <w:pStyle w:val="SingleTxtG"/>
        <w:rPr>
          <w:lang w:eastAsia="en-GB"/>
        </w:rPr>
      </w:pPr>
      <w:r>
        <w:rPr>
          <w:lang w:eastAsia="en-GB"/>
        </w:rPr>
        <w:t>10</w:t>
      </w:r>
      <w:r w:rsidR="00CD16C6" w:rsidRPr="0074075C">
        <w:rPr>
          <w:lang w:eastAsia="en-GB"/>
        </w:rPr>
        <w:t>.</w:t>
      </w:r>
      <w:r w:rsidR="00CD16C6" w:rsidRPr="0074075C">
        <w:rPr>
          <w:lang w:eastAsia="en-GB"/>
        </w:rPr>
        <w:tab/>
        <w:t xml:space="preserve">ITS </w:t>
      </w:r>
      <w:r w:rsidR="009D187D">
        <w:rPr>
          <w:lang w:eastAsia="en-GB"/>
        </w:rPr>
        <w:t>can be</w:t>
      </w:r>
      <w:r w:rsidR="00CA6C62">
        <w:rPr>
          <w:lang w:eastAsia="en-GB"/>
        </w:rPr>
        <w:t xml:space="preserve"> </w:t>
      </w:r>
      <w:r w:rsidR="00CD16C6" w:rsidRPr="0074075C">
        <w:rPr>
          <w:lang w:eastAsia="en-GB"/>
        </w:rPr>
        <w:t xml:space="preserve">the catalyst behind </w:t>
      </w:r>
      <w:r>
        <w:rPr>
          <w:lang w:eastAsia="en-GB"/>
        </w:rPr>
        <w:t>achieving</w:t>
      </w:r>
      <w:r w:rsidRPr="0074075C">
        <w:rPr>
          <w:lang w:eastAsia="en-GB"/>
        </w:rPr>
        <w:t xml:space="preserve"> </w:t>
      </w:r>
      <w:r w:rsidR="009D187D">
        <w:rPr>
          <w:lang w:eastAsia="en-GB"/>
        </w:rPr>
        <w:t>sustainable mobility</w:t>
      </w:r>
      <w:r w:rsidR="00CA6C62">
        <w:rPr>
          <w:lang w:eastAsia="en-GB"/>
        </w:rPr>
        <w:t xml:space="preserve"> </w:t>
      </w:r>
      <w:r w:rsidR="009D187D">
        <w:rPr>
          <w:lang w:eastAsia="en-GB"/>
        </w:rPr>
        <w:t xml:space="preserve">and at the same time </w:t>
      </w:r>
      <w:r w:rsidR="00CD16C6" w:rsidRPr="0074075C">
        <w:rPr>
          <w:lang w:eastAsia="en-GB"/>
        </w:rPr>
        <w:t xml:space="preserve">maximising efficiency of transport </w:t>
      </w:r>
      <w:r w:rsidR="009D187D">
        <w:rPr>
          <w:lang w:eastAsia="en-GB"/>
        </w:rPr>
        <w:t xml:space="preserve">services and infrastructure. </w:t>
      </w:r>
      <w:r w:rsidR="00CD16C6" w:rsidRPr="0074075C">
        <w:rPr>
          <w:lang w:eastAsia="en-GB"/>
        </w:rPr>
        <w:t xml:space="preserve">The table below </w:t>
      </w:r>
      <w:r w:rsidR="00DE7645">
        <w:rPr>
          <w:lang w:eastAsia="en-GB"/>
        </w:rPr>
        <w:t>identifies</w:t>
      </w:r>
      <w:r w:rsidR="00DE7645" w:rsidRPr="0074075C">
        <w:rPr>
          <w:lang w:eastAsia="en-GB"/>
        </w:rPr>
        <w:t xml:space="preserve"> </w:t>
      </w:r>
      <w:r w:rsidR="00CD16C6" w:rsidRPr="0074075C">
        <w:rPr>
          <w:lang w:eastAsia="en-GB"/>
        </w:rPr>
        <w:t xml:space="preserve">a number of specific ITS applications that can directly contribute to concrete </w:t>
      </w:r>
      <w:r w:rsidR="009D187D">
        <w:rPr>
          <w:lang w:eastAsia="en-GB"/>
        </w:rPr>
        <w:t xml:space="preserve">SDG </w:t>
      </w:r>
      <w:r w:rsidR="00CD16C6" w:rsidRPr="0074075C">
        <w:rPr>
          <w:lang w:eastAsia="en-GB"/>
        </w:rPr>
        <w:t>targets</w:t>
      </w:r>
      <w:r w:rsidR="009D187D">
        <w:rPr>
          <w:lang w:eastAsia="en-GB"/>
        </w:rPr>
        <w:t xml:space="preserve"> and thus be essential for sustainable mobility.</w:t>
      </w:r>
      <w:r w:rsidR="00CA6C62">
        <w:rPr>
          <w:lang w:eastAsia="en-GB"/>
        </w:rPr>
        <w:t xml:space="preserve"> </w:t>
      </w:r>
    </w:p>
    <w:p w:rsidR="00626B0A" w:rsidRPr="0074075C" w:rsidRDefault="00626B0A" w:rsidP="00CD16C6">
      <w:pPr>
        <w:pStyle w:val="SingleTxtG"/>
        <w:rPr>
          <w:lang w:eastAsia="en-GB"/>
        </w:rPr>
        <w:sectPr w:rsidR="00626B0A" w:rsidRPr="0074075C"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rsidR="00626B0A" w:rsidRPr="0074075C" w:rsidRDefault="00626B0A" w:rsidP="00626B0A">
      <w:pPr>
        <w:spacing w:after="120"/>
        <w:rPr>
          <w:rStyle w:val="Emphasis"/>
        </w:rPr>
      </w:pPr>
      <w:r w:rsidRPr="0074075C">
        <w:rPr>
          <w:rStyle w:val="Emphasis"/>
          <w:i w:val="0"/>
        </w:rPr>
        <w:lastRenderedPageBreak/>
        <w:t>Table 1</w:t>
      </w:r>
      <w:r w:rsidRPr="0074075C">
        <w:rPr>
          <w:rStyle w:val="Emphasis"/>
        </w:rPr>
        <w:br/>
      </w:r>
      <w:r w:rsidRPr="0074075C">
        <w:rPr>
          <w:rStyle w:val="Emphasis"/>
          <w:b/>
          <w:i w:val="0"/>
        </w:rPr>
        <w:t xml:space="preserve">Transport and </w:t>
      </w:r>
      <w:r w:rsidR="00F760C8">
        <w:rPr>
          <w:rStyle w:val="Emphasis"/>
          <w:b/>
          <w:i w:val="0"/>
        </w:rPr>
        <w:t xml:space="preserve">the role of </w:t>
      </w:r>
      <w:r w:rsidRPr="0074075C">
        <w:rPr>
          <w:rStyle w:val="Emphasis"/>
          <w:b/>
          <w:i w:val="0"/>
        </w:rPr>
        <w:t>ITS in achieving Sustainable Development Goals</w:t>
      </w:r>
    </w:p>
    <w:tbl>
      <w:tblPr>
        <w:tblStyle w:val="TableGrid"/>
        <w:tblW w:w="5000" w:type="pct"/>
        <w:tblLook w:val="04A0" w:firstRow="1" w:lastRow="0" w:firstColumn="1" w:lastColumn="0" w:noHBand="0" w:noVBand="1"/>
      </w:tblPr>
      <w:tblGrid>
        <w:gridCol w:w="1481"/>
        <w:gridCol w:w="1321"/>
        <w:gridCol w:w="10074"/>
      </w:tblGrid>
      <w:tr w:rsidR="00626B0A" w:rsidRPr="0074075C" w:rsidTr="00F436CC">
        <w:trPr>
          <w:trHeight w:val="983"/>
          <w:tblHeader/>
        </w:trPr>
        <w:tc>
          <w:tcPr>
            <w:tcW w:w="575" w:type="pct"/>
            <w:vMerge w:val="restart"/>
            <w:tcBorders>
              <w:top w:val="single" w:sz="12" w:space="0" w:color="auto"/>
              <w:left w:val="nil"/>
              <w:bottom w:val="dotted" w:sz="4" w:space="0" w:color="auto"/>
              <w:right w:val="dotted" w:sz="4" w:space="0" w:color="auto"/>
            </w:tcBorders>
            <w:vAlign w:val="center"/>
          </w:tcPr>
          <w:p w:rsidR="00626B0A" w:rsidRPr="0074075C" w:rsidRDefault="00626B0A" w:rsidP="00F436CC">
            <w:pPr>
              <w:rPr>
                <w:b/>
                <w:sz w:val="18"/>
                <w:szCs w:val="18"/>
              </w:rPr>
            </w:pPr>
            <w:r w:rsidRPr="0074075C">
              <w:rPr>
                <w:sz w:val="18"/>
                <w:szCs w:val="18"/>
              </w:rPr>
              <w:object w:dxaOrig="219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71.15pt" o:ole="">
                  <v:imagedata r:id="rId14" o:title=""/>
                </v:shape>
                <o:OLEObject Type="Embed" ProgID="PBrush" ShapeID="_x0000_i1025" DrawAspect="Content" ObjectID="_1511687405" r:id="rId15"/>
              </w:object>
            </w:r>
          </w:p>
        </w:tc>
        <w:tc>
          <w:tcPr>
            <w:tcW w:w="513" w:type="pct"/>
            <w:tcBorders>
              <w:top w:val="single" w:sz="12" w:space="0" w:color="auto"/>
              <w:left w:val="dotted" w:sz="4" w:space="0" w:color="auto"/>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Targets</w:t>
            </w:r>
          </w:p>
        </w:tc>
        <w:tc>
          <w:tcPr>
            <w:tcW w:w="3911" w:type="pct"/>
            <w:tcBorders>
              <w:top w:val="single" w:sz="12" w:space="0" w:color="auto"/>
              <w:left w:val="dotted" w:sz="4" w:space="0" w:color="auto"/>
              <w:bottom w:val="dotted" w:sz="4" w:space="0" w:color="auto"/>
            </w:tcBorders>
          </w:tcPr>
          <w:p w:rsidR="00626B0A" w:rsidRPr="0074075C" w:rsidRDefault="00626B0A" w:rsidP="006F6805">
            <w:pPr>
              <w:spacing w:before="60" w:afterLines="60" w:after="144"/>
              <w:rPr>
                <w:sz w:val="18"/>
                <w:szCs w:val="18"/>
                <w:lang w:eastAsia="en-GB"/>
              </w:rPr>
            </w:pPr>
            <w:r w:rsidRPr="0074075C">
              <w:rPr>
                <w:b/>
                <w:sz w:val="18"/>
                <w:szCs w:val="18"/>
                <w:lang w:eastAsia="en-GB"/>
              </w:rPr>
              <w:t>3.6</w:t>
            </w:r>
            <w:r w:rsidRPr="0074075C">
              <w:rPr>
                <w:sz w:val="18"/>
                <w:szCs w:val="18"/>
                <w:lang w:eastAsia="en-GB"/>
              </w:rPr>
              <w:t xml:space="preserve"> – By 2020, halve the number of global deaths and injuries from road traffic accidents.</w:t>
            </w:r>
          </w:p>
          <w:p w:rsidR="00626B0A" w:rsidRPr="0074075C" w:rsidRDefault="00626B0A" w:rsidP="00A611AC">
            <w:pPr>
              <w:spacing w:before="60" w:afterLines="60" w:after="144"/>
              <w:rPr>
                <w:sz w:val="18"/>
                <w:szCs w:val="18"/>
                <w:lang w:eastAsia="en-GB"/>
              </w:rPr>
            </w:pPr>
            <w:r w:rsidRPr="0074075C">
              <w:rPr>
                <w:b/>
                <w:sz w:val="18"/>
                <w:szCs w:val="18"/>
                <w:lang w:eastAsia="en-GB"/>
              </w:rPr>
              <w:t>3.9</w:t>
            </w:r>
            <w:r w:rsidRPr="0074075C">
              <w:rPr>
                <w:sz w:val="18"/>
                <w:szCs w:val="18"/>
                <w:lang w:eastAsia="en-GB"/>
              </w:rPr>
              <w:t xml:space="preserve"> – By 2030, substantially reduce the number of deaths and illnesses from hazardous chemicals and air, water and soil pollution and contamination.</w:t>
            </w:r>
          </w:p>
        </w:tc>
      </w:tr>
      <w:tr w:rsidR="00626B0A" w:rsidRPr="0074075C" w:rsidTr="00F436CC">
        <w:trPr>
          <w:trHeight w:val="1550"/>
          <w:tblHeader/>
        </w:trPr>
        <w:tc>
          <w:tcPr>
            <w:tcW w:w="575" w:type="pct"/>
            <w:vMerge/>
            <w:tcBorders>
              <w:top w:val="dotted" w:sz="4" w:space="0" w:color="auto"/>
              <w:left w:val="nil"/>
              <w:right w:val="dotted" w:sz="4" w:space="0" w:color="auto"/>
            </w:tcBorders>
          </w:tcPr>
          <w:p w:rsidR="00626B0A" w:rsidRPr="0074075C" w:rsidRDefault="00626B0A" w:rsidP="00F436CC">
            <w:pPr>
              <w:rPr>
                <w:b/>
                <w:sz w:val="18"/>
                <w:szCs w:val="18"/>
              </w:rPr>
            </w:pPr>
          </w:p>
        </w:tc>
        <w:tc>
          <w:tcPr>
            <w:tcW w:w="513" w:type="pct"/>
            <w:tcBorders>
              <w:top w:val="dotted" w:sz="4" w:space="0" w:color="auto"/>
              <w:left w:val="dotted" w:sz="4" w:space="0" w:color="auto"/>
              <w:bottom w:val="single"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Existing ITS solutions</w:t>
            </w:r>
          </w:p>
        </w:tc>
        <w:tc>
          <w:tcPr>
            <w:tcW w:w="3911" w:type="pct"/>
            <w:tcBorders>
              <w:top w:val="dotted" w:sz="4" w:space="0" w:color="auto"/>
              <w:left w:val="dotted" w:sz="4" w:space="0" w:color="auto"/>
              <w:bottom w:val="single" w:sz="4" w:space="0" w:color="auto"/>
            </w:tcBorders>
            <w:vAlign w:val="center"/>
          </w:tcPr>
          <w:p w:rsidR="00626B0A" w:rsidRPr="0074075C" w:rsidRDefault="00626B0A" w:rsidP="006F6805">
            <w:pPr>
              <w:pStyle w:val="ListParagraph"/>
              <w:numPr>
                <w:ilvl w:val="0"/>
                <w:numId w:val="19"/>
              </w:numPr>
              <w:spacing w:before="6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Vehicle Collision Avoidance System uses radar and sometimes laser and camera sensors to detect an imminent crash.</w:t>
            </w:r>
          </w:p>
          <w:p w:rsidR="00626B0A" w:rsidRPr="0074075C" w:rsidRDefault="00626B0A" w:rsidP="00A611AC">
            <w:pPr>
              <w:pStyle w:val="ListParagraph"/>
              <w:numPr>
                <w:ilvl w:val="0"/>
                <w:numId w:val="19"/>
              </w:numPr>
              <w:spacing w:before="6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Driver Assistance Systems based on intelligent sensor technology constantly monitor vehicle surroundings and driving behaviour. They detect potentially dangerous situations at an early stage and actively support the driver</w:t>
            </w:r>
          </w:p>
        </w:tc>
      </w:tr>
      <w:tr w:rsidR="00626B0A" w:rsidRPr="0074075C" w:rsidTr="00F436CC">
        <w:trPr>
          <w:trHeight w:val="914"/>
          <w:tblHeader/>
        </w:trPr>
        <w:tc>
          <w:tcPr>
            <w:tcW w:w="575" w:type="pct"/>
            <w:vMerge w:val="restart"/>
            <w:tcBorders>
              <w:left w:val="nil"/>
              <w:right w:val="dotted" w:sz="4" w:space="0" w:color="auto"/>
            </w:tcBorders>
            <w:vAlign w:val="center"/>
          </w:tcPr>
          <w:p w:rsidR="00626B0A" w:rsidRPr="0074075C" w:rsidRDefault="00626B0A" w:rsidP="00F436CC">
            <w:pPr>
              <w:rPr>
                <w:b/>
                <w:sz w:val="18"/>
                <w:szCs w:val="18"/>
              </w:rPr>
            </w:pPr>
            <w:r w:rsidRPr="0074075C">
              <w:rPr>
                <w:sz w:val="18"/>
                <w:szCs w:val="18"/>
              </w:rPr>
              <w:object w:dxaOrig="2190" w:dyaOrig="2205">
                <v:shape id="_x0000_i1026" type="#_x0000_t75" style="width:69.5pt;height:71.15pt" o:ole="">
                  <v:imagedata r:id="rId16" o:title=""/>
                </v:shape>
                <o:OLEObject Type="Embed" ProgID="PBrush" ShapeID="_x0000_i1026" DrawAspect="Content" ObjectID="_1511687406" r:id="rId17"/>
              </w:object>
            </w:r>
          </w:p>
        </w:tc>
        <w:tc>
          <w:tcPr>
            <w:tcW w:w="513" w:type="pct"/>
            <w:tcBorders>
              <w:top w:val="single" w:sz="4" w:space="0" w:color="auto"/>
              <w:left w:val="dotted" w:sz="4" w:space="0" w:color="auto"/>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Targets</w:t>
            </w:r>
          </w:p>
        </w:tc>
        <w:tc>
          <w:tcPr>
            <w:tcW w:w="3911" w:type="pct"/>
            <w:tcBorders>
              <w:top w:val="single" w:sz="4" w:space="0" w:color="auto"/>
              <w:left w:val="dotted" w:sz="4" w:space="0" w:color="auto"/>
              <w:bottom w:val="dotted" w:sz="4" w:space="0" w:color="auto"/>
            </w:tcBorders>
            <w:vAlign w:val="center"/>
          </w:tcPr>
          <w:p w:rsidR="00626B0A" w:rsidRPr="0074075C" w:rsidRDefault="00626B0A" w:rsidP="006F6805">
            <w:pPr>
              <w:spacing w:before="60" w:afterLines="60" w:after="144"/>
              <w:rPr>
                <w:sz w:val="18"/>
                <w:szCs w:val="18"/>
                <w:lang w:eastAsia="en-GB"/>
              </w:rPr>
            </w:pPr>
            <w:r w:rsidRPr="0074075C">
              <w:rPr>
                <w:b/>
                <w:sz w:val="18"/>
                <w:szCs w:val="18"/>
                <w:lang w:eastAsia="en-GB"/>
              </w:rPr>
              <w:t>7.1</w:t>
            </w:r>
            <w:r w:rsidRPr="0074075C">
              <w:rPr>
                <w:sz w:val="18"/>
                <w:szCs w:val="18"/>
                <w:lang w:eastAsia="en-GB"/>
              </w:rPr>
              <w:t xml:space="preserve"> – By 2030, ensure universal access to affordable, reliable and modern energy services.</w:t>
            </w:r>
          </w:p>
          <w:p w:rsidR="00626B0A" w:rsidRPr="0074075C" w:rsidRDefault="00626B0A" w:rsidP="00A611AC">
            <w:pPr>
              <w:spacing w:before="60" w:afterLines="60" w:after="144"/>
              <w:rPr>
                <w:sz w:val="18"/>
                <w:szCs w:val="18"/>
                <w:lang w:eastAsia="en-GB"/>
              </w:rPr>
            </w:pPr>
            <w:r w:rsidRPr="0074075C">
              <w:rPr>
                <w:b/>
                <w:sz w:val="18"/>
                <w:szCs w:val="18"/>
                <w:lang w:eastAsia="en-GB"/>
              </w:rPr>
              <w:t>7.2</w:t>
            </w:r>
            <w:r w:rsidRPr="0074075C">
              <w:rPr>
                <w:sz w:val="18"/>
                <w:szCs w:val="18"/>
                <w:lang w:eastAsia="en-GB"/>
              </w:rPr>
              <w:t xml:space="preserve"> – By 2030, increase substantially the share of renewable energy in the global energy mix.</w:t>
            </w:r>
          </w:p>
          <w:p w:rsidR="00626B0A" w:rsidRPr="0074075C" w:rsidRDefault="00626B0A" w:rsidP="00A611AC">
            <w:pPr>
              <w:pStyle w:val="ListParagraph"/>
              <w:spacing w:before="60" w:afterLines="60" w:after="144"/>
              <w:ind w:left="0"/>
              <w:contextualSpacing w:val="0"/>
              <w:rPr>
                <w:rFonts w:ascii="Times New Roman" w:hAnsi="Times New Roman"/>
                <w:sz w:val="18"/>
                <w:szCs w:val="18"/>
              </w:rPr>
            </w:pPr>
            <w:r w:rsidRPr="0074075C">
              <w:rPr>
                <w:rFonts w:ascii="Times New Roman" w:eastAsia="Times New Roman" w:hAnsi="Times New Roman"/>
                <w:b/>
                <w:sz w:val="18"/>
                <w:szCs w:val="18"/>
                <w:lang w:eastAsia="en-GB"/>
              </w:rPr>
              <w:t>7.3</w:t>
            </w:r>
            <w:r w:rsidRPr="0074075C">
              <w:rPr>
                <w:rFonts w:ascii="Times New Roman" w:eastAsia="Times New Roman" w:hAnsi="Times New Roman"/>
                <w:sz w:val="18"/>
                <w:szCs w:val="18"/>
                <w:lang w:eastAsia="en-GB"/>
              </w:rPr>
              <w:t xml:space="preserve"> – By 2030, double the global rate of improvement in energy efficiency.</w:t>
            </w:r>
          </w:p>
        </w:tc>
      </w:tr>
      <w:tr w:rsidR="00626B0A" w:rsidRPr="0074075C" w:rsidTr="00F436CC">
        <w:trPr>
          <w:trHeight w:val="1550"/>
          <w:tblHeader/>
        </w:trPr>
        <w:tc>
          <w:tcPr>
            <w:tcW w:w="575" w:type="pct"/>
            <w:vMerge/>
            <w:tcBorders>
              <w:left w:val="nil"/>
              <w:right w:val="dotted" w:sz="4" w:space="0" w:color="auto"/>
            </w:tcBorders>
          </w:tcPr>
          <w:p w:rsidR="00626B0A" w:rsidRPr="0074075C" w:rsidRDefault="00626B0A" w:rsidP="00F436CC">
            <w:pPr>
              <w:rPr>
                <w:b/>
                <w:sz w:val="18"/>
                <w:szCs w:val="18"/>
              </w:rPr>
            </w:pPr>
          </w:p>
        </w:tc>
        <w:tc>
          <w:tcPr>
            <w:tcW w:w="513" w:type="pct"/>
            <w:tcBorders>
              <w:top w:val="dotted" w:sz="4" w:space="0" w:color="auto"/>
              <w:left w:val="dotted" w:sz="4" w:space="0" w:color="auto"/>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Existing ITS solutions</w:t>
            </w:r>
          </w:p>
        </w:tc>
        <w:tc>
          <w:tcPr>
            <w:tcW w:w="3911" w:type="pct"/>
            <w:tcBorders>
              <w:top w:val="dotted" w:sz="4" w:space="0" w:color="auto"/>
              <w:left w:val="dotted" w:sz="4" w:space="0" w:color="auto"/>
              <w:bottom w:val="dotted" w:sz="4" w:space="0" w:color="auto"/>
            </w:tcBorders>
          </w:tcPr>
          <w:p w:rsidR="00626B0A" w:rsidRPr="0074075C" w:rsidRDefault="00626B0A" w:rsidP="006F6805">
            <w:pPr>
              <w:spacing w:before="60" w:afterLines="60" w:after="144"/>
              <w:rPr>
                <w:sz w:val="18"/>
                <w:szCs w:val="18"/>
              </w:rPr>
            </w:pPr>
            <w:r w:rsidRPr="0074075C">
              <w:rPr>
                <w:sz w:val="18"/>
                <w:szCs w:val="18"/>
              </w:rPr>
              <w:t>Reliable delivery of electricity to vehicles through smart grid applications and/or utilizing:</w:t>
            </w:r>
          </w:p>
          <w:p w:rsidR="00626B0A" w:rsidRPr="0074075C" w:rsidRDefault="00626B0A" w:rsidP="00A611AC">
            <w:pPr>
              <w:pStyle w:val="ListParagraph"/>
              <w:numPr>
                <w:ilvl w:val="0"/>
                <w:numId w:val="19"/>
              </w:numPr>
              <w:spacing w:before="6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 xml:space="preserve"> Rapid flash charging buses such as the Geneva public transport TOSA pilot project;</w:t>
            </w:r>
          </w:p>
          <w:p w:rsidR="00626B0A" w:rsidRPr="0074075C" w:rsidRDefault="00626B0A" w:rsidP="00A611AC">
            <w:pPr>
              <w:pStyle w:val="ListParagraph"/>
              <w:numPr>
                <w:ilvl w:val="0"/>
                <w:numId w:val="19"/>
              </w:numPr>
              <w:spacing w:before="6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Induction charging such as the Utah State University wireless induction charging bus prototype;</w:t>
            </w:r>
          </w:p>
          <w:p w:rsidR="00626B0A" w:rsidRPr="0074075C" w:rsidRDefault="00626B0A">
            <w:pPr>
              <w:pStyle w:val="ListParagraph"/>
              <w:numPr>
                <w:ilvl w:val="0"/>
                <w:numId w:val="19"/>
              </w:numPr>
              <w:spacing w:before="6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“Shaped Magnetic Field In Resonance” applied in Gumi, South Korea, that sends electromagnetic fields created by electric cables buried in the asphalt to public transport buses (while not to cars). A coil in the bus battery can turn the electromagnetic fields into electricity at a distance of more than half a foot above the road.</w:t>
            </w:r>
          </w:p>
        </w:tc>
      </w:tr>
    </w:tbl>
    <w:p w:rsidR="00626B0A" w:rsidRPr="0074075C" w:rsidRDefault="00626B0A" w:rsidP="00626B0A">
      <w:pPr>
        <w:rPr>
          <w:sz w:val="18"/>
          <w:szCs w:val="18"/>
        </w:rPr>
      </w:pPr>
      <w:r w:rsidRPr="0074075C">
        <w:rPr>
          <w:sz w:val="18"/>
          <w:szCs w:val="18"/>
        </w:rPr>
        <w:br w:type="page"/>
      </w:r>
    </w:p>
    <w:tbl>
      <w:tblPr>
        <w:tblStyle w:val="TableGrid"/>
        <w:tblW w:w="5000" w:type="pct"/>
        <w:tblLook w:val="04A0" w:firstRow="1" w:lastRow="0" w:firstColumn="1" w:lastColumn="0" w:noHBand="0" w:noVBand="1"/>
      </w:tblPr>
      <w:tblGrid>
        <w:gridCol w:w="1483"/>
        <w:gridCol w:w="1321"/>
        <w:gridCol w:w="10072"/>
      </w:tblGrid>
      <w:tr w:rsidR="00626B0A" w:rsidRPr="0074075C" w:rsidTr="00F436CC">
        <w:trPr>
          <w:trHeight w:val="983"/>
          <w:tblHeader/>
        </w:trPr>
        <w:tc>
          <w:tcPr>
            <w:tcW w:w="576" w:type="pct"/>
            <w:vMerge w:val="restart"/>
            <w:tcBorders>
              <w:left w:val="nil"/>
              <w:right w:val="dotted" w:sz="4" w:space="0" w:color="auto"/>
            </w:tcBorders>
            <w:vAlign w:val="center"/>
          </w:tcPr>
          <w:p w:rsidR="00626B0A" w:rsidRPr="0074075C" w:rsidRDefault="00626B0A" w:rsidP="00F436CC">
            <w:pPr>
              <w:spacing w:before="40"/>
              <w:rPr>
                <w:b/>
                <w:sz w:val="18"/>
                <w:szCs w:val="18"/>
              </w:rPr>
            </w:pPr>
            <w:r w:rsidRPr="0074075C">
              <w:rPr>
                <w:sz w:val="18"/>
                <w:szCs w:val="18"/>
              </w:rPr>
              <w:object w:dxaOrig="2190" w:dyaOrig="2205">
                <v:shape id="_x0000_i1027" type="#_x0000_t75" style="width:69.5pt;height:71.15pt" o:ole="">
                  <v:imagedata r:id="rId18" o:title=""/>
                </v:shape>
                <o:OLEObject Type="Embed" ProgID="PBrush" ShapeID="_x0000_i1027" DrawAspect="Content" ObjectID="_1511687407" r:id="rId19"/>
              </w:object>
            </w:r>
          </w:p>
        </w:tc>
        <w:tc>
          <w:tcPr>
            <w:tcW w:w="513" w:type="pct"/>
            <w:tcBorders>
              <w:top w:val="single" w:sz="4" w:space="0" w:color="auto"/>
              <w:left w:val="dotted" w:sz="4" w:space="0" w:color="auto"/>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Target</w:t>
            </w:r>
          </w:p>
        </w:tc>
        <w:tc>
          <w:tcPr>
            <w:tcW w:w="3911" w:type="pct"/>
            <w:tcBorders>
              <w:top w:val="single" w:sz="4" w:space="0" w:color="auto"/>
              <w:left w:val="dotted" w:sz="4" w:space="0" w:color="auto"/>
              <w:bottom w:val="dotted" w:sz="4" w:space="0" w:color="auto"/>
            </w:tcBorders>
          </w:tcPr>
          <w:p w:rsidR="00626B0A" w:rsidRPr="0074075C" w:rsidRDefault="00626B0A" w:rsidP="006F6805">
            <w:pPr>
              <w:spacing w:beforeLines="60" w:before="144" w:afterLines="60" w:after="144"/>
              <w:rPr>
                <w:sz w:val="18"/>
                <w:szCs w:val="18"/>
              </w:rPr>
            </w:pPr>
            <w:r w:rsidRPr="0074075C">
              <w:rPr>
                <w:b/>
                <w:sz w:val="18"/>
                <w:szCs w:val="18"/>
                <w:lang w:eastAsia="en-GB"/>
              </w:rPr>
              <w:t>9.1</w:t>
            </w:r>
            <w:r w:rsidRPr="0074075C">
              <w:rPr>
                <w:sz w:val="18"/>
                <w:szCs w:val="18"/>
                <w:lang w:eastAsia="en-GB"/>
              </w:rPr>
              <w:t xml:space="preserve"> – Develop quality, reliable, sustainable, and resilient infrastructure, including regional and trans-border infrastructure, to support economic development and human well-being, with a focus on affordable and equitable access for all.</w:t>
            </w:r>
          </w:p>
        </w:tc>
      </w:tr>
      <w:tr w:rsidR="00626B0A" w:rsidRPr="0074075C" w:rsidTr="00F436CC">
        <w:trPr>
          <w:trHeight w:val="1550"/>
          <w:tblHeader/>
        </w:trPr>
        <w:tc>
          <w:tcPr>
            <w:tcW w:w="576" w:type="pct"/>
            <w:vMerge/>
            <w:tcBorders>
              <w:left w:val="nil"/>
              <w:right w:val="dotted" w:sz="4" w:space="0" w:color="auto"/>
            </w:tcBorders>
          </w:tcPr>
          <w:p w:rsidR="00626B0A" w:rsidRPr="0074075C" w:rsidRDefault="00626B0A" w:rsidP="00F436CC">
            <w:pPr>
              <w:rPr>
                <w:b/>
                <w:sz w:val="18"/>
                <w:szCs w:val="18"/>
              </w:rPr>
            </w:pPr>
          </w:p>
        </w:tc>
        <w:tc>
          <w:tcPr>
            <w:tcW w:w="513" w:type="pct"/>
            <w:tcBorders>
              <w:top w:val="dotted" w:sz="4" w:space="0" w:color="auto"/>
              <w:left w:val="dotted" w:sz="4" w:space="0" w:color="auto"/>
              <w:bottom w:val="single"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Existing ITS solutions</w:t>
            </w:r>
          </w:p>
        </w:tc>
        <w:tc>
          <w:tcPr>
            <w:tcW w:w="3911" w:type="pct"/>
            <w:tcBorders>
              <w:top w:val="dotted" w:sz="4" w:space="0" w:color="auto"/>
              <w:left w:val="dotted" w:sz="4" w:space="0" w:color="auto"/>
              <w:bottom w:val="single" w:sz="4" w:space="0" w:color="auto"/>
            </w:tcBorders>
          </w:tcPr>
          <w:p w:rsidR="00626B0A" w:rsidRPr="0074075C" w:rsidRDefault="00626B0A" w:rsidP="006F6805">
            <w:pPr>
              <w:spacing w:beforeLines="60" w:before="144" w:afterLines="60" w:after="144"/>
              <w:rPr>
                <w:sz w:val="18"/>
                <w:szCs w:val="18"/>
              </w:rPr>
            </w:pPr>
            <w:r w:rsidRPr="0074075C">
              <w:rPr>
                <w:sz w:val="18"/>
                <w:szCs w:val="18"/>
              </w:rPr>
              <w:t>More efficient use of existing, or the reduction of the need to build unsustainably large infrastructure can be achieved through “Platooning”- a collection of vehicles that travel together and actively coordinate information through Vehicle-to-Vehicle and Vehicle-to-Infrastructure technology.</w:t>
            </w:r>
          </w:p>
          <w:p w:rsidR="00626B0A" w:rsidRPr="0074075C" w:rsidRDefault="00626B0A" w:rsidP="00A611AC">
            <w:pPr>
              <w:spacing w:beforeLines="60" w:before="144" w:afterLines="60" w:after="144"/>
              <w:rPr>
                <w:sz w:val="18"/>
                <w:szCs w:val="18"/>
              </w:rPr>
            </w:pPr>
            <w:r w:rsidRPr="0074075C">
              <w:rPr>
                <w:sz w:val="18"/>
                <w:szCs w:val="18"/>
              </w:rPr>
              <w:t>Platooning is agued as a solution for fuel and traffic efficiency, as well as driving comfort. The main goal of the platoon is to be relieved from the traffic congestion by vehicle automation technology. It operates each vehicle close together with compare to manual driving condition; hence every lane can carry approximately double the traffic than current manual system. This obviously shrinks the traffic congestion in highway. It maintains a close spacing aerodynamics drag that results in a major reduction in fuel consumption and exhaust pollutant. Result has shown how that drag reduction improves the fuel efficiency and emission reduction by 20 to 25</w:t>
            </w:r>
            <w:r w:rsidR="00F760C8">
              <w:rPr>
                <w:sz w:val="18"/>
                <w:szCs w:val="18"/>
              </w:rPr>
              <w:t xml:space="preserve"> per cent</w:t>
            </w:r>
            <w:r w:rsidR="00F760C8" w:rsidRPr="0074075C">
              <w:rPr>
                <w:sz w:val="18"/>
                <w:szCs w:val="18"/>
              </w:rPr>
              <w:t>.</w:t>
            </w:r>
          </w:p>
          <w:p w:rsidR="00626B0A" w:rsidRPr="0074075C" w:rsidRDefault="00626B0A" w:rsidP="00A611AC">
            <w:pPr>
              <w:spacing w:beforeLines="60" w:before="144" w:afterLines="60" w:after="144"/>
              <w:rPr>
                <w:sz w:val="18"/>
                <w:szCs w:val="18"/>
              </w:rPr>
            </w:pPr>
            <w:r w:rsidRPr="0074075C">
              <w:rPr>
                <w:sz w:val="18"/>
                <w:szCs w:val="18"/>
              </w:rPr>
              <w:t>For these reasons a number of platooning projects have been continuing such as SARTRE, a European platooning project; PATH, a California traffic automation program that includes platooning; GCDC, a cooperative driving initiative; SCANIA platooning; and, Energy ITS, a Japanese truck platooning project.</w:t>
            </w:r>
          </w:p>
        </w:tc>
      </w:tr>
      <w:tr w:rsidR="00626B0A" w:rsidRPr="0074075C" w:rsidTr="00F436CC">
        <w:trPr>
          <w:trHeight w:val="896"/>
          <w:tblHeader/>
        </w:trPr>
        <w:tc>
          <w:tcPr>
            <w:tcW w:w="576" w:type="pct"/>
            <w:vMerge w:val="restart"/>
            <w:tcBorders>
              <w:left w:val="nil"/>
              <w:right w:val="dotted" w:sz="4" w:space="0" w:color="auto"/>
            </w:tcBorders>
            <w:vAlign w:val="center"/>
          </w:tcPr>
          <w:p w:rsidR="00626B0A" w:rsidRPr="0074075C" w:rsidRDefault="00626B0A" w:rsidP="00F436CC">
            <w:pPr>
              <w:rPr>
                <w:b/>
                <w:sz w:val="18"/>
                <w:szCs w:val="18"/>
              </w:rPr>
            </w:pPr>
            <w:r w:rsidRPr="0074075C">
              <w:rPr>
                <w:b/>
                <w:sz w:val="18"/>
                <w:szCs w:val="18"/>
              </w:rPr>
              <w:object w:dxaOrig="2205" w:dyaOrig="2205">
                <v:shape id="_x0000_i1028" type="#_x0000_t75" style="width:71.15pt;height:71.15pt" o:ole="">
                  <v:imagedata r:id="rId20" o:title=""/>
                </v:shape>
                <o:OLEObject Type="Embed" ProgID="PBrush" ShapeID="_x0000_i1028" DrawAspect="Content" ObjectID="_1511687408" r:id="rId21"/>
              </w:object>
            </w:r>
          </w:p>
        </w:tc>
        <w:tc>
          <w:tcPr>
            <w:tcW w:w="513" w:type="pct"/>
            <w:tcBorders>
              <w:top w:val="single" w:sz="4" w:space="0" w:color="auto"/>
              <w:left w:val="dotted" w:sz="4" w:space="0" w:color="auto"/>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Target</w:t>
            </w:r>
          </w:p>
        </w:tc>
        <w:tc>
          <w:tcPr>
            <w:tcW w:w="3911" w:type="pct"/>
            <w:tcBorders>
              <w:top w:val="single" w:sz="4" w:space="0" w:color="auto"/>
              <w:left w:val="dotted" w:sz="4" w:space="0" w:color="auto"/>
              <w:bottom w:val="dotted" w:sz="4" w:space="0" w:color="auto"/>
            </w:tcBorders>
          </w:tcPr>
          <w:p w:rsidR="00626B0A" w:rsidRPr="0074075C" w:rsidRDefault="00626B0A" w:rsidP="00F436CC">
            <w:pPr>
              <w:spacing w:before="60" w:after="60"/>
              <w:rPr>
                <w:sz w:val="18"/>
                <w:szCs w:val="18"/>
              </w:rPr>
            </w:pPr>
            <w:r w:rsidRPr="0074075C">
              <w:rPr>
                <w:b/>
                <w:sz w:val="18"/>
                <w:szCs w:val="18"/>
                <w:lang w:eastAsia="en-GB"/>
              </w:rPr>
              <w:t>11.2</w:t>
            </w:r>
            <w:r w:rsidRPr="0074075C">
              <w:rPr>
                <w:sz w:val="18"/>
                <w:szCs w:val="18"/>
                <w:lang w:eastAsia="en-GB"/>
              </w:rPr>
              <w:t xml:space="preserve"> –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626B0A" w:rsidRPr="0074075C" w:rsidTr="00F436CC">
        <w:trPr>
          <w:trHeight w:val="1550"/>
          <w:tblHeader/>
        </w:trPr>
        <w:tc>
          <w:tcPr>
            <w:tcW w:w="576" w:type="pct"/>
            <w:vMerge/>
            <w:tcBorders>
              <w:left w:val="nil"/>
              <w:bottom w:val="single" w:sz="4" w:space="0" w:color="auto"/>
              <w:right w:val="dotted" w:sz="4" w:space="0" w:color="auto"/>
            </w:tcBorders>
          </w:tcPr>
          <w:p w:rsidR="00626B0A" w:rsidRPr="0074075C" w:rsidRDefault="00626B0A" w:rsidP="00F436CC">
            <w:pPr>
              <w:rPr>
                <w:b/>
                <w:sz w:val="18"/>
                <w:szCs w:val="18"/>
              </w:rPr>
            </w:pPr>
          </w:p>
        </w:tc>
        <w:tc>
          <w:tcPr>
            <w:tcW w:w="513" w:type="pct"/>
            <w:tcBorders>
              <w:top w:val="dotted" w:sz="4" w:space="0" w:color="auto"/>
              <w:left w:val="dotted" w:sz="4" w:space="0" w:color="auto"/>
              <w:bottom w:val="single"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Existing ITS solutions</w:t>
            </w:r>
          </w:p>
        </w:tc>
        <w:tc>
          <w:tcPr>
            <w:tcW w:w="3911" w:type="pct"/>
            <w:tcBorders>
              <w:top w:val="dotted" w:sz="4" w:space="0" w:color="auto"/>
              <w:left w:val="dotted" w:sz="4" w:space="0" w:color="auto"/>
              <w:bottom w:val="single" w:sz="4" w:space="0" w:color="auto"/>
            </w:tcBorders>
          </w:tcPr>
          <w:p w:rsidR="00626B0A" w:rsidRPr="0074075C" w:rsidRDefault="00626B0A" w:rsidP="006F6805">
            <w:pPr>
              <w:spacing w:beforeLines="60" w:before="144" w:afterLines="60" w:after="144"/>
              <w:rPr>
                <w:sz w:val="18"/>
                <w:szCs w:val="18"/>
              </w:rPr>
            </w:pPr>
            <w:r w:rsidRPr="0074075C">
              <w:rPr>
                <w:sz w:val="18"/>
                <w:szCs w:val="18"/>
              </w:rPr>
              <w:t xml:space="preserve">The ITS applications can play an important role for transport, particularly in big cities </w:t>
            </w:r>
            <w:r w:rsidR="00F760C8">
              <w:rPr>
                <w:sz w:val="18"/>
                <w:szCs w:val="18"/>
              </w:rPr>
              <w:t>by</w:t>
            </w:r>
            <w:r w:rsidRPr="0074075C">
              <w:rPr>
                <w:sz w:val="18"/>
                <w:szCs w:val="18"/>
              </w:rPr>
              <w:t>:</w:t>
            </w:r>
          </w:p>
          <w:p w:rsidR="00626B0A" w:rsidRPr="0074075C" w:rsidRDefault="00626B0A" w:rsidP="00626B0A">
            <w:pPr>
              <w:pStyle w:val="ListParagraph"/>
              <w:numPr>
                <w:ilvl w:val="0"/>
                <w:numId w:val="20"/>
              </w:numPr>
              <w:spacing w:before="20" w:after="20" w:line="240" w:lineRule="auto"/>
              <w:ind w:left="318" w:hanging="284"/>
              <w:contextualSpacing w:val="0"/>
              <w:rPr>
                <w:rFonts w:ascii="Times New Roman" w:hAnsi="Times New Roman"/>
                <w:sz w:val="18"/>
                <w:szCs w:val="18"/>
              </w:rPr>
            </w:pPr>
            <w:r w:rsidRPr="0074075C">
              <w:rPr>
                <w:rFonts w:ascii="Times New Roman" w:hAnsi="Times New Roman"/>
                <w:sz w:val="18"/>
                <w:szCs w:val="18"/>
              </w:rPr>
              <w:t>Signalised junction controls that can improve traffic flow and reduce air pollution;</w:t>
            </w:r>
          </w:p>
          <w:p w:rsidR="00626B0A" w:rsidRPr="0074075C" w:rsidRDefault="00626B0A" w:rsidP="00626B0A">
            <w:pPr>
              <w:pStyle w:val="ListParagraph"/>
              <w:numPr>
                <w:ilvl w:val="0"/>
                <w:numId w:val="20"/>
              </w:numPr>
              <w:spacing w:before="20" w:after="20" w:line="240" w:lineRule="auto"/>
              <w:ind w:left="318" w:hanging="284"/>
              <w:contextualSpacing w:val="0"/>
              <w:rPr>
                <w:rFonts w:ascii="Times New Roman" w:hAnsi="Times New Roman"/>
                <w:sz w:val="18"/>
                <w:szCs w:val="18"/>
              </w:rPr>
            </w:pPr>
            <w:r w:rsidRPr="0074075C">
              <w:rPr>
                <w:rFonts w:ascii="Times New Roman" w:hAnsi="Times New Roman"/>
                <w:sz w:val="18"/>
                <w:szCs w:val="18"/>
              </w:rPr>
              <w:t>Enforcement cameras to deter speeding and discourage running traffic lights;</w:t>
            </w:r>
          </w:p>
          <w:p w:rsidR="00626B0A" w:rsidRPr="0074075C" w:rsidRDefault="00626B0A" w:rsidP="00626B0A">
            <w:pPr>
              <w:pStyle w:val="ListParagraph"/>
              <w:numPr>
                <w:ilvl w:val="0"/>
                <w:numId w:val="20"/>
              </w:numPr>
              <w:spacing w:before="20" w:after="20" w:line="240" w:lineRule="auto"/>
              <w:ind w:left="318" w:hanging="284"/>
              <w:contextualSpacing w:val="0"/>
              <w:rPr>
                <w:rFonts w:ascii="Times New Roman" w:hAnsi="Times New Roman"/>
                <w:sz w:val="18"/>
                <w:szCs w:val="18"/>
              </w:rPr>
            </w:pPr>
            <w:r w:rsidRPr="0074075C">
              <w:rPr>
                <w:rFonts w:ascii="Times New Roman" w:hAnsi="Times New Roman"/>
                <w:sz w:val="18"/>
                <w:szCs w:val="18"/>
              </w:rPr>
              <w:t>Intelligent traffic signals that can increase the time available for people crossing the road, where and when this is needed</w:t>
            </w:r>
            <w:r w:rsidR="00F760C8">
              <w:rPr>
                <w:rFonts w:ascii="Times New Roman" w:hAnsi="Times New Roman"/>
                <w:sz w:val="18"/>
                <w:szCs w:val="18"/>
              </w:rPr>
              <w:t>;</w:t>
            </w:r>
          </w:p>
          <w:p w:rsidR="00626B0A" w:rsidRPr="0074075C" w:rsidRDefault="00626B0A" w:rsidP="00626B0A">
            <w:pPr>
              <w:pStyle w:val="ListParagraph"/>
              <w:numPr>
                <w:ilvl w:val="0"/>
                <w:numId w:val="20"/>
              </w:numPr>
              <w:spacing w:before="20" w:after="20" w:line="240" w:lineRule="auto"/>
              <w:ind w:left="318" w:hanging="284"/>
              <w:contextualSpacing w:val="0"/>
              <w:rPr>
                <w:rFonts w:ascii="Times New Roman" w:hAnsi="Times New Roman"/>
                <w:sz w:val="18"/>
                <w:szCs w:val="18"/>
              </w:rPr>
            </w:pPr>
            <w:r w:rsidRPr="0074075C">
              <w:rPr>
                <w:rFonts w:ascii="Times New Roman" w:hAnsi="Times New Roman"/>
                <w:sz w:val="18"/>
                <w:szCs w:val="18"/>
              </w:rPr>
              <w:t>Variable message signs can provide information on current travel conditions, the availability of parking spaces, or real time public transport information;</w:t>
            </w:r>
          </w:p>
          <w:p w:rsidR="00626B0A" w:rsidRPr="0074075C" w:rsidRDefault="00626B0A" w:rsidP="00626B0A">
            <w:pPr>
              <w:pStyle w:val="ListParagraph"/>
              <w:numPr>
                <w:ilvl w:val="0"/>
                <w:numId w:val="20"/>
              </w:numPr>
              <w:spacing w:before="20" w:after="20" w:line="240" w:lineRule="auto"/>
              <w:ind w:left="318" w:hanging="284"/>
              <w:contextualSpacing w:val="0"/>
              <w:rPr>
                <w:rFonts w:ascii="Times New Roman" w:hAnsi="Times New Roman"/>
                <w:sz w:val="18"/>
                <w:szCs w:val="18"/>
              </w:rPr>
            </w:pPr>
            <w:r w:rsidRPr="0074075C">
              <w:rPr>
                <w:rFonts w:ascii="Times New Roman" w:hAnsi="Times New Roman"/>
                <w:sz w:val="18"/>
                <w:szCs w:val="18"/>
              </w:rPr>
              <w:t>Information prior to or during the journey on urban public transport services (WAP, SMS etc.)</w:t>
            </w:r>
            <w:r w:rsidR="00F760C8">
              <w:rPr>
                <w:rFonts w:ascii="Times New Roman" w:hAnsi="Times New Roman"/>
                <w:sz w:val="18"/>
                <w:szCs w:val="18"/>
              </w:rPr>
              <w:t>;</w:t>
            </w:r>
          </w:p>
          <w:p w:rsidR="00626B0A" w:rsidRPr="0074075C" w:rsidRDefault="00626B0A" w:rsidP="006F6805">
            <w:pPr>
              <w:pStyle w:val="ListParagraph"/>
              <w:numPr>
                <w:ilvl w:val="0"/>
                <w:numId w:val="20"/>
              </w:numPr>
              <w:spacing w:before="20" w:afterLines="60" w:after="144" w:line="240" w:lineRule="auto"/>
              <w:ind w:left="318" w:hanging="284"/>
              <w:contextualSpacing w:val="0"/>
              <w:rPr>
                <w:rFonts w:ascii="Times New Roman" w:hAnsi="Times New Roman"/>
                <w:sz w:val="18"/>
                <w:szCs w:val="18"/>
              </w:rPr>
            </w:pPr>
            <w:r w:rsidRPr="0074075C">
              <w:rPr>
                <w:rFonts w:ascii="Times New Roman" w:hAnsi="Times New Roman"/>
                <w:sz w:val="18"/>
                <w:szCs w:val="18"/>
              </w:rPr>
              <w:t>Electronic multimodal tickets, e-ticketing etc.</w:t>
            </w:r>
          </w:p>
        </w:tc>
      </w:tr>
    </w:tbl>
    <w:p w:rsidR="00626B0A" w:rsidRPr="0074075C" w:rsidRDefault="00626B0A" w:rsidP="00626B0A">
      <w:r w:rsidRPr="0074075C">
        <w:br w:type="page"/>
      </w:r>
    </w:p>
    <w:tbl>
      <w:tblPr>
        <w:tblStyle w:val="TableGrid"/>
        <w:tblW w:w="5000" w:type="pct"/>
        <w:tblLook w:val="04A0" w:firstRow="1" w:lastRow="0" w:firstColumn="1" w:lastColumn="0" w:noHBand="0" w:noVBand="1"/>
      </w:tblPr>
      <w:tblGrid>
        <w:gridCol w:w="1483"/>
        <w:gridCol w:w="1321"/>
        <w:gridCol w:w="10072"/>
      </w:tblGrid>
      <w:tr w:rsidR="00626B0A" w:rsidRPr="0074075C" w:rsidTr="00F436CC">
        <w:trPr>
          <w:trHeight w:val="558"/>
          <w:tblHeader/>
        </w:trPr>
        <w:tc>
          <w:tcPr>
            <w:tcW w:w="576" w:type="pct"/>
            <w:vMerge w:val="restart"/>
            <w:tcBorders>
              <w:top w:val="single" w:sz="4" w:space="0" w:color="auto"/>
              <w:left w:val="nil"/>
            </w:tcBorders>
            <w:vAlign w:val="center"/>
          </w:tcPr>
          <w:p w:rsidR="00626B0A" w:rsidRPr="0074075C" w:rsidRDefault="00626B0A" w:rsidP="00F436CC">
            <w:pPr>
              <w:rPr>
                <w:sz w:val="18"/>
                <w:szCs w:val="18"/>
              </w:rPr>
            </w:pPr>
            <w:r w:rsidRPr="0074075C">
              <w:rPr>
                <w:sz w:val="18"/>
                <w:szCs w:val="18"/>
              </w:rPr>
              <w:object w:dxaOrig="2190" w:dyaOrig="2205">
                <v:shape id="_x0000_i1029" type="#_x0000_t75" style="width:69.5pt;height:71.15pt" o:ole="">
                  <v:imagedata r:id="rId22" o:title=""/>
                </v:shape>
                <o:OLEObject Type="Embed" ProgID="PBrush" ShapeID="_x0000_i1029" DrawAspect="Content" ObjectID="_1511687409" r:id="rId23"/>
              </w:object>
            </w:r>
          </w:p>
        </w:tc>
        <w:tc>
          <w:tcPr>
            <w:tcW w:w="513" w:type="pct"/>
            <w:tcBorders>
              <w:top w:val="single" w:sz="4" w:space="0" w:color="auto"/>
              <w:left w:val="nil"/>
              <w:bottom w:val="dotted" w:sz="4" w:space="0" w:color="auto"/>
              <w:right w:val="dotted" w:sz="4" w:space="0" w:color="auto"/>
            </w:tcBorders>
            <w:vAlign w:val="center"/>
          </w:tcPr>
          <w:p w:rsidR="00626B0A" w:rsidRPr="0074075C" w:rsidRDefault="00626B0A" w:rsidP="00F436CC">
            <w:pPr>
              <w:rPr>
                <w:b/>
                <w:sz w:val="18"/>
                <w:szCs w:val="18"/>
              </w:rPr>
            </w:pPr>
            <w:r w:rsidRPr="0074075C">
              <w:rPr>
                <w:b/>
                <w:sz w:val="18"/>
                <w:szCs w:val="18"/>
              </w:rPr>
              <w:t>Target</w:t>
            </w:r>
          </w:p>
        </w:tc>
        <w:tc>
          <w:tcPr>
            <w:tcW w:w="3911" w:type="pct"/>
            <w:tcBorders>
              <w:top w:val="single" w:sz="4" w:space="0" w:color="auto"/>
              <w:left w:val="dotted" w:sz="4" w:space="0" w:color="auto"/>
              <w:bottom w:val="dotted" w:sz="4" w:space="0" w:color="auto"/>
            </w:tcBorders>
          </w:tcPr>
          <w:p w:rsidR="00626B0A" w:rsidRPr="0074075C" w:rsidRDefault="00626B0A" w:rsidP="006F6805">
            <w:pPr>
              <w:spacing w:beforeLines="60" w:before="144" w:afterLines="60" w:after="144"/>
              <w:rPr>
                <w:sz w:val="18"/>
                <w:szCs w:val="18"/>
              </w:rPr>
            </w:pPr>
            <w:r w:rsidRPr="0074075C">
              <w:rPr>
                <w:b/>
                <w:sz w:val="18"/>
                <w:szCs w:val="18"/>
                <w:lang w:eastAsia="en-GB"/>
              </w:rPr>
              <w:t>12.2</w:t>
            </w:r>
            <w:r w:rsidRPr="0074075C">
              <w:rPr>
                <w:sz w:val="18"/>
                <w:szCs w:val="18"/>
                <w:lang w:eastAsia="en-GB"/>
              </w:rPr>
              <w:t xml:space="preserve"> – By 2030, achieve the sustainable management and efficient use of natural resources.</w:t>
            </w:r>
          </w:p>
        </w:tc>
      </w:tr>
      <w:tr w:rsidR="00626B0A" w:rsidRPr="0074075C" w:rsidTr="00F436CC">
        <w:trPr>
          <w:tblHeader/>
        </w:trPr>
        <w:tc>
          <w:tcPr>
            <w:tcW w:w="576" w:type="pct"/>
            <w:vMerge/>
            <w:tcBorders>
              <w:left w:val="nil"/>
            </w:tcBorders>
          </w:tcPr>
          <w:p w:rsidR="00626B0A" w:rsidRPr="0074075C" w:rsidRDefault="00626B0A" w:rsidP="00F436CC">
            <w:pPr>
              <w:spacing w:before="40" w:after="20"/>
              <w:rPr>
                <w:b/>
                <w:sz w:val="18"/>
                <w:szCs w:val="18"/>
              </w:rPr>
            </w:pPr>
          </w:p>
        </w:tc>
        <w:tc>
          <w:tcPr>
            <w:tcW w:w="513" w:type="pct"/>
            <w:tcBorders>
              <w:top w:val="dotted" w:sz="4" w:space="0" w:color="auto"/>
              <w:left w:val="nil"/>
              <w:bottom w:val="dotted" w:sz="4" w:space="0" w:color="auto"/>
              <w:right w:val="dotted" w:sz="4" w:space="0" w:color="auto"/>
            </w:tcBorders>
            <w:vAlign w:val="center"/>
          </w:tcPr>
          <w:p w:rsidR="00626B0A" w:rsidRPr="0074075C" w:rsidRDefault="00626B0A" w:rsidP="00F436CC">
            <w:pPr>
              <w:spacing w:before="40" w:after="20"/>
              <w:rPr>
                <w:b/>
                <w:sz w:val="18"/>
                <w:szCs w:val="18"/>
              </w:rPr>
            </w:pPr>
            <w:r w:rsidRPr="0074075C">
              <w:rPr>
                <w:b/>
                <w:sz w:val="18"/>
                <w:szCs w:val="18"/>
              </w:rPr>
              <w:t>Existing ITS solutions</w:t>
            </w:r>
          </w:p>
        </w:tc>
        <w:tc>
          <w:tcPr>
            <w:tcW w:w="3911" w:type="pct"/>
            <w:tcBorders>
              <w:top w:val="dotted" w:sz="4" w:space="0" w:color="auto"/>
              <w:left w:val="dotted" w:sz="4" w:space="0" w:color="auto"/>
              <w:bottom w:val="dotted" w:sz="4" w:space="0" w:color="auto"/>
            </w:tcBorders>
          </w:tcPr>
          <w:p w:rsidR="00626B0A" w:rsidRPr="0074075C" w:rsidRDefault="00626B0A" w:rsidP="006F6805">
            <w:pPr>
              <w:spacing w:beforeLines="60" w:before="144" w:afterLines="60" w:after="144"/>
              <w:rPr>
                <w:sz w:val="18"/>
                <w:szCs w:val="18"/>
              </w:rPr>
            </w:pPr>
            <w:r w:rsidRPr="0074075C">
              <w:rPr>
                <w:sz w:val="18"/>
                <w:szCs w:val="18"/>
              </w:rPr>
              <w:t>Eco Adaptive Balancing and Control (EcoABC) – on the central level this system seeks to distribute traffic in an energy efficient way over the road network. Decisions are based on the eco Energy Map which is produced by the network and emission estimation and prediction modules.</w:t>
            </w:r>
          </w:p>
          <w:p w:rsidR="00626B0A" w:rsidRPr="0074075C" w:rsidRDefault="00626B0A" w:rsidP="00A611AC">
            <w:pPr>
              <w:spacing w:beforeLines="60" w:before="144" w:afterLines="60" w:after="144"/>
              <w:rPr>
                <w:sz w:val="18"/>
                <w:szCs w:val="18"/>
              </w:rPr>
            </w:pPr>
            <w:r w:rsidRPr="0074075C">
              <w:rPr>
                <w:sz w:val="18"/>
                <w:szCs w:val="18"/>
              </w:rPr>
              <w:t>Once the best possible distribution of traffic over the network is calculated, targets for the control level are defined. The control level has several possibilities to achieve these targets. The new control models will improve their effectiveness by including vehicle drivers within the system optimization. For instance, drivers will be informed when and where there is a green wave, the speed profile they should maintain to stay within the green band, and the best ‘micro-route’ for their next trip segment.</w:t>
            </w:r>
          </w:p>
          <w:p w:rsidR="00626B0A" w:rsidRPr="0074075C" w:rsidRDefault="00626B0A" w:rsidP="00A611AC">
            <w:pPr>
              <w:spacing w:beforeLines="60" w:before="144" w:afterLines="60" w:after="144"/>
              <w:rPr>
                <w:sz w:val="18"/>
                <w:szCs w:val="18"/>
              </w:rPr>
            </w:pPr>
            <w:r w:rsidRPr="0074075C">
              <w:rPr>
                <w:sz w:val="18"/>
                <w:szCs w:val="18"/>
              </w:rPr>
              <w:t>All these measures aim to (1) distribute and balance traffic over the network to reach a better capacity utilization, (2) reduce waiting times and number of stops, (3) smoothen traffic flow and (4) advise optimal individual routes to drivers. Such measures will not only improve the general traffic situation (i.e. less congestion and smoother traffic flows) but also considerably reduce fuel consumption and emissions.</w:t>
            </w:r>
          </w:p>
        </w:tc>
      </w:tr>
      <w:tr w:rsidR="00626B0A" w:rsidRPr="0074075C" w:rsidTr="00F436CC">
        <w:trPr>
          <w:tblHeader/>
        </w:trPr>
        <w:tc>
          <w:tcPr>
            <w:tcW w:w="576" w:type="pct"/>
            <w:vMerge w:val="restart"/>
            <w:tcBorders>
              <w:left w:val="nil"/>
            </w:tcBorders>
            <w:vAlign w:val="center"/>
          </w:tcPr>
          <w:p w:rsidR="00626B0A" w:rsidRPr="0074075C" w:rsidRDefault="00626B0A" w:rsidP="00F436CC">
            <w:pPr>
              <w:spacing w:before="40" w:after="20"/>
              <w:rPr>
                <w:b/>
                <w:sz w:val="18"/>
                <w:szCs w:val="18"/>
              </w:rPr>
            </w:pPr>
            <w:r w:rsidRPr="0074075C">
              <w:rPr>
                <w:sz w:val="18"/>
                <w:szCs w:val="18"/>
              </w:rPr>
              <w:object w:dxaOrig="2190" w:dyaOrig="2205">
                <v:shape id="_x0000_i1030" type="#_x0000_t75" style="width:69.5pt;height:71.15pt" o:ole="">
                  <v:imagedata r:id="rId24" o:title=""/>
                </v:shape>
                <o:OLEObject Type="Embed" ProgID="PBrush" ShapeID="_x0000_i1030" DrawAspect="Content" ObjectID="_1511687410" r:id="rId25"/>
              </w:object>
            </w:r>
          </w:p>
        </w:tc>
        <w:tc>
          <w:tcPr>
            <w:tcW w:w="513" w:type="pct"/>
            <w:tcBorders>
              <w:top w:val="dotted" w:sz="4" w:space="0" w:color="auto"/>
              <w:left w:val="nil"/>
              <w:bottom w:val="dotted" w:sz="4" w:space="0" w:color="auto"/>
              <w:right w:val="dotted" w:sz="4" w:space="0" w:color="auto"/>
            </w:tcBorders>
            <w:vAlign w:val="center"/>
          </w:tcPr>
          <w:p w:rsidR="00626B0A" w:rsidRPr="0074075C" w:rsidRDefault="00626B0A" w:rsidP="00F436CC">
            <w:pPr>
              <w:spacing w:before="40" w:after="20"/>
              <w:rPr>
                <w:b/>
                <w:sz w:val="18"/>
                <w:szCs w:val="18"/>
              </w:rPr>
            </w:pPr>
            <w:r w:rsidRPr="0074075C">
              <w:rPr>
                <w:b/>
                <w:sz w:val="18"/>
                <w:szCs w:val="18"/>
              </w:rPr>
              <w:t>Targets</w:t>
            </w:r>
          </w:p>
        </w:tc>
        <w:tc>
          <w:tcPr>
            <w:tcW w:w="3911" w:type="pct"/>
            <w:tcBorders>
              <w:top w:val="dotted" w:sz="4" w:space="0" w:color="auto"/>
              <w:left w:val="dotted" w:sz="4" w:space="0" w:color="auto"/>
              <w:bottom w:val="dotted" w:sz="4" w:space="0" w:color="auto"/>
            </w:tcBorders>
          </w:tcPr>
          <w:p w:rsidR="00626B0A" w:rsidRPr="0074075C" w:rsidRDefault="00626B0A" w:rsidP="006F6805">
            <w:pPr>
              <w:spacing w:beforeLines="60" w:before="144" w:afterLines="60" w:after="144"/>
              <w:rPr>
                <w:sz w:val="18"/>
                <w:szCs w:val="18"/>
              </w:rPr>
            </w:pPr>
            <w:r w:rsidRPr="0074075C">
              <w:rPr>
                <w:b/>
                <w:sz w:val="18"/>
                <w:szCs w:val="18"/>
                <w:lang w:eastAsia="en-GB"/>
              </w:rPr>
              <w:t>13.1</w:t>
            </w:r>
            <w:r w:rsidRPr="0074075C">
              <w:rPr>
                <w:sz w:val="18"/>
                <w:szCs w:val="18"/>
              </w:rPr>
              <w:t xml:space="preserve"> – Strengthen resilience and adaptive capacity to climate-related hazards and natural disasters in all countries</w:t>
            </w:r>
          </w:p>
          <w:p w:rsidR="00626B0A" w:rsidRPr="0074075C" w:rsidRDefault="00626B0A" w:rsidP="00A611AC">
            <w:pPr>
              <w:spacing w:beforeLines="60" w:before="144" w:afterLines="60" w:after="144"/>
              <w:rPr>
                <w:sz w:val="18"/>
                <w:szCs w:val="18"/>
              </w:rPr>
            </w:pPr>
            <w:r w:rsidRPr="0074075C">
              <w:rPr>
                <w:b/>
                <w:sz w:val="18"/>
                <w:szCs w:val="18"/>
              </w:rPr>
              <w:t>13.2</w:t>
            </w:r>
            <w:r w:rsidRPr="0074075C">
              <w:rPr>
                <w:sz w:val="18"/>
                <w:szCs w:val="18"/>
              </w:rPr>
              <w:t xml:space="preserve"> – Integrate climate change measures into national policies, strategies and planning</w:t>
            </w:r>
          </w:p>
        </w:tc>
      </w:tr>
      <w:tr w:rsidR="00626B0A" w:rsidRPr="0074075C" w:rsidTr="00F436CC">
        <w:trPr>
          <w:tblHeader/>
        </w:trPr>
        <w:tc>
          <w:tcPr>
            <w:tcW w:w="576" w:type="pct"/>
            <w:vMerge/>
            <w:tcBorders>
              <w:left w:val="nil"/>
              <w:bottom w:val="single" w:sz="12" w:space="0" w:color="auto"/>
            </w:tcBorders>
          </w:tcPr>
          <w:p w:rsidR="00626B0A" w:rsidRPr="0074075C" w:rsidRDefault="00626B0A" w:rsidP="00F436CC">
            <w:pPr>
              <w:spacing w:before="40" w:after="20"/>
              <w:rPr>
                <w:b/>
                <w:sz w:val="18"/>
                <w:szCs w:val="18"/>
              </w:rPr>
            </w:pPr>
          </w:p>
        </w:tc>
        <w:tc>
          <w:tcPr>
            <w:tcW w:w="513" w:type="pct"/>
            <w:tcBorders>
              <w:top w:val="dotted" w:sz="4" w:space="0" w:color="auto"/>
              <w:left w:val="nil"/>
              <w:bottom w:val="single" w:sz="12" w:space="0" w:color="auto"/>
              <w:right w:val="dotted" w:sz="4" w:space="0" w:color="auto"/>
            </w:tcBorders>
            <w:vAlign w:val="center"/>
          </w:tcPr>
          <w:p w:rsidR="00626B0A" w:rsidRPr="0074075C" w:rsidRDefault="00626B0A" w:rsidP="00F436CC">
            <w:pPr>
              <w:spacing w:before="40" w:after="20"/>
              <w:rPr>
                <w:b/>
                <w:sz w:val="18"/>
                <w:szCs w:val="18"/>
              </w:rPr>
            </w:pPr>
            <w:r w:rsidRPr="0074075C">
              <w:rPr>
                <w:b/>
                <w:sz w:val="18"/>
                <w:szCs w:val="18"/>
              </w:rPr>
              <w:t>Existing ITS solutions</w:t>
            </w:r>
          </w:p>
        </w:tc>
        <w:tc>
          <w:tcPr>
            <w:tcW w:w="3911" w:type="pct"/>
            <w:tcBorders>
              <w:top w:val="dotted" w:sz="4" w:space="0" w:color="auto"/>
              <w:left w:val="dotted" w:sz="4" w:space="0" w:color="auto"/>
              <w:bottom w:val="single" w:sz="12" w:space="0" w:color="auto"/>
            </w:tcBorders>
          </w:tcPr>
          <w:p w:rsidR="00626B0A" w:rsidRPr="0074075C" w:rsidRDefault="00626B0A" w:rsidP="006F6805">
            <w:pPr>
              <w:spacing w:beforeLines="60" w:before="144" w:afterLines="60" w:after="144"/>
              <w:rPr>
                <w:sz w:val="18"/>
                <w:szCs w:val="18"/>
              </w:rPr>
            </w:pPr>
            <w:r w:rsidRPr="0074075C">
              <w:rPr>
                <w:sz w:val="18"/>
                <w:szCs w:val="18"/>
              </w:rPr>
              <w:t>ITS applications that are proven to reduce CO</w:t>
            </w:r>
            <w:r w:rsidRPr="0074075C">
              <w:rPr>
                <w:sz w:val="18"/>
                <w:szCs w:val="18"/>
                <w:vertAlign w:val="subscript"/>
              </w:rPr>
              <w:t>2</w:t>
            </w:r>
            <w:r w:rsidRPr="0074075C">
              <w:rPr>
                <w:sz w:val="18"/>
                <w:szCs w:val="18"/>
              </w:rPr>
              <w:t xml:space="preserve"> emissions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1"/>
            </w:tblGrid>
            <w:tr w:rsidR="00626B0A" w:rsidRPr="0074075C" w:rsidTr="00F436CC">
              <w:tc>
                <w:tcPr>
                  <w:tcW w:w="5428"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Advanced navigation system</w:t>
                  </w:r>
                </w:p>
              </w:tc>
              <w:tc>
                <w:tcPr>
                  <w:tcW w:w="5429"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Advanced Traffic Management System</w:t>
                  </w:r>
                </w:p>
              </w:tc>
            </w:tr>
            <w:tr w:rsidR="00626B0A" w:rsidRPr="0074075C" w:rsidTr="00F436CC">
              <w:tc>
                <w:tcPr>
                  <w:tcW w:w="5428"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Dynamic Route Guidance System</w:t>
                  </w:r>
                </w:p>
              </w:tc>
              <w:tc>
                <w:tcPr>
                  <w:tcW w:w="5429"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ACCS (Adaptive Cruise Control System)</w:t>
                  </w:r>
                </w:p>
              </w:tc>
            </w:tr>
            <w:tr w:rsidR="00626B0A" w:rsidRPr="0074075C" w:rsidTr="00F436CC">
              <w:tc>
                <w:tcPr>
                  <w:tcW w:w="5428"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ETC (Electronic Toll Collection)</w:t>
                  </w:r>
                </w:p>
              </w:tc>
              <w:tc>
                <w:tcPr>
                  <w:tcW w:w="5429" w:type="dxa"/>
                </w:tcPr>
                <w:p w:rsidR="00626B0A" w:rsidRPr="0074075C" w:rsidRDefault="00626B0A" w:rsidP="00626B0A">
                  <w:pPr>
                    <w:pStyle w:val="ListParagraph"/>
                    <w:numPr>
                      <w:ilvl w:val="0"/>
                      <w:numId w:val="21"/>
                    </w:numPr>
                    <w:spacing w:before="60" w:after="60" w:line="240" w:lineRule="auto"/>
                    <w:ind w:left="629" w:hanging="357"/>
                    <w:contextualSpacing w:val="0"/>
                    <w:rPr>
                      <w:rFonts w:ascii="Times New Roman" w:hAnsi="Times New Roman"/>
                      <w:sz w:val="18"/>
                      <w:szCs w:val="18"/>
                    </w:rPr>
                  </w:pPr>
                  <w:r w:rsidRPr="0074075C">
                    <w:rPr>
                      <w:rFonts w:ascii="Times New Roman" w:hAnsi="Times New Roman"/>
                      <w:sz w:val="18"/>
                      <w:szCs w:val="18"/>
                    </w:rPr>
                    <w:t>Advanced Logistics System</w:t>
                  </w:r>
                </w:p>
              </w:tc>
            </w:tr>
          </w:tbl>
          <w:p w:rsidR="00626B0A" w:rsidRPr="0074075C" w:rsidRDefault="00626B0A" w:rsidP="006F6805">
            <w:pPr>
              <w:pStyle w:val="ListParagraph"/>
              <w:numPr>
                <w:ilvl w:val="0"/>
                <w:numId w:val="22"/>
              </w:numPr>
              <w:spacing w:beforeLines="60" w:before="144" w:afterLines="60" w:after="144" w:line="240" w:lineRule="auto"/>
              <w:ind w:left="316"/>
              <w:rPr>
                <w:rFonts w:ascii="Times New Roman" w:hAnsi="Times New Roman"/>
                <w:sz w:val="18"/>
                <w:szCs w:val="18"/>
              </w:rPr>
            </w:pPr>
            <w:r w:rsidRPr="0074075C">
              <w:rPr>
                <w:rFonts w:ascii="Times New Roman" w:hAnsi="Times New Roman"/>
                <w:sz w:val="18"/>
                <w:szCs w:val="18"/>
              </w:rPr>
              <w:t xml:space="preserve">Dynamic Parking Lot Guidance System: </w:t>
            </w:r>
          </w:p>
          <w:p w:rsidR="00626B0A" w:rsidRPr="0074075C" w:rsidRDefault="00626B0A" w:rsidP="00A611AC">
            <w:pPr>
              <w:spacing w:beforeLines="60" w:before="144" w:afterLines="60" w:after="144"/>
              <w:ind w:left="357"/>
              <w:rPr>
                <w:sz w:val="18"/>
                <w:szCs w:val="18"/>
              </w:rPr>
            </w:pPr>
            <w:r w:rsidRPr="0074075C">
              <w:rPr>
                <w:sz w:val="18"/>
                <w:szCs w:val="18"/>
              </w:rPr>
              <w:t>SPS pilot program carried out in San Francisco from 2009-2013 set out to improve drivers' parking experience. Sensors installed in the surface of each parking spot communicated with radio receptors about which spots were occupied. The information was then displayed to drivers via LED screens outside lots and through the downloadable SFPark mobile app. CO</w:t>
            </w:r>
            <w:r w:rsidRPr="0074075C">
              <w:rPr>
                <w:sz w:val="18"/>
                <w:szCs w:val="18"/>
                <w:vertAlign w:val="subscript"/>
              </w:rPr>
              <w:t>2</w:t>
            </w:r>
            <w:r w:rsidRPr="0074075C">
              <w:rPr>
                <w:sz w:val="18"/>
                <w:szCs w:val="18"/>
              </w:rPr>
              <w:t xml:space="preserve"> emissions decreased by 30 per cent.</w:t>
            </w:r>
          </w:p>
        </w:tc>
      </w:tr>
    </w:tbl>
    <w:p w:rsidR="00A1233A" w:rsidRPr="0074075C" w:rsidRDefault="00A1233A" w:rsidP="00A1233A"/>
    <w:p w:rsidR="00A1233A" w:rsidRPr="0074075C" w:rsidRDefault="00A1233A" w:rsidP="00A1233A">
      <w:pPr>
        <w:sectPr w:rsidR="00A1233A" w:rsidRPr="0074075C" w:rsidSect="00A1233A">
          <w:headerReference w:type="even" r:id="rId26"/>
          <w:headerReference w:type="default" r:id="rId27"/>
          <w:footerReference w:type="even" r:id="rId28"/>
          <w:footerReference w:type="default" r:id="rId29"/>
          <w:headerReference w:type="first" r:id="rId30"/>
          <w:endnotePr>
            <w:numFmt w:val="decimal"/>
          </w:endnotePr>
          <w:pgSz w:w="16840" w:h="11907" w:orient="landscape" w:code="9"/>
          <w:pgMar w:top="1134" w:right="1701" w:bottom="1134" w:left="2268" w:header="567" w:footer="567" w:gutter="0"/>
          <w:cols w:space="720"/>
          <w:docGrid w:linePitch="272"/>
        </w:sectPr>
      </w:pPr>
    </w:p>
    <w:p w:rsidR="00626B0A" w:rsidRPr="0074075C" w:rsidRDefault="00626B0A" w:rsidP="00626B0A">
      <w:pPr>
        <w:pStyle w:val="HChG"/>
      </w:pPr>
      <w:r w:rsidRPr="0074075C">
        <w:lastRenderedPageBreak/>
        <w:tab/>
      </w:r>
      <w:r w:rsidR="007414FB">
        <w:t>I</w:t>
      </w:r>
      <w:r w:rsidRPr="0074075C">
        <w:t>V.</w:t>
      </w:r>
      <w:r w:rsidRPr="0074075C">
        <w:tab/>
        <w:t>ITS Deployment – the state of play</w:t>
      </w:r>
    </w:p>
    <w:p w:rsidR="00626B0A" w:rsidRPr="0074075C" w:rsidRDefault="006F6805" w:rsidP="00626B0A">
      <w:pPr>
        <w:pStyle w:val="SingleTxtG"/>
      </w:pPr>
      <w:r>
        <w:rPr>
          <w:noProof/>
          <w:lang w:val="en-US"/>
        </w:rPr>
        <mc:AlternateContent>
          <mc:Choice Requires="wps">
            <w:drawing>
              <wp:anchor distT="0" distB="0" distL="114300" distR="114300" simplePos="0" relativeHeight="251662336" behindDoc="0" locked="0" layoutInCell="1" allowOverlap="1" wp14:anchorId="3A0474D3" wp14:editId="58028CD5">
                <wp:simplePos x="0" y="0"/>
                <wp:positionH relativeFrom="column">
                  <wp:posOffset>3703955</wp:posOffset>
                </wp:positionH>
                <wp:positionV relativeFrom="paragraph">
                  <wp:posOffset>810895</wp:posOffset>
                </wp:positionV>
                <wp:extent cx="899795" cy="899795"/>
                <wp:effectExtent l="0" t="0" r="0" b="0"/>
                <wp:wrapNone/>
                <wp:docPr id="1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ellipse">
                          <a:avLst/>
                        </a:prstGeom>
                        <a:solidFill>
                          <a:srgbClr val="0A1688"/>
                        </a:solidFill>
                        <a:ln w="25400" cap="flat" cmpd="sng" algn="ctr">
                          <a:noFill/>
                          <a:prstDash val="solid"/>
                        </a:ln>
                        <a:effectLst/>
                      </wps:spPr>
                      <wps:txbx>
                        <w:txbxContent>
                          <w:p w:rsidR="00626B0A" w:rsidRPr="0062021F" w:rsidRDefault="00626B0A" w:rsidP="00626B0A">
                            <w:pPr>
                              <w:spacing w:before="60"/>
                              <w:ind w:left="-142" w:right="-62"/>
                              <w:jc w:val="center"/>
                              <w:rPr>
                                <w:b/>
                                <w:color w:val="FFFFFF"/>
                                <w:sz w:val="16"/>
                              </w:rPr>
                            </w:pPr>
                            <w:r w:rsidRPr="0062021F">
                              <w:rPr>
                                <w:b/>
                                <w:color w:val="FFFFFF"/>
                                <w:sz w:val="16"/>
                              </w:rPr>
                              <w:t>Challenges</w:t>
                            </w:r>
                          </w:p>
                          <w:p w:rsidR="00626B0A" w:rsidRPr="0062021F" w:rsidRDefault="00626B0A" w:rsidP="00626B0A">
                            <w:pPr>
                              <w:ind w:left="-142" w:right="-62"/>
                              <w:jc w:val="center"/>
                              <w:rPr>
                                <w:b/>
                                <w:color w:val="FFFFFF"/>
                                <w:sz w:val="16"/>
                              </w:rPr>
                            </w:pPr>
                            <w:r w:rsidRPr="0062021F">
                              <w:rPr>
                                <w:b/>
                                <w:color w:val="FFFFFF"/>
                                <w:sz w:val="16"/>
                              </w:rPr>
                              <w:t>in ITS</w:t>
                            </w:r>
                          </w:p>
                          <w:p w:rsidR="00626B0A" w:rsidRPr="0062021F" w:rsidRDefault="00626B0A" w:rsidP="00626B0A">
                            <w:pPr>
                              <w:ind w:left="-142" w:right="-62"/>
                              <w:jc w:val="center"/>
                              <w:rPr>
                                <w:b/>
                                <w:color w:val="FFFFFF"/>
                                <w:sz w:val="16"/>
                              </w:rPr>
                            </w:pPr>
                            <w:r w:rsidRPr="0062021F">
                              <w:rPr>
                                <w:b/>
                                <w:color w:val="FFFFFF"/>
                                <w:sz w:val="16"/>
                              </w:rPr>
                              <w:t>deployment</w:t>
                            </w:r>
                          </w:p>
                          <w:p w:rsidR="00626B0A" w:rsidRDefault="00626B0A" w:rsidP="00626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291.65pt;margin-top:63.85pt;width:70.8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" fillcolor="#0a1688" stroked="f" strokeweight="2pt">
                <v:path arrowok="t"/>
                <v:textbox>
                  <w:txbxContent>
                    <w:p w:rsidR="00626B0A" w:rsidRPr="0062021F" w:rsidRDefault="00626B0A" w:rsidP="00626B0A">
                      <w:pPr>
                        <w:spacing w:before="60"/>
                        <w:ind w:left="-142" w:right="-62"/>
                        <w:jc w:val="center"/>
                        <w:rPr>
                          <w:b/>
                          <w:color w:val="FFFFFF"/>
                          <w:sz w:val="16"/>
                        </w:rPr>
                      </w:pPr>
                      <w:r w:rsidRPr="0062021F">
                        <w:rPr>
                          <w:b/>
                          <w:color w:val="FFFFFF"/>
                          <w:sz w:val="16"/>
                        </w:rPr>
                        <w:t>Challenges</w:t>
                      </w:r>
                    </w:p>
                    <w:p w:rsidR="00626B0A" w:rsidRPr="0062021F" w:rsidRDefault="00626B0A" w:rsidP="00626B0A">
                      <w:pPr>
                        <w:ind w:left="-142" w:right="-62"/>
                        <w:jc w:val="center"/>
                        <w:rPr>
                          <w:b/>
                          <w:color w:val="FFFFFF"/>
                          <w:sz w:val="16"/>
                        </w:rPr>
                      </w:pPr>
                      <w:r w:rsidRPr="0062021F">
                        <w:rPr>
                          <w:b/>
                          <w:color w:val="FFFFFF"/>
                          <w:sz w:val="16"/>
                        </w:rPr>
                        <w:t>in ITS</w:t>
                      </w:r>
                    </w:p>
                    <w:p w:rsidR="00626B0A" w:rsidRPr="0062021F" w:rsidRDefault="00626B0A" w:rsidP="00626B0A">
                      <w:pPr>
                        <w:ind w:left="-142" w:right="-62"/>
                        <w:jc w:val="center"/>
                        <w:rPr>
                          <w:b/>
                          <w:color w:val="FFFFFF"/>
                          <w:sz w:val="16"/>
                        </w:rPr>
                      </w:pPr>
                      <w:r w:rsidRPr="0062021F">
                        <w:rPr>
                          <w:b/>
                          <w:color w:val="FFFFFF"/>
                          <w:sz w:val="16"/>
                        </w:rPr>
                        <w:t>deployment</w:t>
                      </w:r>
                    </w:p>
                    <w:p w:rsidR="00626B0A" w:rsidRDefault="00626B0A" w:rsidP="00626B0A">
                      <w:pPr>
                        <w:jc w:val="center"/>
                      </w:pPr>
                    </w:p>
                  </w:txbxContent>
                </v:textbox>
              </v:oval>
            </w:pict>
          </mc:Fallback>
        </mc:AlternateContent>
      </w:r>
      <w:r w:rsidR="00626B0A" w:rsidRPr="0074075C">
        <w:rPr>
          <w:noProof/>
          <w:lang w:val="en-US"/>
        </w:rPr>
        <w:drawing>
          <wp:anchor distT="0" distB="0" distL="114300" distR="114300" simplePos="0" relativeHeight="251661312" behindDoc="0" locked="0" layoutInCell="1" allowOverlap="1" wp14:anchorId="74E19A79" wp14:editId="0DEFFEA9">
            <wp:simplePos x="0" y="0"/>
            <wp:positionH relativeFrom="column">
              <wp:posOffset>3084830</wp:posOffset>
            </wp:positionH>
            <wp:positionV relativeFrom="paragraph">
              <wp:posOffset>137795</wp:posOffset>
            </wp:positionV>
            <wp:extent cx="2157730" cy="2170430"/>
            <wp:effectExtent l="19050" t="0" r="0" b="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157730" cy="2170430"/>
                    </a:xfrm>
                    <a:prstGeom prst="rect">
                      <a:avLst/>
                    </a:prstGeom>
                    <a:noFill/>
                  </pic:spPr>
                </pic:pic>
              </a:graphicData>
            </a:graphic>
          </wp:anchor>
        </w:drawing>
      </w:r>
      <w:proofErr w:type="gramStart"/>
      <w:r w:rsidR="00626B0A" w:rsidRPr="0074075C">
        <w:t>1</w:t>
      </w:r>
      <w:r w:rsidR="007414FB">
        <w:t>1</w:t>
      </w:r>
      <w:r w:rsidR="00626B0A" w:rsidRPr="0074075C">
        <w:t>.</w:t>
      </w:r>
      <w:r w:rsidR="00626B0A" w:rsidRPr="0074075C">
        <w:tab/>
      </w:r>
      <w:r w:rsidR="009D187D">
        <w:t>Over the past few years</w:t>
      </w:r>
      <w:proofErr w:type="gramEnd"/>
      <w:r w:rsidR="009D187D">
        <w:t xml:space="preserve"> ITS deployment has started to take off and </w:t>
      </w:r>
      <w:r w:rsidR="00C20492">
        <w:t>thus today</w:t>
      </w:r>
      <w:r w:rsidR="009D187D">
        <w:t xml:space="preserve"> it is no longer looked upon as </w:t>
      </w:r>
      <w:r w:rsidR="007414FB">
        <w:t xml:space="preserve">a </w:t>
      </w:r>
      <w:r w:rsidR="009D187D">
        <w:t>futuristic idea</w:t>
      </w:r>
      <w:r w:rsidR="00C20492">
        <w:t xml:space="preserve"> in a growing number of countries</w:t>
      </w:r>
      <w:r w:rsidR="009D187D">
        <w:t xml:space="preserve">, but accepted as solution to daily mobility issues. At the same time, many obstacles to </w:t>
      </w:r>
      <w:proofErr w:type="gramStart"/>
      <w:r w:rsidR="00C20492">
        <w:t>ITS</w:t>
      </w:r>
      <w:proofErr w:type="gramEnd"/>
      <w:r w:rsidR="00C20492">
        <w:t xml:space="preserve"> –</w:t>
      </w:r>
      <w:r w:rsidR="009D187D">
        <w:t xml:space="preserve"> as identified in the UNECE strategy package on ITS – </w:t>
      </w:r>
      <w:r w:rsidR="00EE20D0">
        <w:t xml:space="preserve">still </w:t>
      </w:r>
      <w:r w:rsidR="009D187D">
        <w:t xml:space="preserve">remain to be </w:t>
      </w:r>
      <w:r w:rsidR="00832BB6">
        <w:t>an issue.</w:t>
      </w:r>
      <w:r w:rsidR="00CA6C62">
        <w:t xml:space="preserve"> </w:t>
      </w:r>
    </w:p>
    <w:p w:rsidR="00626B0A" w:rsidRPr="0074075C" w:rsidRDefault="00626B0A" w:rsidP="00626B0A">
      <w:pPr>
        <w:pStyle w:val="SingleTxtG"/>
      </w:pPr>
      <w:r w:rsidRPr="0074075C">
        <w:t>1</w:t>
      </w:r>
      <w:r w:rsidR="007414FB">
        <w:t>2</w:t>
      </w:r>
      <w:r w:rsidRPr="0074075C">
        <w:t>.</w:t>
      </w:r>
      <w:r w:rsidRPr="0074075C">
        <w:tab/>
        <w:t xml:space="preserve">Good governance is essential and its shortcomings create an overarching web of impediments. There are several distinctive and very specific obstacles that need to be resolved by policymakers for ITS to begin realizing its </w:t>
      </w:r>
      <w:r w:rsidR="00832BB6">
        <w:t xml:space="preserve">full </w:t>
      </w:r>
      <w:r w:rsidRPr="0074075C">
        <w:t xml:space="preserve">potential. In this </w:t>
      </w:r>
      <w:r w:rsidR="00C20492" w:rsidRPr="0074075C">
        <w:t>overview,</w:t>
      </w:r>
      <w:r w:rsidRPr="0074075C">
        <w:t xml:space="preserve"> we will focus on </w:t>
      </w:r>
      <w:r w:rsidR="00747B27">
        <w:t>i</w:t>
      </w:r>
      <w:r w:rsidRPr="0074075C">
        <w:t xml:space="preserve">nteroperability, </w:t>
      </w:r>
      <w:r w:rsidR="00747B27">
        <w:t>f</w:t>
      </w:r>
      <w:r w:rsidRPr="0074075C">
        <w:t xml:space="preserve">ragmentation of technical standards and </w:t>
      </w:r>
      <w:r w:rsidR="00747B27">
        <w:t>h</w:t>
      </w:r>
      <w:r w:rsidR="00747B27" w:rsidRPr="0074075C">
        <w:t xml:space="preserve">armonization </w:t>
      </w:r>
      <w:r w:rsidRPr="0074075C">
        <w:t>of policies.</w:t>
      </w:r>
      <w:r w:rsidR="00DE4DE0" w:rsidRPr="0074075C">
        <w:rPr>
          <w:rStyle w:val="FootnoteReference"/>
        </w:rPr>
        <w:footnoteReference w:id="3"/>
      </w:r>
    </w:p>
    <w:p w:rsidR="00626B0A" w:rsidRPr="0074075C" w:rsidRDefault="00626B0A" w:rsidP="00626B0A">
      <w:pPr>
        <w:pStyle w:val="H1G"/>
      </w:pPr>
      <w:r w:rsidRPr="0074075C">
        <w:tab/>
        <w:t>A.</w:t>
      </w:r>
      <w:r w:rsidRPr="0074075C">
        <w:tab/>
        <w:t>Interoperability</w:t>
      </w:r>
    </w:p>
    <w:p w:rsidR="00626B0A" w:rsidRPr="0074075C" w:rsidRDefault="00626B0A" w:rsidP="00626B0A">
      <w:pPr>
        <w:pStyle w:val="SingleTxtG"/>
      </w:pPr>
      <w:r w:rsidRPr="0074075C">
        <w:t>1</w:t>
      </w:r>
      <w:r w:rsidR="007414FB">
        <w:t>3</w:t>
      </w:r>
      <w:r w:rsidRPr="0074075C">
        <w:t>.</w:t>
      </w:r>
      <w:r w:rsidRPr="0074075C">
        <w:tab/>
        <w:t>Standardiza</w:t>
      </w:r>
      <w:r w:rsidRPr="0074075C">
        <w:rPr>
          <w:rFonts w:ascii="Calibri" w:hAnsi="Calibri" w:cs="Calibri"/>
        </w:rPr>
        <w:t>ti</w:t>
      </w:r>
      <w:r w:rsidRPr="0074075C">
        <w:t>on currently focuses on coopera</w:t>
      </w:r>
      <w:r w:rsidRPr="0074075C">
        <w:rPr>
          <w:rFonts w:ascii="Calibri" w:hAnsi="Calibri" w:cs="Calibri"/>
        </w:rPr>
        <w:t>ti</w:t>
      </w:r>
      <w:r w:rsidRPr="0074075C">
        <w:t>ve systems and interoperability of ITS technologies. Since ITS have a global dimension, great a</w:t>
      </w:r>
      <w:r w:rsidRPr="0074075C">
        <w:rPr>
          <w:rFonts w:ascii="Calibri" w:hAnsi="Calibri" w:cs="Calibri"/>
        </w:rPr>
        <w:t>t</w:t>
      </w:r>
      <w:r w:rsidRPr="00747B27">
        <w:t>te</w:t>
      </w:r>
      <w:r w:rsidR="004E5F59" w:rsidRPr="00EE20D0">
        <w:t>nt</w:t>
      </w:r>
      <w:r w:rsidRPr="00747B27">
        <w:t>i</w:t>
      </w:r>
      <w:r w:rsidRPr="0074075C">
        <w:t>on is given to the crea</w:t>
      </w:r>
      <w:r w:rsidRPr="0074075C">
        <w:rPr>
          <w:rFonts w:ascii="Calibri" w:hAnsi="Calibri" w:cs="Calibri"/>
        </w:rPr>
        <w:t>ti</w:t>
      </w:r>
      <w:r w:rsidRPr="0074075C">
        <w:t>on of commonly agreed standards for the network architecture, protocols and transmission formats. Having such a set of commonly agreed standards</w:t>
      </w:r>
      <w:r w:rsidR="00832BB6">
        <w:t xml:space="preserve"> could </w:t>
      </w:r>
      <w:r w:rsidRPr="0074075C">
        <w:t>lead to a global harmoniza</w:t>
      </w:r>
      <w:r w:rsidRPr="0074075C">
        <w:rPr>
          <w:rFonts w:ascii="Calibri" w:hAnsi="Calibri" w:cs="Calibri"/>
        </w:rPr>
        <w:t>ti</w:t>
      </w:r>
      <w:r w:rsidRPr="0074075C">
        <w:t>on of ITS services and applica</w:t>
      </w:r>
      <w:r w:rsidRPr="0074075C">
        <w:rPr>
          <w:rFonts w:ascii="Calibri" w:hAnsi="Calibri" w:cs="Calibri"/>
        </w:rPr>
        <w:t>ti</w:t>
      </w:r>
      <w:r w:rsidRPr="0074075C">
        <w:t>ons. A key issue when working on such standards is ensuring interoperability. However, systems in use across different parts of the world remain incompatible and fragmented. This becomes problematic since vehicles travel across regions and national borders and therefore interoperability becomes essential not only within national frontiers, but also across regional trade blocks and internationally, at large.</w:t>
      </w:r>
    </w:p>
    <w:p w:rsidR="00626B0A" w:rsidRPr="0074075C" w:rsidRDefault="00626B0A" w:rsidP="00626B0A">
      <w:pPr>
        <w:pStyle w:val="H1G"/>
      </w:pPr>
      <w:r w:rsidRPr="0074075C">
        <w:tab/>
        <w:t>B.</w:t>
      </w:r>
      <w:r w:rsidRPr="0074075C">
        <w:tab/>
        <w:t>Fragmentation of technical standards</w:t>
      </w:r>
    </w:p>
    <w:p w:rsidR="00626B0A" w:rsidRPr="0074075C" w:rsidRDefault="00626B0A" w:rsidP="00626B0A">
      <w:pPr>
        <w:pStyle w:val="SingleTxtG"/>
      </w:pPr>
      <w:r w:rsidRPr="0074075C">
        <w:t>1</w:t>
      </w:r>
      <w:r w:rsidR="00FB0C56">
        <w:t>4</w:t>
      </w:r>
      <w:r w:rsidRPr="0074075C">
        <w:t>.</w:t>
      </w:r>
      <w:r w:rsidRPr="0074075C">
        <w:tab/>
        <w:t>Most nations still have their own unique automotive safety and environmental regulations</w:t>
      </w:r>
      <w:r w:rsidR="00EE20D0">
        <w:t xml:space="preserve">, which are not harmonised internationally despite the high level of globalisation of the </w:t>
      </w:r>
      <w:r w:rsidR="00C20492">
        <w:t>automotive</w:t>
      </w:r>
      <w:r w:rsidR="00EE20D0">
        <w:t xml:space="preserve"> sector</w:t>
      </w:r>
      <w:r w:rsidRPr="0074075C">
        <w:t xml:space="preserve">. </w:t>
      </w:r>
      <w:proofErr w:type="gramStart"/>
      <w:r w:rsidRPr="0074075C">
        <w:t>As a result</w:t>
      </w:r>
      <w:proofErr w:type="gramEnd"/>
      <w:r w:rsidRPr="0074075C">
        <w:t xml:space="preserve"> of this regulatory diversity, a hot-selling vehicle in one market simply cannot be sold in other markets. A car certified as having met all regulations in the country of origin cannot obtain approval for sale in other nations without incurring substantial additional </w:t>
      </w:r>
      <w:r w:rsidR="00EE20D0">
        <w:t xml:space="preserve">time and financial </w:t>
      </w:r>
      <w:r w:rsidRPr="0074075C">
        <w:t>costs. Looking ahead, technical changes in the automotive industry will continue at a dizzying pace as a result of consumer preferences for new vehicles (energy efficient and safer, ITS compatible and “smarter”) and stricter environmental standards, among other things (e.g. climate change mitigation).</w:t>
      </w:r>
    </w:p>
    <w:p w:rsidR="00626B0A" w:rsidRPr="0074075C" w:rsidRDefault="00626B0A" w:rsidP="00626B0A">
      <w:pPr>
        <w:pStyle w:val="SingleTxtG"/>
      </w:pPr>
      <w:r w:rsidRPr="0074075C">
        <w:lastRenderedPageBreak/>
        <w:t>1</w:t>
      </w:r>
      <w:r w:rsidR="00FB0C56">
        <w:t>5</w:t>
      </w:r>
      <w:r w:rsidRPr="0074075C">
        <w:t>.</w:t>
      </w:r>
      <w:r w:rsidRPr="0074075C">
        <w:tab/>
        <w:t>Manufacturers</w:t>
      </w:r>
      <w:r w:rsidR="00832BB6">
        <w:t>’</w:t>
      </w:r>
      <w:r w:rsidRPr="0074075C">
        <w:t xml:space="preserve"> interests are to sell common platform vehicles globally and they will expect to do so efficiently (e.g. avoiding having to achieve compliance with different standards or regulations market by market). A workable, inclusive process for establishing an international legal framework must keep pace with the new technologies that the industry’s emphasis on differentiating technology will most likely create.</w:t>
      </w:r>
    </w:p>
    <w:p w:rsidR="00626B0A" w:rsidRPr="0074075C" w:rsidRDefault="00626B0A" w:rsidP="00626B0A">
      <w:pPr>
        <w:pStyle w:val="H1G"/>
      </w:pPr>
      <w:r w:rsidRPr="0074075C">
        <w:tab/>
        <w:t>C.</w:t>
      </w:r>
      <w:r w:rsidRPr="0074075C">
        <w:tab/>
        <w:t>Lack of harmonized policies</w:t>
      </w:r>
    </w:p>
    <w:p w:rsidR="00626B0A" w:rsidRPr="0074075C" w:rsidRDefault="00626B0A" w:rsidP="00626B0A">
      <w:pPr>
        <w:pStyle w:val="SingleTxtG"/>
      </w:pPr>
      <w:r w:rsidRPr="0074075C">
        <w:t>1</w:t>
      </w:r>
      <w:r w:rsidR="00FB0C56">
        <w:t>6</w:t>
      </w:r>
      <w:r w:rsidRPr="0074075C">
        <w:t>.</w:t>
      </w:r>
      <w:r w:rsidRPr="0074075C">
        <w:tab/>
        <w:t xml:space="preserve">Given that the design and industrial development cycle of innovative technologies is shorter than the policy cycle for such innovation, </w:t>
      </w:r>
      <w:r w:rsidR="00EE20D0">
        <w:t xml:space="preserve">transport policy decision-makers and </w:t>
      </w:r>
      <w:r w:rsidRPr="0074075C">
        <w:t xml:space="preserve">regulatory authorities must speed-up their efforts to maximize the potential offered by implementation. </w:t>
      </w:r>
      <w:r w:rsidR="00832BB6">
        <w:t>I</w:t>
      </w:r>
      <w:r w:rsidR="00832BB6" w:rsidRPr="0074075C">
        <w:t xml:space="preserve">ndustries </w:t>
      </w:r>
      <w:r w:rsidRPr="0074075C">
        <w:t xml:space="preserve">are intensively developing and implementing innovative technologies in various transport fields. However, most regulatory efforts remain in the domain of national legislations (notwithstanding the EU case) thereby missing institutional coordination among other countries. Looking at the ECE region, which includes countries </w:t>
      </w:r>
      <w:r w:rsidR="00EE20D0">
        <w:t>of</w:t>
      </w:r>
      <w:r w:rsidR="00EE20D0" w:rsidRPr="0074075C">
        <w:t xml:space="preserve"> </w:t>
      </w:r>
      <w:r w:rsidRPr="0074075C">
        <w:t xml:space="preserve">North America, Europe and Central Asia, harmonization of ITS requirements </w:t>
      </w:r>
      <w:proofErr w:type="gramStart"/>
      <w:r w:rsidRPr="0074075C">
        <w:t>is warranted</w:t>
      </w:r>
      <w:proofErr w:type="gramEnd"/>
      <w:r w:rsidRPr="0074075C">
        <w:t xml:space="preserve"> across the borders, particularly in the context of the Euro-Asian transport linkages. Failing to do so would result in the promotion of ITS applications without internationally agreed-upon standards. This in fact could prove to be an obstacle to further development.</w:t>
      </w:r>
      <w:r w:rsidR="00EE20D0">
        <w:t xml:space="preserve"> </w:t>
      </w:r>
    </w:p>
    <w:p w:rsidR="00626B0A" w:rsidRPr="0074075C" w:rsidRDefault="00FB0C56" w:rsidP="00626B0A">
      <w:pPr>
        <w:pStyle w:val="SingleTxtG"/>
      </w:pPr>
      <w:r>
        <w:t>17</w:t>
      </w:r>
      <w:r w:rsidR="00626B0A" w:rsidRPr="0074075C">
        <w:t>.</w:t>
      </w:r>
      <w:r w:rsidR="00626B0A" w:rsidRPr="0074075C">
        <w:tab/>
        <w:t xml:space="preserve">Therefore, perhaps </w:t>
      </w:r>
      <w:r w:rsidR="00EE20D0">
        <w:t xml:space="preserve">one of </w:t>
      </w:r>
      <w:r w:rsidR="00626B0A" w:rsidRPr="0074075C">
        <w:t xml:space="preserve">the biggest </w:t>
      </w:r>
      <w:r w:rsidR="00C20492" w:rsidRPr="0074075C">
        <w:t>challenges</w:t>
      </w:r>
      <w:r w:rsidR="00626B0A" w:rsidRPr="0074075C">
        <w:t xml:space="preserve"> today </w:t>
      </w:r>
      <w:r w:rsidR="00747B27">
        <w:t xml:space="preserve">would be </w:t>
      </w:r>
      <w:r w:rsidR="00832BB6">
        <w:t xml:space="preserve">to </w:t>
      </w:r>
      <w:r w:rsidR="00626B0A" w:rsidRPr="0074075C">
        <w:t xml:space="preserve">avoid the myriad of incompatible applications. </w:t>
      </w:r>
      <w:r w:rsidR="00EE20D0" w:rsidRPr="0074075C">
        <w:t xml:space="preserve">The development of standards and agreements between </w:t>
      </w:r>
      <w:r w:rsidR="00C20492" w:rsidRPr="0074075C">
        <w:t>neighbouring</w:t>
      </w:r>
      <w:r w:rsidR="00EE20D0" w:rsidRPr="0074075C">
        <w:t xml:space="preserve"> countries on common architecture are both difficult and time-consuming exercises.</w:t>
      </w:r>
      <w:r w:rsidR="00EE20D0" w:rsidRPr="00EE20D0">
        <w:t xml:space="preserve"> </w:t>
      </w:r>
      <w:r w:rsidR="00EE20D0" w:rsidRPr="0074075C">
        <w:t>While waiting for them,</w:t>
      </w:r>
      <w:r w:rsidR="00CA6C62">
        <w:t xml:space="preserve"> </w:t>
      </w:r>
      <w:r w:rsidR="00EE20D0" w:rsidRPr="0074075C">
        <w:t xml:space="preserve">the exchange of experiences and best practices, </w:t>
      </w:r>
      <w:r w:rsidR="00EE20D0">
        <w:t xml:space="preserve">as well as the development </w:t>
      </w:r>
      <w:r w:rsidR="00C20492">
        <w:t xml:space="preserve">of </w:t>
      </w:r>
      <w:r w:rsidR="00C20492" w:rsidRPr="0074075C">
        <w:t>harmoniz</w:t>
      </w:r>
      <w:r w:rsidR="00C20492">
        <w:t xml:space="preserve">ed </w:t>
      </w:r>
      <w:r w:rsidR="00C20492" w:rsidRPr="0074075C">
        <w:t>regulations</w:t>
      </w:r>
      <w:r w:rsidR="00EE20D0" w:rsidRPr="0074075C">
        <w:t xml:space="preserve"> are </w:t>
      </w:r>
      <w:proofErr w:type="gramStart"/>
      <w:r w:rsidR="00EE20D0" w:rsidRPr="0074075C">
        <w:t>key</w:t>
      </w:r>
      <w:proofErr w:type="gramEnd"/>
      <w:r w:rsidR="00EE20D0" w:rsidRPr="0074075C">
        <w:t xml:space="preserve"> to </w:t>
      </w:r>
      <w:r w:rsidR="00EE20D0">
        <w:t>paving the way for</w:t>
      </w:r>
      <w:r w:rsidR="00EE20D0" w:rsidRPr="0074075C">
        <w:t xml:space="preserve"> interoperability.</w:t>
      </w:r>
    </w:p>
    <w:p w:rsidR="00626B0A" w:rsidRPr="0074075C" w:rsidRDefault="00FB0C56" w:rsidP="00626B0A">
      <w:pPr>
        <w:pStyle w:val="SingleTxtG"/>
      </w:pPr>
      <w:r>
        <w:t>18</w:t>
      </w:r>
      <w:r w:rsidR="00626B0A" w:rsidRPr="0074075C">
        <w:t>.</w:t>
      </w:r>
      <w:r w:rsidR="00626B0A" w:rsidRPr="0074075C">
        <w:tab/>
      </w:r>
      <w:r w:rsidR="00EE20D0">
        <w:t>An even bigger challenge however is to embrace a policy changes that moves away from traditional, supply-driven transport policies to modern, demand driven mobility policies that are able to build on new technologies in transport and communication.</w:t>
      </w:r>
      <w:r w:rsidR="00CA6C62">
        <w:t xml:space="preserve"> </w:t>
      </w:r>
    </w:p>
    <w:p w:rsidR="00626B0A" w:rsidRPr="0074075C" w:rsidRDefault="00626B0A" w:rsidP="00626B0A">
      <w:pPr>
        <w:pStyle w:val="HChG"/>
      </w:pPr>
      <w:r w:rsidRPr="0074075C">
        <w:tab/>
        <w:t>V.</w:t>
      </w:r>
      <w:r w:rsidRPr="0074075C">
        <w:tab/>
        <w:t>Ongoing activities and actors in the field of ITS</w:t>
      </w:r>
    </w:p>
    <w:p w:rsidR="00626B0A" w:rsidRPr="0074075C" w:rsidRDefault="00626B0A" w:rsidP="00626B0A">
      <w:pPr>
        <w:pStyle w:val="H1G"/>
      </w:pPr>
      <w:r w:rsidRPr="0074075C">
        <w:tab/>
        <w:t>A.</w:t>
      </w:r>
      <w:r w:rsidRPr="0074075C">
        <w:tab/>
        <w:t>ITS World Congress</w:t>
      </w:r>
    </w:p>
    <w:p w:rsidR="00626B0A" w:rsidRPr="0074075C" w:rsidRDefault="00FB0C56" w:rsidP="00626B0A">
      <w:pPr>
        <w:pStyle w:val="SingleTxtG"/>
      </w:pPr>
      <w:r>
        <w:t>19</w:t>
      </w:r>
      <w:r w:rsidR="00626B0A" w:rsidRPr="0074075C">
        <w:t>.</w:t>
      </w:r>
      <w:r w:rsidR="00626B0A" w:rsidRPr="0074075C">
        <w:tab/>
        <w:t xml:space="preserve">The ITS World Congress is an annual international conference focused on ITS. </w:t>
      </w:r>
      <w:r w:rsidR="00AB1CA4">
        <w:t xml:space="preserve">The organisation of the annual ITS World Congress is one the </w:t>
      </w:r>
      <w:r w:rsidR="00C20492">
        <w:t>achievements</w:t>
      </w:r>
      <w:r w:rsidR="00AB1CA4">
        <w:t xml:space="preserve"> of the cooperation among ERTICO, ITS America</w:t>
      </w:r>
      <w:r w:rsidR="008F7B39">
        <w:t xml:space="preserve">, </w:t>
      </w:r>
      <w:r w:rsidR="00AB1CA4">
        <w:t xml:space="preserve">ITS Asia </w:t>
      </w:r>
      <w:r w:rsidR="008F7B39">
        <w:t>Pacific</w:t>
      </w:r>
      <w:r w:rsidR="008F7B39" w:rsidRPr="00FC13A1">
        <w:t xml:space="preserve"> </w:t>
      </w:r>
      <w:r w:rsidR="008F7B39">
        <w:t>and ITS Australia</w:t>
      </w:r>
      <w:r w:rsidR="008F7B39">
        <w:t>.</w:t>
      </w:r>
      <w:r w:rsidR="00AB1CA4">
        <w:t xml:space="preserve"> </w:t>
      </w:r>
      <w:r w:rsidR="00626B0A" w:rsidRPr="0074075C">
        <w:t xml:space="preserve">It </w:t>
      </w:r>
      <w:r w:rsidR="00626B0A" w:rsidRPr="0074075C">
        <w:lastRenderedPageBreak/>
        <w:t xml:space="preserve">brings together international ITS experts, professionals, public and private sector leaders, academics, researchers, engineers and students, representing all corners of the ITS industry, for the purpose of showcasing and discussing latest developments and ongoing challenges in its applications. These identified challenges mirror the </w:t>
      </w:r>
      <w:r w:rsidR="00C20492" w:rsidRPr="0074075C">
        <w:t>above-described</w:t>
      </w:r>
      <w:r w:rsidR="00626B0A" w:rsidRPr="0074075C">
        <w:t xml:space="preserve"> needs to harmonize policies, standardize technologies and ensure interoperability. Industry representatives present annually at the ITS World Congress are particularly emphasizing the importance of overcoming these obstacles for securing a cost effective and geographically broad and harmonized application of ITS products, such that would ensure the expected dividends of ITS applications. In other words, these opinions represent appeals to governments to work towards internationally harmonizing all ITS relevant regulation</w:t>
      </w:r>
      <w:r w:rsidR="00AB1CA4">
        <w:t>s, and also to address the policy implications</w:t>
      </w:r>
      <w:r w:rsidR="00626B0A" w:rsidRPr="0074075C">
        <w:t>.</w:t>
      </w:r>
    </w:p>
    <w:p w:rsidR="00626B0A" w:rsidRPr="0074075C" w:rsidRDefault="00626B0A" w:rsidP="00626B0A">
      <w:pPr>
        <w:pStyle w:val="H1G"/>
      </w:pPr>
      <w:r w:rsidRPr="0074075C">
        <w:tab/>
        <w:t>B.</w:t>
      </w:r>
      <w:r w:rsidRPr="0074075C">
        <w:tab/>
        <w:t>ITS activities of UNECE – Vision and Strategy</w:t>
      </w:r>
    </w:p>
    <w:p w:rsidR="00626B0A" w:rsidRPr="0074075C" w:rsidRDefault="00626B0A" w:rsidP="00626B0A">
      <w:pPr>
        <w:pStyle w:val="SingleTxtG"/>
      </w:pPr>
      <w:r w:rsidRPr="0074075C">
        <w:t>2</w:t>
      </w:r>
      <w:r w:rsidR="00FB0C56">
        <w:t>0</w:t>
      </w:r>
      <w:r w:rsidRPr="0074075C">
        <w:t>.</w:t>
      </w:r>
      <w:r w:rsidRPr="0074075C">
        <w:tab/>
        <w:t xml:space="preserve">ITS have been on the agenda of the UNECE Inland Transport Committee (ITC) and its subsidiary bodies since 2003. The first </w:t>
      </w:r>
      <w:r w:rsidR="00832BB6">
        <w:t>ITC</w:t>
      </w:r>
      <w:r w:rsidR="00832BB6" w:rsidRPr="0074075C">
        <w:t xml:space="preserve"> </w:t>
      </w:r>
      <w:r w:rsidR="00747B27" w:rsidRPr="0074075C">
        <w:t>round t</w:t>
      </w:r>
      <w:r w:rsidRPr="0074075C">
        <w:t xml:space="preserve">able on ITS in 2004 focused on technological issues and called for </w:t>
      </w:r>
      <w:r w:rsidR="00747B27">
        <w:t xml:space="preserve">increased </w:t>
      </w:r>
      <w:r w:rsidRPr="0074075C">
        <w:t xml:space="preserve">technical harmonization. </w:t>
      </w:r>
      <w:proofErr w:type="gramStart"/>
      <w:r w:rsidRPr="0074075C">
        <w:t xml:space="preserve">ITS </w:t>
      </w:r>
      <w:r w:rsidR="00747B27">
        <w:t>were</w:t>
      </w:r>
      <w:proofErr w:type="gramEnd"/>
      <w:r w:rsidR="00747B27">
        <w:t xml:space="preserve"> </w:t>
      </w:r>
      <w:r w:rsidRPr="0074075C">
        <w:t xml:space="preserve">discussed and </w:t>
      </w:r>
      <w:r w:rsidR="00747B27">
        <w:t xml:space="preserve">became the </w:t>
      </w:r>
      <w:r w:rsidRPr="0074075C">
        <w:t xml:space="preserve">object of specific legal instruments thanks to the work of several </w:t>
      </w:r>
      <w:r w:rsidR="00C20492">
        <w:t xml:space="preserve">ITC </w:t>
      </w:r>
      <w:r w:rsidR="00C20492" w:rsidRPr="0074075C">
        <w:t>bodies</w:t>
      </w:r>
      <w:r w:rsidRPr="0074075C">
        <w:t xml:space="preserve">. Within their mandates, </w:t>
      </w:r>
      <w:r w:rsidR="00832BB6">
        <w:t>ITC</w:t>
      </w:r>
      <w:r w:rsidR="00832BB6" w:rsidRPr="0074075C">
        <w:t xml:space="preserve"> </w:t>
      </w:r>
      <w:r w:rsidRPr="0074075C">
        <w:t>Working Parties have been addressing a number of the listed ITS-related matters. The World Forum for Harmonization of Vehicle Regulations (WP.29) hosts a group of experts that provides general guidance on how to incorporate provisions of intelligent vehicle systems into the Vehicle Regulations (Informal Working Group on ITS – Automated Driving (ITS/AD)). The Working Party on Road Safety (WP.1) is engaged in debates on liability concerns and is charged with maintaining, as well as modernizing, the Convention on Road Signs and Signals and the Convention on Road Traffic (Vienna Conventions).</w:t>
      </w:r>
      <w:r w:rsidR="0053615C" w:rsidRPr="0074075C">
        <w:rPr>
          <w:rStyle w:val="FootnoteReference"/>
        </w:rPr>
        <w:footnoteReference w:id="4"/>
      </w:r>
      <w:r w:rsidRPr="0074075C">
        <w:t xml:space="preserve"> Furthermore, it pursues the harmonization of Variable Message Signs (VMS). Cooperation </w:t>
      </w:r>
      <w:r w:rsidR="00832BB6">
        <w:t>at working party level</w:t>
      </w:r>
      <w:r w:rsidRPr="0074075C">
        <w:t xml:space="preserve"> was established </w:t>
      </w:r>
      <w:r w:rsidR="00832BB6">
        <w:t>through</w:t>
      </w:r>
      <w:r w:rsidRPr="0074075C">
        <w:t xml:space="preserve"> the informal working group on automated driving, with WP.1 liaising with the WP.29 informal working group on ITS/AD.</w:t>
      </w:r>
    </w:p>
    <w:p w:rsidR="00626B0A" w:rsidRPr="0074075C" w:rsidRDefault="00626B0A" w:rsidP="003802F5">
      <w:pPr>
        <w:pStyle w:val="SingleTxtG"/>
      </w:pPr>
      <w:r w:rsidRPr="0074075C">
        <w:t>2</w:t>
      </w:r>
      <w:r w:rsidR="00FB0C56">
        <w:t>1</w:t>
      </w:r>
      <w:r w:rsidRPr="0074075C">
        <w:t>.</w:t>
      </w:r>
      <w:r w:rsidRPr="0074075C">
        <w:tab/>
        <w:t>The Working Party on the Transport of Dangerous Goods (WP.15) is examining how Telematics can be used to enhance safety and security. The Working Party on Inland Water Transport (SC.3) works on applications of River Information Systems, while the Working Party on Road Transport (SC.1) deals with the Digital Tachograph and e-CMR</w:t>
      </w:r>
      <w:r w:rsidR="0053615C" w:rsidRPr="0074075C">
        <w:t>.</w:t>
      </w:r>
      <w:r w:rsidR="0053615C" w:rsidRPr="0074075C">
        <w:rPr>
          <w:rStyle w:val="FootnoteReference"/>
        </w:rPr>
        <w:footnoteReference w:id="5"/>
      </w:r>
      <w:r w:rsidRPr="0074075C">
        <w:t xml:space="preserve"> </w:t>
      </w:r>
      <w:r w:rsidR="00AB1CA4">
        <w:t xml:space="preserve">It is also in charge of the Pan-European road infrastructure agreement, the AGR. </w:t>
      </w:r>
      <w:r w:rsidRPr="0074075C">
        <w:t xml:space="preserve">In addition, discussions regarding governance of </w:t>
      </w:r>
      <w:proofErr w:type="gramStart"/>
      <w:r w:rsidRPr="0074075C">
        <w:t>ITS</w:t>
      </w:r>
      <w:proofErr w:type="gramEnd"/>
      <w:r w:rsidRPr="0074075C">
        <w:t xml:space="preserve"> and the incorporations of their applications into transport systems also take place</w:t>
      </w:r>
      <w:r w:rsidR="00AB1CA4">
        <w:t xml:space="preserve"> in</w:t>
      </w:r>
      <w:r w:rsidRPr="0074075C">
        <w:t>:</w:t>
      </w:r>
      <w:r w:rsidR="00AB1CA4">
        <w:t xml:space="preserve"> </w:t>
      </w:r>
    </w:p>
    <w:p w:rsidR="00626B0A" w:rsidRPr="0074075C" w:rsidRDefault="00626B0A" w:rsidP="00626B0A">
      <w:pPr>
        <w:pStyle w:val="Bullet1G"/>
        <w:numPr>
          <w:ilvl w:val="0"/>
          <w:numId w:val="23"/>
        </w:numPr>
      </w:pPr>
      <w:r w:rsidRPr="0074075C">
        <w:t>Working Party on Intermodal Transport and Logistics (WP.24)</w:t>
      </w:r>
    </w:p>
    <w:p w:rsidR="00626B0A" w:rsidRPr="0074075C" w:rsidRDefault="00626B0A" w:rsidP="00626B0A">
      <w:pPr>
        <w:pStyle w:val="Bullet1G"/>
        <w:numPr>
          <w:ilvl w:val="0"/>
          <w:numId w:val="23"/>
        </w:numPr>
      </w:pPr>
      <w:r w:rsidRPr="0074075C">
        <w:t>Working Party on Customs Questions affecting Transport (WP.30)</w:t>
      </w:r>
    </w:p>
    <w:p w:rsidR="00626B0A" w:rsidRPr="0074075C" w:rsidRDefault="00AB1CA4" w:rsidP="00626B0A">
      <w:pPr>
        <w:pStyle w:val="Bullet1G"/>
        <w:numPr>
          <w:ilvl w:val="0"/>
          <w:numId w:val="23"/>
        </w:numPr>
      </w:pPr>
      <w:proofErr w:type="gramStart"/>
      <w:r>
        <w:t xml:space="preserve">Inter-governmental </w:t>
      </w:r>
      <w:r w:rsidR="00626B0A" w:rsidRPr="0074075C">
        <w:t>Infrastructure</w:t>
      </w:r>
      <w:r>
        <w:t xml:space="preserve"> Projects</w:t>
      </w:r>
      <w:r w:rsidR="00626B0A" w:rsidRPr="0074075C">
        <w:t xml:space="preserve"> (TEM</w:t>
      </w:r>
      <w:r w:rsidR="00CA6C62">
        <w:t xml:space="preserve"> </w:t>
      </w:r>
      <w:r>
        <w:t xml:space="preserve">and </w:t>
      </w:r>
      <w:r w:rsidR="00626B0A" w:rsidRPr="0074075C">
        <w:t>TER)</w:t>
      </w:r>
      <w:r>
        <w:t>.</w:t>
      </w:r>
      <w:proofErr w:type="gramEnd"/>
    </w:p>
    <w:p w:rsidR="00626B0A" w:rsidRPr="0074075C" w:rsidRDefault="00626B0A" w:rsidP="00626B0A">
      <w:pPr>
        <w:pStyle w:val="SingleTxtG"/>
      </w:pPr>
      <w:r w:rsidRPr="0074075C">
        <w:lastRenderedPageBreak/>
        <w:t>2</w:t>
      </w:r>
      <w:r w:rsidR="00FB0C56">
        <w:t>2</w:t>
      </w:r>
      <w:r w:rsidRPr="0074075C">
        <w:t>.</w:t>
      </w:r>
      <w:r w:rsidRPr="0074075C">
        <w:tab/>
        <w:t xml:space="preserve">All these bodies have expressed their wish that the Inland Transport Committee and the Sustainable Transport Division provide strategic guidance and administrative support to them with regard to ITS, especially focusing on mitigating traffic congestion, improving road traffic safety, reducing pollution and noise and improving fuel efficiency. In addition, in 2010 the </w:t>
      </w:r>
      <w:r w:rsidR="00AB1CA4">
        <w:t>Committee</w:t>
      </w:r>
      <w:r w:rsidR="00AB1CA4" w:rsidRPr="0074075C">
        <w:t xml:space="preserve"> </w:t>
      </w:r>
      <w:r w:rsidRPr="0074075C">
        <w:t xml:space="preserve">emphasized the need to take action in support of </w:t>
      </w:r>
      <w:proofErr w:type="gramStart"/>
      <w:r w:rsidRPr="0074075C">
        <w:t>ITS</w:t>
      </w:r>
      <w:proofErr w:type="gramEnd"/>
      <w:r w:rsidRPr="0074075C">
        <w:t xml:space="preserve"> in a harmonized way and backed the launch of the strategic review on how ITS can contribute to sustainable transport and what role </w:t>
      </w:r>
      <w:r w:rsidR="00B300A1">
        <w:t>the Committee</w:t>
      </w:r>
      <w:r w:rsidR="00B300A1" w:rsidRPr="0074075C">
        <w:t xml:space="preserve"> </w:t>
      </w:r>
      <w:r w:rsidR="00C20492">
        <w:t>s</w:t>
      </w:r>
      <w:r w:rsidR="00C20492" w:rsidRPr="0074075C">
        <w:t>hould</w:t>
      </w:r>
      <w:r w:rsidRPr="0074075C">
        <w:t xml:space="preserve"> play in promoting ITS solutions (UN 2012)</w:t>
      </w:r>
      <w:r w:rsidR="00B300A1">
        <w:t>.</w:t>
      </w:r>
    </w:p>
    <w:p w:rsidR="00626B0A" w:rsidRPr="0074075C" w:rsidRDefault="00626B0A" w:rsidP="00626B0A">
      <w:pPr>
        <w:pStyle w:val="SingleTxtG"/>
      </w:pPr>
      <w:r w:rsidRPr="0074075C">
        <w:t>2</w:t>
      </w:r>
      <w:r w:rsidR="00FB0C56">
        <w:t>3</w:t>
      </w:r>
      <w:r w:rsidRPr="0074075C">
        <w:t>.</w:t>
      </w:r>
      <w:r w:rsidRPr="0074075C">
        <w:tab/>
        <w:t xml:space="preserve">In response to the ITC position, the UNECE ITS </w:t>
      </w:r>
      <w:r w:rsidR="00B300A1">
        <w:t>S</w:t>
      </w:r>
      <w:r w:rsidR="00747B27" w:rsidRPr="0074075C">
        <w:t>trategy</w:t>
      </w:r>
      <w:r w:rsidR="00B300A1">
        <w:t xml:space="preserve"> Package with a</w:t>
      </w:r>
      <w:r w:rsidRPr="0074075C">
        <w:t xml:space="preserve"> Road Map</w:t>
      </w:r>
      <w:r w:rsidR="00B300A1">
        <w:t xml:space="preserve"> and Best Practices Review</w:t>
      </w:r>
      <w:r w:rsidRPr="0074075C">
        <w:t xml:space="preserve"> outlines the areas and lists the activities </w:t>
      </w:r>
      <w:r w:rsidR="00AB1CA4">
        <w:t>ITC</w:t>
      </w:r>
      <w:r w:rsidR="00AB1CA4" w:rsidRPr="0074075C">
        <w:t xml:space="preserve"> </w:t>
      </w:r>
      <w:r w:rsidRPr="0074075C">
        <w:t xml:space="preserve">can embark upon, either as a continuation of ongoing tasks, or as new initiatives. The document establishes, above all, a Vision of sustainable intelligent inland transport systems. Such transport systems are configured to provide solutions that enable sustainable and accessible transport and mobility. Intelligent transport applications embedded in the systems technically support an </w:t>
      </w:r>
      <w:r w:rsidR="00C20492" w:rsidRPr="0074075C">
        <w:t>economic</w:t>
      </w:r>
      <w:r w:rsidR="00C20492">
        <w:t xml:space="preserve"> </w:t>
      </w:r>
      <w:r w:rsidR="00C20492" w:rsidRPr="0074075C">
        <w:t>and</w:t>
      </w:r>
      <w:r w:rsidRPr="0074075C">
        <w:t xml:space="preserve"> </w:t>
      </w:r>
      <w:r w:rsidR="00C20492" w:rsidRPr="0074075C">
        <w:t>environmental</w:t>
      </w:r>
      <w:r w:rsidR="00C20492">
        <w:t xml:space="preserve"> </w:t>
      </w:r>
      <w:r w:rsidR="00C20492" w:rsidRPr="0074075C">
        <w:t>optimization</w:t>
      </w:r>
      <w:r w:rsidR="00AB1CA4">
        <w:t xml:space="preserve"> of</w:t>
      </w:r>
      <w:r w:rsidR="000839AA">
        <w:t xml:space="preserve"> </w:t>
      </w:r>
      <w:r w:rsidRPr="0074075C">
        <w:t xml:space="preserve">modal split, facilitating tailor made mobility solutions based on individual needs for transport of both persons and freight. </w:t>
      </w:r>
    </w:p>
    <w:p w:rsidR="00626B0A" w:rsidRPr="0074075C" w:rsidRDefault="00626B0A" w:rsidP="00626B0A">
      <w:pPr>
        <w:pStyle w:val="SingleTxtG"/>
      </w:pPr>
      <w:r w:rsidRPr="0074075C">
        <w:t>2</w:t>
      </w:r>
      <w:r w:rsidR="00FB0C56">
        <w:t>4</w:t>
      </w:r>
      <w:r w:rsidRPr="0074075C">
        <w:t>.</w:t>
      </w:r>
      <w:r w:rsidRPr="0074075C">
        <w:tab/>
        <w:t>Solutions can help overcom</w:t>
      </w:r>
      <w:r w:rsidR="00747B27">
        <w:t>e</w:t>
      </w:r>
      <w:r w:rsidRPr="0074075C">
        <w:t xml:space="preserve"> the physical limits of infrastructure development and growth without compromising </w:t>
      </w:r>
      <w:r w:rsidR="00B300A1">
        <w:t>increasing</w:t>
      </w:r>
      <w:r w:rsidR="00B300A1" w:rsidRPr="0074075C">
        <w:t xml:space="preserve"> </w:t>
      </w:r>
      <w:r w:rsidRPr="0074075C">
        <w:t xml:space="preserve">volumes linked to economic development, simultaneously, </w:t>
      </w:r>
      <w:r w:rsidRPr="0074075C">
        <w:rPr>
          <w:i/>
        </w:rPr>
        <w:t>inter alia</w:t>
      </w:r>
      <w:r w:rsidRPr="0074075C">
        <w:t>, enhancing safety, improving information for users, providing fair pricing solutions and securing access to mobility services for vulnerable groups (children, the elderly and persons with reduced mobility</w:t>
      </w:r>
      <w:r w:rsidR="00747B27">
        <w:t>)</w:t>
      </w:r>
      <w:r w:rsidRPr="0074075C">
        <w:t>.</w:t>
      </w:r>
    </w:p>
    <w:p w:rsidR="00626B0A" w:rsidRPr="0074075C" w:rsidRDefault="00626B0A" w:rsidP="00626B0A">
      <w:pPr>
        <w:pStyle w:val="SingleTxtG"/>
      </w:pPr>
      <w:r w:rsidRPr="0074075C">
        <w:t>2</w:t>
      </w:r>
      <w:r w:rsidR="00FB0C56">
        <w:t>5</w:t>
      </w:r>
      <w:r w:rsidRPr="0074075C">
        <w:t>.</w:t>
      </w:r>
      <w:r w:rsidRPr="0074075C">
        <w:tab/>
      </w:r>
      <w:r w:rsidR="00AB1CA4">
        <w:t>T</w:t>
      </w:r>
      <w:r w:rsidR="00AB1CA4" w:rsidRPr="0074075C">
        <w:t xml:space="preserve">he </w:t>
      </w:r>
      <w:r w:rsidRPr="0074075C">
        <w:t xml:space="preserve">Vision calls for international harmonization standards to provide for interoperability of technologies wherever they create </w:t>
      </w:r>
      <w:proofErr w:type="gramStart"/>
      <w:r w:rsidRPr="0074075C">
        <w:t>added value</w:t>
      </w:r>
      <w:proofErr w:type="gramEnd"/>
      <w:r w:rsidRPr="0074075C">
        <w:t xml:space="preserve"> and benefits. Harmonization will enable consistent use of many ITS solutions that today have limited impact </w:t>
      </w:r>
      <w:proofErr w:type="gramStart"/>
      <w:r w:rsidR="00C20492" w:rsidRPr="0074075C">
        <w:t>e.g.</w:t>
      </w:r>
      <w:r w:rsidRPr="0074075C">
        <w:t>:</w:t>
      </w:r>
      <w:proofErr w:type="gramEnd"/>
      <w:r w:rsidRPr="0074075C">
        <w:t xml:space="preserve"> application of vehicles eCall systems (emergency calls upon road vehicle accidents)</w:t>
      </w:r>
      <w:r w:rsidR="00B300A1">
        <w:t>.</w:t>
      </w:r>
    </w:p>
    <w:p w:rsidR="00AB1CA4" w:rsidRDefault="00626B0A" w:rsidP="00626B0A">
      <w:pPr>
        <w:pStyle w:val="SingleTxtG"/>
      </w:pPr>
      <w:r w:rsidRPr="0074075C">
        <w:t>2</w:t>
      </w:r>
      <w:r w:rsidR="00FB0C56">
        <w:t>6</w:t>
      </w:r>
      <w:r w:rsidRPr="0074075C">
        <w:t>.</w:t>
      </w:r>
      <w:r w:rsidR="00AB1CA4">
        <w:tab/>
      </w:r>
      <w:r w:rsidR="00AB1CA4" w:rsidRPr="0074075C">
        <w:t>Most importantly,</w:t>
      </w:r>
      <w:r w:rsidR="00AB1CA4">
        <w:t xml:space="preserve"> the Vision also calls for transport policy and institutional responses to the ITS opportunities. </w:t>
      </w:r>
      <w:r w:rsidRPr="0074075C">
        <w:tab/>
      </w:r>
      <w:r w:rsidR="00AB1CA4">
        <w:t xml:space="preserve">At national </w:t>
      </w:r>
      <w:r w:rsidR="00C20492">
        <w:t>level,</w:t>
      </w:r>
      <w:r w:rsidR="00AB1CA4">
        <w:t xml:space="preserve"> it has already been happening in a number of countries, which </w:t>
      </w:r>
      <w:r w:rsidR="00C20492">
        <w:t>are mostly high</w:t>
      </w:r>
      <w:r w:rsidR="00AB1CA4">
        <w:t xml:space="preserve"> and </w:t>
      </w:r>
      <w:r w:rsidR="00C20492">
        <w:t>middle-income</w:t>
      </w:r>
      <w:r w:rsidR="00AB1CA4">
        <w:t xml:space="preserve"> countries.</w:t>
      </w:r>
      <w:r w:rsidR="00CA6C62">
        <w:t xml:space="preserve"> </w:t>
      </w:r>
      <w:r w:rsidR="00BE7D76">
        <w:t>Sharing their experience at international platforms could facilitate that countries that have not yet embarked on the digitalisation of their transport sector are not left behind a “digital divide”.</w:t>
      </w:r>
    </w:p>
    <w:p w:rsidR="00626B0A" w:rsidRPr="0074075C" w:rsidRDefault="00BE7D76" w:rsidP="00626B0A">
      <w:pPr>
        <w:pStyle w:val="SingleTxtG"/>
      </w:pPr>
      <w:r>
        <w:t xml:space="preserve">27. </w:t>
      </w:r>
      <w:r>
        <w:tab/>
      </w:r>
      <w:r w:rsidR="00626B0A" w:rsidRPr="0074075C">
        <w:t xml:space="preserve">The path to achieving this vision is set </w:t>
      </w:r>
      <w:r w:rsidR="009F2C1A">
        <w:t xml:space="preserve">out </w:t>
      </w:r>
      <w:r w:rsidR="00626B0A" w:rsidRPr="0074075C">
        <w:t>in the twenty global actions identified in the UNECE Road Map that address ITS related technical and governance challenges. The Road Map emphasizes the need for across-the-board harmonization of ITS, in the absence of which ITS applications cannot and will not live up to their potential to holistically contribute to modernization and advancement of transport systems worldwide</w:t>
      </w:r>
      <w:r>
        <w:t>. With the adoption of</w:t>
      </w:r>
      <w:r w:rsidR="000839AA">
        <w:t xml:space="preserve"> </w:t>
      </w:r>
      <w:r w:rsidR="00B300A1">
        <w:t xml:space="preserve">the </w:t>
      </w:r>
      <w:r w:rsidR="00626B0A" w:rsidRPr="0074075C">
        <w:t>2030</w:t>
      </w:r>
      <w:r w:rsidR="00B300A1">
        <w:t xml:space="preserve"> Development Agenda</w:t>
      </w:r>
      <w:r>
        <w:t xml:space="preserve"> the implementation of the ITS Road Map of the UNECE Strategy Package has become even more important</w:t>
      </w:r>
      <w:r w:rsidR="00626B0A" w:rsidRPr="0074075C">
        <w:t>.</w:t>
      </w:r>
    </w:p>
    <w:p w:rsidR="00626B0A" w:rsidRPr="0074075C" w:rsidRDefault="00626B0A" w:rsidP="00626B0A">
      <w:pPr>
        <w:pStyle w:val="HChG"/>
      </w:pPr>
      <w:r w:rsidRPr="0074075C">
        <w:tab/>
        <w:t>VI.</w:t>
      </w:r>
      <w:r w:rsidRPr="0074075C">
        <w:tab/>
        <w:t>Recommendation</w:t>
      </w:r>
    </w:p>
    <w:p w:rsidR="00626B0A" w:rsidRPr="0074075C" w:rsidRDefault="00FB0C56" w:rsidP="00626B0A">
      <w:pPr>
        <w:pStyle w:val="SingleTxtG"/>
      </w:pPr>
      <w:r>
        <w:t>2</w:t>
      </w:r>
      <w:r w:rsidR="00F93BA7">
        <w:t>8</w:t>
      </w:r>
      <w:r w:rsidR="00626B0A" w:rsidRPr="0074075C">
        <w:t>.</w:t>
      </w:r>
      <w:r w:rsidR="00626B0A" w:rsidRPr="0074075C">
        <w:tab/>
        <w:t xml:space="preserve">ITS </w:t>
      </w:r>
      <w:r w:rsidR="00BE7D76">
        <w:t xml:space="preserve">can and will likely </w:t>
      </w:r>
      <w:proofErr w:type="gramStart"/>
      <w:r w:rsidR="00BE7D76">
        <w:t>be</w:t>
      </w:r>
      <w:proofErr w:type="gramEnd"/>
      <w:r w:rsidR="00BE7D76">
        <w:t xml:space="preserve"> a driving agent </w:t>
      </w:r>
      <w:r w:rsidR="00626B0A" w:rsidRPr="0074075C">
        <w:t xml:space="preserve">in shaping the future ways of mobility and the transport sector. </w:t>
      </w:r>
      <w:proofErr w:type="gramStart"/>
      <w:r w:rsidR="00626B0A" w:rsidRPr="0074075C">
        <w:t>Through the use of</w:t>
      </w:r>
      <w:proofErr w:type="gramEnd"/>
      <w:r w:rsidR="00626B0A" w:rsidRPr="0074075C">
        <w:t xml:space="preserve"> ITS </w:t>
      </w:r>
      <w:r w:rsidR="00C20492" w:rsidRPr="0074075C">
        <w:t>applications,</w:t>
      </w:r>
      <w:r w:rsidR="00626B0A" w:rsidRPr="0074075C">
        <w:t xml:space="preserve"> transport systems will become more efficient, safer and greener. However, as stated, technological innovation</w:t>
      </w:r>
      <w:r w:rsidR="00BE7D76">
        <w:t>s</w:t>
      </w:r>
      <w:r w:rsidR="00626B0A" w:rsidRPr="0074075C">
        <w:t xml:space="preserve"> </w:t>
      </w:r>
      <w:r w:rsidR="00BE7D76">
        <w:t>are</w:t>
      </w:r>
      <w:r w:rsidR="00BE7D76" w:rsidRPr="0074075C">
        <w:t xml:space="preserve"> </w:t>
      </w:r>
      <w:r w:rsidR="00BE7D76">
        <w:t>faster</w:t>
      </w:r>
      <w:r w:rsidR="00BE7D76" w:rsidRPr="0074075C">
        <w:t xml:space="preserve"> </w:t>
      </w:r>
      <w:r w:rsidR="00626B0A" w:rsidRPr="0074075C">
        <w:t xml:space="preserve">than the </w:t>
      </w:r>
      <w:r w:rsidR="00C20492">
        <w:t>policy</w:t>
      </w:r>
      <w:r w:rsidR="00BE7D76">
        <w:t xml:space="preserve">, </w:t>
      </w:r>
      <w:r w:rsidR="00626B0A" w:rsidRPr="0074075C">
        <w:t>legal and institutional change</w:t>
      </w:r>
      <w:r w:rsidR="00BE7D76">
        <w:t xml:space="preserve">s which </w:t>
      </w:r>
      <w:proofErr w:type="gramStart"/>
      <w:r w:rsidR="00BE7D76">
        <w:t>are warranted</w:t>
      </w:r>
      <w:proofErr w:type="gramEnd"/>
      <w:r w:rsidR="000839AA">
        <w:t xml:space="preserve"> </w:t>
      </w:r>
      <w:r w:rsidR="00626B0A" w:rsidRPr="0074075C">
        <w:t xml:space="preserve">for reaping the full benefits of their applications. This will only happen if the relevant technical solutions and services </w:t>
      </w:r>
      <w:proofErr w:type="gramStart"/>
      <w:r w:rsidR="00626B0A" w:rsidRPr="0074075C">
        <w:lastRenderedPageBreak/>
        <w:t>are successfully embedded</w:t>
      </w:r>
      <w:proofErr w:type="gramEnd"/>
      <w:r w:rsidR="00626B0A" w:rsidRPr="0074075C">
        <w:t xml:space="preserve"> in appropriate </w:t>
      </w:r>
      <w:r w:rsidR="00BE7D76">
        <w:t xml:space="preserve">and internationally harmonized </w:t>
      </w:r>
      <w:r w:rsidR="00626B0A" w:rsidRPr="0074075C">
        <w:t xml:space="preserve">policy. </w:t>
      </w:r>
    </w:p>
    <w:p w:rsidR="00626B0A" w:rsidRPr="0074075C" w:rsidRDefault="009D10D5" w:rsidP="00626B0A">
      <w:pPr>
        <w:pStyle w:val="SingleTxtG"/>
      </w:pPr>
      <w:r>
        <w:t>2</w:t>
      </w:r>
      <w:r w:rsidR="00F93BA7">
        <w:t>9</w:t>
      </w:r>
      <w:r w:rsidR="00626B0A" w:rsidRPr="0074075C">
        <w:t>.</w:t>
      </w:r>
      <w:r w:rsidR="00626B0A" w:rsidRPr="0074075C">
        <w:tab/>
      </w:r>
      <w:r w:rsidR="00B300A1">
        <w:t xml:space="preserve">While significant achievements </w:t>
      </w:r>
      <w:proofErr w:type="gramStart"/>
      <w:r w:rsidR="00B300A1">
        <w:t xml:space="preserve">have already </w:t>
      </w:r>
      <w:r w:rsidR="00BE7D76">
        <w:t xml:space="preserve">been </w:t>
      </w:r>
      <w:r w:rsidR="00B300A1">
        <w:t>made</w:t>
      </w:r>
      <w:proofErr w:type="gramEnd"/>
      <w:r w:rsidR="00B300A1">
        <w:t xml:space="preserve"> at the level of technical issues, particularly thanks to the activities of WP.29, at the level of policy and institutional changes, international dialogue is mostly absent. </w:t>
      </w:r>
      <w:r w:rsidR="00C20492" w:rsidRPr="0074075C">
        <w:t xml:space="preserve">The </w:t>
      </w:r>
      <w:r w:rsidR="00C20492">
        <w:t>Inland</w:t>
      </w:r>
      <w:r w:rsidR="00626B0A" w:rsidRPr="0074075C">
        <w:t xml:space="preserve"> Transport </w:t>
      </w:r>
      <w:r w:rsidR="00C20492" w:rsidRPr="0074075C">
        <w:t xml:space="preserve">Committee </w:t>
      </w:r>
      <w:r w:rsidR="00C20492">
        <w:t>may</w:t>
      </w:r>
      <w:r w:rsidR="004C1D68">
        <w:t xml:space="preserve"> wish to discuss how it could </w:t>
      </w:r>
      <w:r w:rsidR="00626B0A" w:rsidRPr="0074075C">
        <w:t xml:space="preserve">facilitate </w:t>
      </w:r>
      <w:r w:rsidR="00C20492">
        <w:t xml:space="preserve">such </w:t>
      </w:r>
      <w:r w:rsidR="00C20492" w:rsidRPr="0074075C">
        <w:t>policy</w:t>
      </w:r>
      <w:r w:rsidR="00626B0A" w:rsidRPr="0074075C">
        <w:t xml:space="preserve"> dialogue </w:t>
      </w:r>
      <w:r w:rsidR="004C1D68">
        <w:t>of a horizontal nature.</w:t>
      </w:r>
      <w:r w:rsidR="00CA6C62">
        <w:t xml:space="preserve"> </w:t>
      </w:r>
    </w:p>
    <w:p w:rsidR="00F507EC" w:rsidRPr="0074075C" w:rsidRDefault="00626B0A" w:rsidP="00626B0A">
      <w:pPr>
        <w:pStyle w:val="SingleTxtG"/>
        <w:spacing w:before="240" w:after="0"/>
        <w:jc w:val="center"/>
      </w:pPr>
      <w:r w:rsidRPr="0074075C">
        <w:rPr>
          <w:u w:val="single"/>
        </w:rPr>
        <w:tab/>
      </w:r>
      <w:r w:rsidRPr="0074075C">
        <w:rPr>
          <w:u w:val="single"/>
        </w:rPr>
        <w:tab/>
      </w:r>
      <w:r w:rsidRPr="0074075C">
        <w:rPr>
          <w:u w:val="single"/>
        </w:rPr>
        <w:tab/>
      </w:r>
    </w:p>
    <w:sectPr w:rsidR="00F507EC" w:rsidRPr="0074075C" w:rsidSect="00A1233A">
      <w:headerReference w:type="even" r:id="rId32"/>
      <w:headerReference w:type="default" r:id="rId33"/>
      <w:footerReference w:type="even" r:id="rId34"/>
      <w:footerReference w:type="default" r:id="rId3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84" w:rsidRDefault="00D70D84"/>
  </w:endnote>
  <w:endnote w:type="continuationSeparator" w:id="0">
    <w:p w:rsidR="00D70D84" w:rsidRDefault="00D70D84"/>
  </w:endnote>
  <w:endnote w:type="continuationNotice" w:id="1">
    <w:p w:rsidR="00D70D84" w:rsidRDefault="00D7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4E5F59" w:rsidP="003A5F98">
    <w:pPr>
      <w:pStyle w:val="Footer"/>
      <w:tabs>
        <w:tab w:val="right" w:pos="9638"/>
      </w:tabs>
      <w:rPr>
        <w:sz w:val="18"/>
      </w:rPr>
    </w:pPr>
    <w:r w:rsidRPr="003A5F98">
      <w:rPr>
        <w:b/>
        <w:sz w:val="18"/>
      </w:rPr>
      <w:fldChar w:fldCharType="begin"/>
    </w:r>
    <w:r w:rsidR="003A5F98" w:rsidRPr="003A5F98">
      <w:rPr>
        <w:b/>
        <w:sz w:val="18"/>
      </w:rPr>
      <w:instrText xml:space="preserve"> PAGE  \* MERGEFORMAT </w:instrText>
    </w:r>
    <w:r w:rsidRPr="003A5F98">
      <w:rPr>
        <w:b/>
        <w:sz w:val="18"/>
      </w:rPr>
      <w:fldChar w:fldCharType="separate"/>
    </w:r>
    <w:r w:rsidR="00505685">
      <w:rPr>
        <w:b/>
        <w:noProof/>
        <w:sz w:val="18"/>
      </w:rPr>
      <w:t>2</w:t>
    </w:r>
    <w:r w:rsidRPr="003A5F98">
      <w:rPr>
        <w:b/>
        <w:sz w:val="18"/>
      </w:rPr>
      <w:fldChar w:fldCharType="end"/>
    </w:r>
    <w:r w:rsidR="003A5F9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004E5F59" w:rsidRPr="003A5F98">
      <w:rPr>
        <w:b/>
        <w:sz w:val="18"/>
      </w:rPr>
      <w:fldChar w:fldCharType="begin"/>
    </w:r>
    <w:r w:rsidRPr="003A5F98">
      <w:rPr>
        <w:b/>
        <w:sz w:val="18"/>
      </w:rPr>
      <w:instrText xml:space="preserve"> PAGE  \* MERGEFORMAT </w:instrText>
    </w:r>
    <w:r w:rsidR="004E5F59" w:rsidRPr="003A5F98">
      <w:rPr>
        <w:b/>
        <w:sz w:val="18"/>
      </w:rPr>
      <w:fldChar w:fldCharType="separate"/>
    </w:r>
    <w:r w:rsidR="00505685">
      <w:rPr>
        <w:b/>
        <w:noProof/>
        <w:sz w:val="18"/>
      </w:rPr>
      <w:t>3</w:t>
    </w:r>
    <w:r w:rsidR="004E5F59"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6F6805" w:rsidP="00A1233A">
    <w:pPr>
      <w:pStyle w:val="Footer"/>
    </w:pPr>
    <w:r>
      <w:rPr>
        <w:noProof/>
        <w:lang w:val="en-US"/>
      </w:rPr>
      <mc:AlternateContent>
        <mc:Choice Requires="wps">
          <w:drawing>
            <wp:anchor distT="0" distB="0" distL="114300" distR="114300" simplePos="0" relativeHeight="251662336" behindDoc="0" locked="0" layoutInCell="1" allowOverlap="1" wp14:anchorId="2A159B20" wp14:editId="19ECE7A7">
              <wp:simplePos x="0" y="0"/>
              <wp:positionH relativeFrom="margin">
                <wp:posOffset>-431800</wp:posOffset>
              </wp:positionH>
              <wp:positionV relativeFrom="margin">
                <wp:posOffset>0</wp:posOffset>
              </wp:positionV>
              <wp:extent cx="219075" cy="61245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1233A" w:rsidRPr="003A5F98" w:rsidRDefault="004E5F59" w:rsidP="00A1233A">
                          <w:pPr>
                            <w:pStyle w:val="Footer"/>
                            <w:tabs>
                              <w:tab w:val="right" w:pos="9638"/>
                            </w:tabs>
                            <w:rPr>
                              <w:sz w:val="18"/>
                            </w:rPr>
                          </w:pPr>
                          <w:r w:rsidRPr="003A5F98">
                            <w:rPr>
                              <w:b/>
                              <w:sz w:val="18"/>
                            </w:rPr>
                            <w:fldChar w:fldCharType="begin"/>
                          </w:r>
                          <w:r w:rsidR="00A1233A" w:rsidRPr="003A5F98">
                            <w:rPr>
                              <w:b/>
                              <w:sz w:val="18"/>
                            </w:rPr>
                            <w:instrText xml:space="preserve"> PAGE  \* MERGEFORMAT </w:instrText>
                          </w:r>
                          <w:r w:rsidRPr="003A5F98">
                            <w:rPr>
                              <w:b/>
                              <w:sz w:val="18"/>
                            </w:rPr>
                            <w:fldChar w:fldCharType="separate"/>
                          </w:r>
                          <w:r w:rsidR="00505685">
                            <w:rPr>
                              <w:b/>
                              <w:noProof/>
                              <w:sz w:val="18"/>
                            </w:rPr>
                            <w:t>4</w:t>
                          </w:r>
                          <w:r w:rsidRPr="003A5F98">
                            <w:rPr>
                              <w:b/>
                              <w:sz w:val="18"/>
                            </w:rPr>
                            <w:fldChar w:fldCharType="end"/>
                          </w:r>
                          <w:r w:rsidR="00A1233A">
                            <w:rPr>
                              <w:sz w:val="18"/>
                            </w:rPr>
                            <w:tab/>
                          </w:r>
                        </w:p>
                        <w:p w:rsidR="00A1233A" w:rsidRDefault="00A123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be68pM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A1233A" w:rsidRPr="003A5F98" w:rsidRDefault="004E5F59" w:rsidP="00A1233A">
                    <w:pPr>
                      <w:pStyle w:val="Footer"/>
                      <w:tabs>
                        <w:tab w:val="right" w:pos="9638"/>
                      </w:tabs>
                      <w:rPr>
                        <w:sz w:val="18"/>
                      </w:rPr>
                    </w:pPr>
                    <w:r w:rsidRPr="003A5F98">
                      <w:rPr>
                        <w:b/>
                        <w:sz w:val="18"/>
                      </w:rPr>
                      <w:fldChar w:fldCharType="begin"/>
                    </w:r>
                    <w:r w:rsidR="00A1233A" w:rsidRPr="003A5F98">
                      <w:rPr>
                        <w:b/>
                        <w:sz w:val="18"/>
                      </w:rPr>
                      <w:instrText xml:space="preserve"> PAGE  \* MERGEFORMAT </w:instrText>
                    </w:r>
                    <w:r w:rsidRPr="003A5F98">
                      <w:rPr>
                        <w:b/>
                        <w:sz w:val="18"/>
                      </w:rPr>
                      <w:fldChar w:fldCharType="separate"/>
                    </w:r>
                    <w:r w:rsidR="00505685">
                      <w:rPr>
                        <w:b/>
                        <w:noProof/>
                        <w:sz w:val="18"/>
                      </w:rPr>
                      <w:t>4</w:t>
                    </w:r>
                    <w:r w:rsidRPr="003A5F98">
                      <w:rPr>
                        <w:b/>
                        <w:sz w:val="18"/>
                      </w:rPr>
                      <w:fldChar w:fldCharType="end"/>
                    </w:r>
                    <w:r w:rsidR="00A1233A">
                      <w:rPr>
                        <w:sz w:val="18"/>
                      </w:rPr>
                      <w:tab/>
                    </w:r>
                  </w:p>
                  <w:p w:rsidR="00A1233A" w:rsidRDefault="00A1233A"/>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6F6805" w:rsidP="00A1233A">
    <w:pPr>
      <w:pStyle w:val="Footer"/>
    </w:pPr>
    <w:r>
      <w:rPr>
        <w:noProof/>
        <w:lang w:val="en-US"/>
      </w:rPr>
      <mc:AlternateContent>
        <mc:Choice Requires="wps">
          <w:drawing>
            <wp:anchor distT="0" distB="0" distL="114300" distR="114300" simplePos="0" relativeHeight="251660288" behindDoc="0" locked="0" layoutInCell="1" allowOverlap="1" wp14:anchorId="307FC105" wp14:editId="301C9E01">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1233A" w:rsidRPr="003A5F98" w:rsidRDefault="00A1233A" w:rsidP="00A1233A">
                          <w:pPr>
                            <w:pStyle w:val="Footer"/>
                            <w:tabs>
                              <w:tab w:val="right" w:pos="9638"/>
                            </w:tabs>
                            <w:rPr>
                              <w:b/>
                              <w:sz w:val="18"/>
                            </w:rPr>
                          </w:pPr>
                          <w:r>
                            <w:tab/>
                          </w:r>
                          <w:r w:rsidR="004E5F59" w:rsidRPr="003A5F98">
                            <w:rPr>
                              <w:b/>
                              <w:sz w:val="18"/>
                            </w:rPr>
                            <w:fldChar w:fldCharType="begin"/>
                          </w:r>
                          <w:r w:rsidRPr="003A5F98">
                            <w:rPr>
                              <w:b/>
                              <w:sz w:val="18"/>
                            </w:rPr>
                            <w:instrText xml:space="preserve"> PAGE  \* MERGEFORMAT </w:instrText>
                          </w:r>
                          <w:r w:rsidR="004E5F59" w:rsidRPr="003A5F98">
                            <w:rPr>
                              <w:b/>
                              <w:sz w:val="18"/>
                            </w:rPr>
                            <w:fldChar w:fldCharType="separate"/>
                          </w:r>
                          <w:r w:rsidR="00505685">
                            <w:rPr>
                              <w:b/>
                              <w:noProof/>
                              <w:sz w:val="18"/>
                            </w:rPr>
                            <w:t>5</w:t>
                          </w:r>
                          <w:r w:rsidR="004E5F59" w:rsidRPr="003A5F98">
                            <w:rPr>
                              <w:b/>
                              <w:sz w:val="18"/>
                            </w:rPr>
                            <w:fldChar w:fldCharType="end"/>
                          </w:r>
                        </w:p>
                        <w:p w:rsidR="00A1233A" w:rsidRDefault="00A123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A1233A" w:rsidRPr="003A5F98" w:rsidRDefault="00A1233A" w:rsidP="00A1233A">
                    <w:pPr>
                      <w:pStyle w:val="Footer"/>
                      <w:tabs>
                        <w:tab w:val="right" w:pos="9638"/>
                      </w:tabs>
                      <w:rPr>
                        <w:b/>
                        <w:sz w:val="18"/>
                      </w:rPr>
                    </w:pPr>
                    <w:r>
                      <w:tab/>
                    </w:r>
                    <w:r w:rsidR="004E5F59" w:rsidRPr="003A5F98">
                      <w:rPr>
                        <w:b/>
                        <w:sz w:val="18"/>
                      </w:rPr>
                      <w:fldChar w:fldCharType="begin"/>
                    </w:r>
                    <w:r w:rsidRPr="003A5F98">
                      <w:rPr>
                        <w:b/>
                        <w:sz w:val="18"/>
                      </w:rPr>
                      <w:instrText xml:space="preserve"> PAGE  \* MERGEFORMAT </w:instrText>
                    </w:r>
                    <w:r w:rsidR="004E5F59" w:rsidRPr="003A5F98">
                      <w:rPr>
                        <w:b/>
                        <w:sz w:val="18"/>
                      </w:rPr>
                      <w:fldChar w:fldCharType="separate"/>
                    </w:r>
                    <w:r w:rsidR="00505685">
                      <w:rPr>
                        <w:b/>
                        <w:noProof/>
                        <w:sz w:val="18"/>
                      </w:rPr>
                      <w:t>5</w:t>
                    </w:r>
                    <w:r w:rsidR="004E5F59" w:rsidRPr="003A5F98">
                      <w:rPr>
                        <w:b/>
                        <w:sz w:val="18"/>
                      </w:rPr>
                      <w:fldChar w:fldCharType="end"/>
                    </w:r>
                  </w:p>
                  <w:p w:rsidR="00A1233A" w:rsidRDefault="00A1233A"/>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A1233A" w:rsidP="00A1233A">
    <w:pPr>
      <w:pStyle w:val="Footer"/>
      <w:tabs>
        <w:tab w:val="right" w:pos="9638"/>
      </w:tabs>
      <w:rPr>
        <w:b/>
        <w:sz w:val="18"/>
      </w:rPr>
    </w:pPr>
    <w:r>
      <w:rPr>
        <w:noProof/>
        <w:lang w:val="en-US"/>
      </w:rPr>
      <w:tab/>
    </w:r>
    <w:r w:rsidR="004E5F59" w:rsidRPr="00A1233A">
      <w:rPr>
        <w:b/>
        <w:noProof/>
        <w:sz w:val="18"/>
        <w:lang w:val="en-US"/>
      </w:rPr>
      <w:fldChar w:fldCharType="begin"/>
    </w:r>
    <w:r w:rsidRPr="00A1233A">
      <w:rPr>
        <w:b/>
        <w:noProof/>
        <w:sz w:val="18"/>
        <w:lang w:val="en-US"/>
      </w:rPr>
      <w:instrText xml:space="preserve"> PAGE  \* MERGEFORMAT </w:instrText>
    </w:r>
    <w:r w:rsidR="004E5F59" w:rsidRPr="00A1233A">
      <w:rPr>
        <w:b/>
        <w:noProof/>
        <w:sz w:val="18"/>
        <w:lang w:val="en-US"/>
      </w:rPr>
      <w:fldChar w:fldCharType="separate"/>
    </w:r>
    <w:r w:rsidR="00505685">
      <w:rPr>
        <w:b/>
        <w:noProof/>
        <w:sz w:val="18"/>
        <w:lang w:val="en-US"/>
      </w:rPr>
      <w:t>8</w:t>
    </w:r>
    <w:r w:rsidR="004E5F59" w:rsidRPr="00A1233A">
      <w:rPr>
        <w:b/>
        <w:noProof/>
        <w:sz w:val="18"/>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4E5F59" w:rsidP="00A1233A">
    <w:pPr>
      <w:pStyle w:val="Footer"/>
      <w:tabs>
        <w:tab w:val="right" w:pos="9638"/>
      </w:tabs>
    </w:pPr>
    <w:r w:rsidRPr="00A1233A">
      <w:rPr>
        <w:b/>
        <w:sz w:val="18"/>
      </w:rPr>
      <w:fldChar w:fldCharType="begin"/>
    </w:r>
    <w:r w:rsidR="00A1233A" w:rsidRPr="00A1233A">
      <w:rPr>
        <w:b/>
        <w:sz w:val="18"/>
      </w:rPr>
      <w:instrText xml:space="preserve"> PAGE  \* MERGEFORMAT </w:instrText>
    </w:r>
    <w:r w:rsidRPr="00A1233A">
      <w:rPr>
        <w:b/>
        <w:sz w:val="18"/>
      </w:rPr>
      <w:fldChar w:fldCharType="separate"/>
    </w:r>
    <w:r w:rsidR="00505685">
      <w:rPr>
        <w:b/>
        <w:noProof/>
        <w:sz w:val="18"/>
      </w:rPr>
      <w:t>7</w:t>
    </w:r>
    <w:r w:rsidRPr="00A1233A">
      <w:rPr>
        <w:b/>
        <w:sz w:val="18"/>
      </w:rPr>
      <w:fldChar w:fldCharType="end"/>
    </w:r>
    <w:r w:rsidR="00A1233A">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84" w:rsidRPr="000B175B" w:rsidRDefault="00D70D84" w:rsidP="000B175B">
      <w:pPr>
        <w:tabs>
          <w:tab w:val="right" w:pos="2155"/>
        </w:tabs>
        <w:spacing w:after="80"/>
        <w:ind w:left="680"/>
        <w:rPr>
          <w:u w:val="single"/>
        </w:rPr>
      </w:pPr>
      <w:r>
        <w:rPr>
          <w:u w:val="single"/>
        </w:rPr>
        <w:tab/>
      </w:r>
    </w:p>
  </w:footnote>
  <w:footnote w:type="continuationSeparator" w:id="0">
    <w:p w:rsidR="00D70D84" w:rsidRPr="00FC68B7" w:rsidRDefault="00D70D84" w:rsidP="00FC68B7">
      <w:pPr>
        <w:tabs>
          <w:tab w:val="left" w:pos="2155"/>
        </w:tabs>
        <w:spacing w:after="80"/>
        <w:ind w:left="680"/>
        <w:rPr>
          <w:u w:val="single"/>
        </w:rPr>
      </w:pPr>
      <w:r>
        <w:rPr>
          <w:u w:val="single"/>
        </w:rPr>
        <w:tab/>
      </w:r>
    </w:p>
  </w:footnote>
  <w:footnote w:type="continuationNotice" w:id="1">
    <w:p w:rsidR="00D70D84" w:rsidRDefault="00D70D84"/>
  </w:footnote>
  <w:footnote w:id="2">
    <w:p w:rsidR="00DE4DE0" w:rsidRPr="00DE4DE0" w:rsidRDefault="00DE4DE0" w:rsidP="00DE4DE0">
      <w:pPr>
        <w:pStyle w:val="FootnoteText"/>
        <w:widowControl w:val="0"/>
        <w:tabs>
          <w:tab w:val="clear" w:pos="1021"/>
          <w:tab w:val="right" w:pos="1020"/>
        </w:tabs>
        <w:rPr>
          <w:lang w:val="en-US"/>
        </w:rPr>
      </w:pPr>
      <w:r>
        <w:tab/>
      </w:r>
      <w:r>
        <w:rPr>
          <w:rStyle w:val="FootnoteReference"/>
        </w:rPr>
        <w:footnoteRef/>
      </w:r>
      <w:r>
        <w:tab/>
        <w:t xml:space="preserve">Ministers from 28 countries took part in the </w:t>
      </w:r>
      <w:r w:rsidR="00F760C8">
        <w:t>r</w:t>
      </w:r>
      <w:r>
        <w:t>ound</w:t>
      </w:r>
      <w:r w:rsidR="00F760C8">
        <w:t xml:space="preserve"> </w:t>
      </w:r>
      <w:r>
        <w:t>table discussions and endorsed the Manifesto.</w:t>
      </w:r>
    </w:p>
  </w:footnote>
  <w:footnote w:id="3">
    <w:p w:rsidR="00DE4DE0" w:rsidRPr="00747B27" w:rsidRDefault="00DE4DE0" w:rsidP="00DE4DE0">
      <w:pPr>
        <w:pStyle w:val="FootnoteText"/>
        <w:widowControl w:val="0"/>
        <w:tabs>
          <w:tab w:val="clear" w:pos="1021"/>
          <w:tab w:val="right" w:pos="1020"/>
        </w:tabs>
        <w:rPr>
          <w:lang w:val="en-US"/>
        </w:rPr>
      </w:pPr>
      <w:r>
        <w:tab/>
      </w:r>
      <w:r>
        <w:rPr>
          <w:rStyle w:val="FootnoteReference"/>
        </w:rPr>
        <w:footnoteRef/>
      </w:r>
      <w:r>
        <w:tab/>
        <w:t>For a full review of challenges to maximiz</w:t>
      </w:r>
      <w:r w:rsidR="00747B27">
        <w:t>e</w:t>
      </w:r>
      <w:r>
        <w:t xml:space="preserve"> the impact of </w:t>
      </w:r>
      <w:proofErr w:type="gramStart"/>
      <w:r>
        <w:t>ITS</w:t>
      </w:r>
      <w:proofErr w:type="gramEnd"/>
      <w:r>
        <w:t xml:space="preserve"> please see</w:t>
      </w:r>
      <w:r w:rsidR="00EE20D0">
        <w:t xml:space="preserve"> the </w:t>
      </w:r>
      <w:proofErr w:type="spellStart"/>
      <w:r w:rsidR="00EE20D0">
        <w:t>diagramme</w:t>
      </w:r>
      <w:proofErr w:type="spellEnd"/>
      <w:r w:rsidR="00EE20D0">
        <w:t xml:space="preserve"> and</w:t>
      </w:r>
      <w:r w:rsidR="00CA6C62">
        <w:t xml:space="preserve"> </w:t>
      </w:r>
      <w:r>
        <w:rPr>
          <w:i/>
        </w:rPr>
        <w:t xml:space="preserve">Intelligent Transport Systems for Sustainable Mobility </w:t>
      </w:r>
      <w:r w:rsidR="004E5F59" w:rsidRPr="00EE20D0">
        <w:t>(UNECE, 2012).</w:t>
      </w:r>
    </w:p>
  </w:footnote>
  <w:footnote w:id="4">
    <w:p w:rsidR="0053615C" w:rsidRPr="0053615C" w:rsidRDefault="0053615C" w:rsidP="0053615C">
      <w:pPr>
        <w:pStyle w:val="FootnoteText"/>
        <w:widowControl w:val="0"/>
        <w:tabs>
          <w:tab w:val="clear" w:pos="1021"/>
          <w:tab w:val="right" w:pos="1020"/>
        </w:tabs>
        <w:rPr>
          <w:lang w:val="en-US"/>
        </w:rPr>
      </w:pPr>
      <w:r>
        <w:tab/>
      </w:r>
      <w:r>
        <w:rPr>
          <w:rStyle w:val="FootnoteReference"/>
        </w:rPr>
        <w:footnoteRef/>
      </w:r>
      <w:r>
        <w:tab/>
      </w:r>
      <w:r w:rsidRPr="002F1280">
        <w:t>The Vienna Conventions are designed to facilitate international road traffic and to increase road safety.</w:t>
      </w:r>
    </w:p>
  </w:footnote>
  <w:footnote w:id="5">
    <w:p w:rsidR="0053615C" w:rsidRPr="0053615C" w:rsidRDefault="0053615C" w:rsidP="0053615C">
      <w:pPr>
        <w:pStyle w:val="FootnoteText"/>
        <w:widowControl w:val="0"/>
        <w:tabs>
          <w:tab w:val="clear" w:pos="1021"/>
          <w:tab w:val="right" w:pos="1020"/>
        </w:tabs>
        <w:rPr>
          <w:lang w:val="en-US"/>
        </w:rPr>
      </w:pPr>
      <w:r>
        <w:tab/>
      </w:r>
      <w:r>
        <w:rPr>
          <w:rStyle w:val="FootnoteReference"/>
        </w:rPr>
        <w:footnoteRef/>
      </w:r>
      <w:r>
        <w:tab/>
      </w:r>
      <w:r w:rsidRPr="002F1280">
        <w:t>The purpose of the e-CMR Protocol is to facilitate smoother international road freight transport and to improve good governance in road transport by allowing the use of electronic consignment notes. This Protocol relates to the United Nations CMR Convention (Convention on the Contract for the International Carriage of Goods by Road) signed in Geneva on May 19th 1956. It refers to various legal issues concerning transportation of cargo by 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6F6805" w:rsidP="00A1233A">
    <w:r>
      <w:rPr>
        <w:noProof/>
        <w:lang w:val="en-US"/>
      </w:rPr>
      <mc:AlternateContent>
        <mc:Choice Requires="wps">
          <w:drawing>
            <wp:anchor distT="0" distB="0" distL="114300" distR="114300" simplePos="0" relativeHeight="251661312" behindDoc="0" locked="0" layoutInCell="1" allowOverlap="1" wp14:anchorId="6CC94B91" wp14:editId="0164E281">
              <wp:simplePos x="0" y="0"/>
              <wp:positionH relativeFrom="page">
                <wp:posOffset>9791700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1233A" w:rsidRPr="003A5F98" w:rsidRDefault="00A1233A" w:rsidP="00A1233A">
                          <w:pPr>
                            <w:pStyle w:val="Header"/>
                          </w:pPr>
                          <w:r>
                            <w:t>ECE/TRANS/2016/10</w:t>
                          </w:r>
                        </w:p>
                        <w:p w:rsidR="00A1233A" w:rsidRDefault="00A123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9xwIAAA4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" filled="f" stroked="f">
              <v:stroke joinstyle="round"/>
              <v:path arrowok="t"/>
              <v:textbox style="layout-flow:vertical" inset="0,0,0,0">
                <w:txbxContent>
                  <w:p w:rsidR="00A1233A" w:rsidRPr="003A5F98" w:rsidRDefault="00A1233A" w:rsidP="00A1233A">
                    <w:pPr>
                      <w:pStyle w:val="Header"/>
                    </w:pPr>
                    <w:r>
                      <w:t>ECE/TRANS/2016/10</w:t>
                    </w:r>
                  </w:p>
                  <w:p w:rsidR="00A1233A" w:rsidRDefault="00A1233A"/>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6F6805" w:rsidP="00A1233A">
    <w:r>
      <w:rPr>
        <w:noProof/>
        <w:lang w:val="en-US"/>
      </w:rPr>
      <mc:AlternateContent>
        <mc:Choice Requires="wps">
          <w:drawing>
            <wp:anchor distT="0" distB="0" distL="114300" distR="114300" simplePos="0" relativeHeight="251659264" behindDoc="0" locked="0" layoutInCell="1" allowOverlap="1" wp14:anchorId="165226D6" wp14:editId="68A8AD84">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1233A" w:rsidRPr="003A5F98" w:rsidRDefault="00A1233A" w:rsidP="00A1233A">
                          <w:pPr>
                            <w:pStyle w:val="Header"/>
                            <w:jc w:val="right"/>
                          </w:pPr>
                          <w:r>
                            <w:t>ECE/TRANS/2016/10</w:t>
                          </w:r>
                        </w:p>
                        <w:p w:rsidR="00A1233A" w:rsidRDefault="00A123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A1233A" w:rsidRPr="003A5F98" w:rsidRDefault="00A1233A" w:rsidP="00A1233A">
                    <w:pPr>
                      <w:pStyle w:val="Header"/>
                      <w:jc w:val="right"/>
                    </w:pPr>
                    <w:r>
                      <w:t>ECE/TRANS/2016/10</w:t>
                    </w:r>
                  </w:p>
                  <w:p w:rsidR="00A1233A" w:rsidRDefault="00A1233A"/>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Default="00A123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A1233A" w:rsidP="00A1233A">
    <w:pPr>
      <w:pStyle w:val="Header"/>
      <w:jc w:val="right"/>
    </w:pPr>
    <w:r>
      <w:t>ECE/TRANS/2016/10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A" w:rsidRPr="00A1233A" w:rsidRDefault="00A1233A" w:rsidP="00A1233A">
    <w:pPr>
      <w:pStyle w:val="Header"/>
    </w:pPr>
    <w:r>
      <w:t>ECE/TRANS/2016/10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075B2D"/>
    <w:multiLevelType w:val="hybridMultilevel"/>
    <w:tmpl w:val="12F2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C643FB"/>
    <w:multiLevelType w:val="hybridMultilevel"/>
    <w:tmpl w:val="8660B1D2"/>
    <w:lvl w:ilvl="0" w:tplc="FFE242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6A04C4"/>
    <w:multiLevelType w:val="hybridMultilevel"/>
    <w:tmpl w:val="2AFC9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5F2C2F"/>
    <w:multiLevelType w:val="hybridMultilevel"/>
    <w:tmpl w:val="6924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2"/>
  </w:num>
  <w:num w:numId="19">
    <w:abstractNumId w:val="12"/>
  </w:num>
  <w:num w:numId="20">
    <w:abstractNumId w:val="19"/>
  </w:num>
  <w:num w:numId="21">
    <w:abstractNumId w:val="20"/>
  </w:num>
  <w:num w:numId="22">
    <w:abstractNumId w:val="16"/>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40EE"/>
    <w:rsid w:val="000678CD"/>
    <w:rsid w:val="00072C8C"/>
    <w:rsid w:val="00081CE0"/>
    <w:rsid w:val="000839AA"/>
    <w:rsid w:val="00084D30"/>
    <w:rsid w:val="00090320"/>
    <w:rsid w:val="000931C0"/>
    <w:rsid w:val="000A2E09"/>
    <w:rsid w:val="000B175B"/>
    <w:rsid w:val="000B3A0F"/>
    <w:rsid w:val="000E0415"/>
    <w:rsid w:val="000F7715"/>
    <w:rsid w:val="00156630"/>
    <w:rsid w:val="00156B99"/>
    <w:rsid w:val="00166124"/>
    <w:rsid w:val="00184DDA"/>
    <w:rsid w:val="001900CD"/>
    <w:rsid w:val="001A0452"/>
    <w:rsid w:val="001B4B04"/>
    <w:rsid w:val="001B5875"/>
    <w:rsid w:val="001C4B9C"/>
    <w:rsid w:val="001C6663"/>
    <w:rsid w:val="001C7895"/>
    <w:rsid w:val="001D26DF"/>
    <w:rsid w:val="001F1599"/>
    <w:rsid w:val="001F19C4"/>
    <w:rsid w:val="001F5611"/>
    <w:rsid w:val="002043F0"/>
    <w:rsid w:val="00211E0B"/>
    <w:rsid w:val="00232575"/>
    <w:rsid w:val="00247258"/>
    <w:rsid w:val="00257CAC"/>
    <w:rsid w:val="0027237A"/>
    <w:rsid w:val="00296B6D"/>
    <w:rsid w:val="002974E9"/>
    <w:rsid w:val="002A7F94"/>
    <w:rsid w:val="002B109A"/>
    <w:rsid w:val="002C6D45"/>
    <w:rsid w:val="002D6E53"/>
    <w:rsid w:val="002E145C"/>
    <w:rsid w:val="002F046D"/>
    <w:rsid w:val="002F50C2"/>
    <w:rsid w:val="00301764"/>
    <w:rsid w:val="003229D8"/>
    <w:rsid w:val="00336C97"/>
    <w:rsid w:val="00337F88"/>
    <w:rsid w:val="00342432"/>
    <w:rsid w:val="0035223F"/>
    <w:rsid w:val="00352D4B"/>
    <w:rsid w:val="0035638C"/>
    <w:rsid w:val="003669E9"/>
    <w:rsid w:val="003672C4"/>
    <w:rsid w:val="0037307F"/>
    <w:rsid w:val="003802F5"/>
    <w:rsid w:val="003A46BB"/>
    <w:rsid w:val="003A4EC7"/>
    <w:rsid w:val="003A5F98"/>
    <w:rsid w:val="003A7295"/>
    <w:rsid w:val="003B1F60"/>
    <w:rsid w:val="003B6078"/>
    <w:rsid w:val="003C2CC4"/>
    <w:rsid w:val="003D4B23"/>
    <w:rsid w:val="003E278A"/>
    <w:rsid w:val="003F67E0"/>
    <w:rsid w:val="00413520"/>
    <w:rsid w:val="004325CB"/>
    <w:rsid w:val="00432CB1"/>
    <w:rsid w:val="00440A07"/>
    <w:rsid w:val="00451C1C"/>
    <w:rsid w:val="00462880"/>
    <w:rsid w:val="00476F24"/>
    <w:rsid w:val="00480764"/>
    <w:rsid w:val="004B22A8"/>
    <w:rsid w:val="004C1D68"/>
    <w:rsid w:val="004C55B0"/>
    <w:rsid w:val="004C6E60"/>
    <w:rsid w:val="004E5F59"/>
    <w:rsid w:val="004F6BA0"/>
    <w:rsid w:val="00503BEA"/>
    <w:rsid w:val="00505685"/>
    <w:rsid w:val="00511975"/>
    <w:rsid w:val="00533616"/>
    <w:rsid w:val="00535ABA"/>
    <w:rsid w:val="0053615C"/>
    <w:rsid w:val="0053768B"/>
    <w:rsid w:val="005420F2"/>
    <w:rsid w:val="0054285C"/>
    <w:rsid w:val="00584173"/>
    <w:rsid w:val="00595520"/>
    <w:rsid w:val="005A44B9"/>
    <w:rsid w:val="005A7CB1"/>
    <w:rsid w:val="005B1BA0"/>
    <w:rsid w:val="005B3DB3"/>
    <w:rsid w:val="005D15CA"/>
    <w:rsid w:val="005F3066"/>
    <w:rsid w:val="005F3E61"/>
    <w:rsid w:val="00604DDD"/>
    <w:rsid w:val="006115CC"/>
    <w:rsid w:val="00611FC4"/>
    <w:rsid w:val="006176FB"/>
    <w:rsid w:val="00626B0A"/>
    <w:rsid w:val="00630FCB"/>
    <w:rsid w:val="00640B26"/>
    <w:rsid w:val="00646BFB"/>
    <w:rsid w:val="006770B2"/>
    <w:rsid w:val="00680848"/>
    <w:rsid w:val="006940E1"/>
    <w:rsid w:val="006A3C72"/>
    <w:rsid w:val="006A7392"/>
    <w:rsid w:val="006B03A1"/>
    <w:rsid w:val="006B67D9"/>
    <w:rsid w:val="006C5535"/>
    <w:rsid w:val="006D0589"/>
    <w:rsid w:val="006E564B"/>
    <w:rsid w:val="006E7154"/>
    <w:rsid w:val="006F6805"/>
    <w:rsid w:val="007003CD"/>
    <w:rsid w:val="0070701E"/>
    <w:rsid w:val="00707267"/>
    <w:rsid w:val="007255BE"/>
    <w:rsid w:val="0072632A"/>
    <w:rsid w:val="007358E8"/>
    <w:rsid w:val="00736ECE"/>
    <w:rsid w:val="0074075C"/>
    <w:rsid w:val="007414FB"/>
    <w:rsid w:val="0074533B"/>
    <w:rsid w:val="00747B27"/>
    <w:rsid w:val="007643BC"/>
    <w:rsid w:val="007959FE"/>
    <w:rsid w:val="007A0CF1"/>
    <w:rsid w:val="007A16FD"/>
    <w:rsid w:val="007B6BA5"/>
    <w:rsid w:val="007C3390"/>
    <w:rsid w:val="007C42D8"/>
    <w:rsid w:val="007C4F4B"/>
    <w:rsid w:val="007D5090"/>
    <w:rsid w:val="007D7362"/>
    <w:rsid w:val="007F33C7"/>
    <w:rsid w:val="007F5CE2"/>
    <w:rsid w:val="007F6611"/>
    <w:rsid w:val="00806F3F"/>
    <w:rsid w:val="00810BAC"/>
    <w:rsid w:val="008175E9"/>
    <w:rsid w:val="008242D7"/>
    <w:rsid w:val="0082577B"/>
    <w:rsid w:val="00832BB6"/>
    <w:rsid w:val="008472FC"/>
    <w:rsid w:val="00855560"/>
    <w:rsid w:val="00866893"/>
    <w:rsid w:val="00866F02"/>
    <w:rsid w:val="00867D18"/>
    <w:rsid w:val="00871F9A"/>
    <w:rsid w:val="00871FD5"/>
    <w:rsid w:val="00872853"/>
    <w:rsid w:val="00876EFE"/>
    <w:rsid w:val="0088172E"/>
    <w:rsid w:val="00881EFA"/>
    <w:rsid w:val="008879CB"/>
    <w:rsid w:val="008979B1"/>
    <w:rsid w:val="008A6B25"/>
    <w:rsid w:val="008A6C4F"/>
    <w:rsid w:val="008B389E"/>
    <w:rsid w:val="008D045E"/>
    <w:rsid w:val="008D3F25"/>
    <w:rsid w:val="008D4D82"/>
    <w:rsid w:val="008D4F67"/>
    <w:rsid w:val="008E0E46"/>
    <w:rsid w:val="008E2E4D"/>
    <w:rsid w:val="008E7116"/>
    <w:rsid w:val="008F143B"/>
    <w:rsid w:val="008F3882"/>
    <w:rsid w:val="008F3FEC"/>
    <w:rsid w:val="008F4B7C"/>
    <w:rsid w:val="008F7B39"/>
    <w:rsid w:val="00921F2E"/>
    <w:rsid w:val="00926E47"/>
    <w:rsid w:val="00947162"/>
    <w:rsid w:val="009610D0"/>
    <w:rsid w:val="0096375C"/>
    <w:rsid w:val="009662E6"/>
    <w:rsid w:val="0097095E"/>
    <w:rsid w:val="0098592B"/>
    <w:rsid w:val="00985FC4"/>
    <w:rsid w:val="00990766"/>
    <w:rsid w:val="00991261"/>
    <w:rsid w:val="009964C4"/>
    <w:rsid w:val="009A431C"/>
    <w:rsid w:val="009A7B81"/>
    <w:rsid w:val="009D01C0"/>
    <w:rsid w:val="009D10D5"/>
    <w:rsid w:val="009D187D"/>
    <w:rsid w:val="009D6A08"/>
    <w:rsid w:val="009E0A16"/>
    <w:rsid w:val="009E6CB7"/>
    <w:rsid w:val="009E7970"/>
    <w:rsid w:val="009F2C1A"/>
    <w:rsid w:val="009F2EAC"/>
    <w:rsid w:val="009F57E3"/>
    <w:rsid w:val="00A10F4F"/>
    <w:rsid w:val="00A11067"/>
    <w:rsid w:val="00A11C60"/>
    <w:rsid w:val="00A1233A"/>
    <w:rsid w:val="00A1704A"/>
    <w:rsid w:val="00A425EB"/>
    <w:rsid w:val="00A4279E"/>
    <w:rsid w:val="00A611AC"/>
    <w:rsid w:val="00A72F22"/>
    <w:rsid w:val="00A733BC"/>
    <w:rsid w:val="00A748A6"/>
    <w:rsid w:val="00A76A69"/>
    <w:rsid w:val="00A879A4"/>
    <w:rsid w:val="00AA0FF8"/>
    <w:rsid w:val="00AB1CA4"/>
    <w:rsid w:val="00AC0F2C"/>
    <w:rsid w:val="00AC502A"/>
    <w:rsid w:val="00AD622E"/>
    <w:rsid w:val="00AF58C1"/>
    <w:rsid w:val="00B04A3F"/>
    <w:rsid w:val="00B06643"/>
    <w:rsid w:val="00B15055"/>
    <w:rsid w:val="00B300A1"/>
    <w:rsid w:val="00B30179"/>
    <w:rsid w:val="00B37B15"/>
    <w:rsid w:val="00B45C02"/>
    <w:rsid w:val="00B472EF"/>
    <w:rsid w:val="00B72A1E"/>
    <w:rsid w:val="00B81E12"/>
    <w:rsid w:val="00BA339B"/>
    <w:rsid w:val="00BB06C6"/>
    <w:rsid w:val="00BC1E7E"/>
    <w:rsid w:val="00BC74E9"/>
    <w:rsid w:val="00BC7F91"/>
    <w:rsid w:val="00BE36A9"/>
    <w:rsid w:val="00BE618E"/>
    <w:rsid w:val="00BE7BEC"/>
    <w:rsid w:val="00BE7D76"/>
    <w:rsid w:val="00BF0A5A"/>
    <w:rsid w:val="00BF0E63"/>
    <w:rsid w:val="00BF12A3"/>
    <w:rsid w:val="00BF16D7"/>
    <w:rsid w:val="00BF2373"/>
    <w:rsid w:val="00C044E2"/>
    <w:rsid w:val="00C048CB"/>
    <w:rsid w:val="00C066F3"/>
    <w:rsid w:val="00C12390"/>
    <w:rsid w:val="00C20492"/>
    <w:rsid w:val="00C211BA"/>
    <w:rsid w:val="00C243E5"/>
    <w:rsid w:val="00C33D43"/>
    <w:rsid w:val="00C463DD"/>
    <w:rsid w:val="00C745C3"/>
    <w:rsid w:val="00CA24A4"/>
    <w:rsid w:val="00CA6C62"/>
    <w:rsid w:val="00CB348D"/>
    <w:rsid w:val="00CD16C6"/>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094B"/>
    <w:rsid w:val="00D70D84"/>
    <w:rsid w:val="00D72727"/>
    <w:rsid w:val="00D828B1"/>
    <w:rsid w:val="00D978C6"/>
    <w:rsid w:val="00DA0956"/>
    <w:rsid w:val="00DA357F"/>
    <w:rsid w:val="00DA3E12"/>
    <w:rsid w:val="00DC18AD"/>
    <w:rsid w:val="00DE4DE0"/>
    <w:rsid w:val="00DE7645"/>
    <w:rsid w:val="00DF7CAE"/>
    <w:rsid w:val="00E423C0"/>
    <w:rsid w:val="00E6414C"/>
    <w:rsid w:val="00E7260F"/>
    <w:rsid w:val="00E8702D"/>
    <w:rsid w:val="00E916A9"/>
    <w:rsid w:val="00E916DE"/>
    <w:rsid w:val="00E925AD"/>
    <w:rsid w:val="00E96630"/>
    <w:rsid w:val="00EC10AF"/>
    <w:rsid w:val="00EC42B3"/>
    <w:rsid w:val="00ED18DC"/>
    <w:rsid w:val="00ED6201"/>
    <w:rsid w:val="00ED7A2A"/>
    <w:rsid w:val="00EE20D0"/>
    <w:rsid w:val="00EF1D7F"/>
    <w:rsid w:val="00F0137E"/>
    <w:rsid w:val="00F015F0"/>
    <w:rsid w:val="00F21786"/>
    <w:rsid w:val="00F3742B"/>
    <w:rsid w:val="00F41FDB"/>
    <w:rsid w:val="00F507EC"/>
    <w:rsid w:val="00F552BA"/>
    <w:rsid w:val="00F56D63"/>
    <w:rsid w:val="00F609A9"/>
    <w:rsid w:val="00F650B4"/>
    <w:rsid w:val="00F760C8"/>
    <w:rsid w:val="00F80C99"/>
    <w:rsid w:val="00F867EC"/>
    <w:rsid w:val="00F91B2B"/>
    <w:rsid w:val="00F93BA7"/>
    <w:rsid w:val="00FA7F65"/>
    <w:rsid w:val="00FB0C56"/>
    <w:rsid w:val="00FC03CD"/>
    <w:rsid w:val="00FC0646"/>
    <w:rsid w:val="00FC1CC5"/>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16C6"/>
    <w:rPr>
      <w:lang w:eastAsia="en-US"/>
    </w:rPr>
  </w:style>
  <w:style w:type="character" w:customStyle="1" w:styleId="FootnoteTextChar">
    <w:name w:val="Footnote Text Char"/>
    <w:aliases w:val="5_G Char"/>
    <w:link w:val="FootnoteText"/>
    <w:uiPriority w:val="99"/>
    <w:rsid w:val="00CD16C6"/>
    <w:rPr>
      <w:sz w:val="18"/>
      <w:lang w:eastAsia="en-US"/>
    </w:rPr>
  </w:style>
  <w:style w:type="paragraph" w:styleId="ListParagraph">
    <w:name w:val="List Paragraph"/>
    <w:basedOn w:val="Normal"/>
    <w:uiPriority w:val="34"/>
    <w:qFormat/>
    <w:rsid w:val="00626B0A"/>
    <w:pPr>
      <w:suppressAutoHyphens w:val="0"/>
      <w:spacing w:after="200" w:line="276" w:lineRule="auto"/>
      <w:ind w:left="720"/>
      <w:contextualSpacing/>
    </w:pPr>
    <w:rPr>
      <w:rFonts w:ascii="Calibri" w:eastAsia="Calibri" w:hAnsi="Calibri"/>
      <w:sz w:val="22"/>
      <w:szCs w:val="22"/>
    </w:rPr>
  </w:style>
  <w:style w:type="character" w:styleId="Emphasis">
    <w:name w:val="Emphasis"/>
    <w:uiPriority w:val="20"/>
    <w:qFormat/>
    <w:rsid w:val="00626B0A"/>
    <w:rPr>
      <w:i/>
      <w:iCs/>
    </w:rPr>
  </w:style>
  <w:style w:type="character" w:styleId="CommentReference">
    <w:name w:val="annotation reference"/>
    <w:basedOn w:val="DefaultParagraphFont"/>
    <w:rsid w:val="00680848"/>
    <w:rPr>
      <w:sz w:val="16"/>
      <w:szCs w:val="16"/>
    </w:rPr>
  </w:style>
  <w:style w:type="paragraph" w:styleId="CommentText">
    <w:name w:val="annotation text"/>
    <w:basedOn w:val="Normal"/>
    <w:link w:val="CommentTextChar"/>
    <w:rsid w:val="00680848"/>
    <w:pPr>
      <w:spacing w:line="240" w:lineRule="auto"/>
    </w:pPr>
  </w:style>
  <w:style w:type="character" w:customStyle="1" w:styleId="CommentTextChar">
    <w:name w:val="Comment Text Char"/>
    <w:basedOn w:val="DefaultParagraphFont"/>
    <w:link w:val="CommentText"/>
    <w:rsid w:val="00680848"/>
    <w:rPr>
      <w:lang w:eastAsia="en-US"/>
    </w:rPr>
  </w:style>
  <w:style w:type="paragraph" w:styleId="CommentSubject">
    <w:name w:val="annotation subject"/>
    <w:basedOn w:val="CommentText"/>
    <w:next w:val="CommentText"/>
    <w:link w:val="CommentSubjectChar"/>
    <w:rsid w:val="00680848"/>
    <w:rPr>
      <w:b/>
      <w:bCs/>
    </w:rPr>
  </w:style>
  <w:style w:type="character" w:customStyle="1" w:styleId="CommentSubjectChar">
    <w:name w:val="Comment Subject Char"/>
    <w:basedOn w:val="CommentTextChar"/>
    <w:link w:val="CommentSubject"/>
    <w:rsid w:val="00680848"/>
    <w:rPr>
      <w:b/>
      <w:bCs/>
      <w:lang w:eastAsia="en-US"/>
    </w:rPr>
  </w:style>
  <w:style w:type="paragraph" w:styleId="Revision">
    <w:name w:val="Revision"/>
    <w:hidden/>
    <w:uiPriority w:val="99"/>
    <w:semiHidden/>
    <w:rsid w:val="00680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16C6"/>
    <w:rPr>
      <w:lang w:eastAsia="en-US"/>
    </w:rPr>
  </w:style>
  <w:style w:type="character" w:customStyle="1" w:styleId="FootnoteTextChar">
    <w:name w:val="Footnote Text Char"/>
    <w:aliases w:val="5_G Char"/>
    <w:link w:val="FootnoteText"/>
    <w:uiPriority w:val="99"/>
    <w:rsid w:val="00CD16C6"/>
    <w:rPr>
      <w:sz w:val="18"/>
      <w:lang w:eastAsia="en-US"/>
    </w:rPr>
  </w:style>
  <w:style w:type="paragraph" w:styleId="ListParagraph">
    <w:name w:val="List Paragraph"/>
    <w:basedOn w:val="Normal"/>
    <w:uiPriority w:val="34"/>
    <w:qFormat/>
    <w:rsid w:val="00626B0A"/>
    <w:pPr>
      <w:suppressAutoHyphens w:val="0"/>
      <w:spacing w:after="200" w:line="276" w:lineRule="auto"/>
      <w:ind w:left="720"/>
      <w:contextualSpacing/>
    </w:pPr>
    <w:rPr>
      <w:rFonts w:ascii="Calibri" w:eastAsia="Calibri" w:hAnsi="Calibri"/>
      <w:sz w:val="22"/>
      <w:szCs w:val="22"/>
    </w:rPr>
  </w:style>
  <w:style w:type="character" w:styleId="Emphasis">
    <w:name w:val="Emphasis"/>
    <w:uiPriority w:val="20"/>
    <w:qFormat/>
    <w:rsid w:val="00626B0A"/>
    <w:rPr>
      <w:i/>
      <w:iCs/>
    </w:rPr>
  </w:style>
  <w:style w:type="character" w:styleId="CommentReference">
    <w:name w:val="annotation reference"/>
    <w:basedOn w:val="DefaultParagraphFont"/>
    <w:rsid w:val="00680848"/>
    <w:rPr>
      <w:sz w:val="16"/>
      <w:szCs w:val="16"/>
    </w:rPr>
  </w:style>
  <w:style w:type="paragraph" w:styleId="CommentText">
    <w:name w:val="annotation text"/>
    <w:basedOn w:val="Normal"/>
    <w:link w:val="CommentTextChar"/>
    <w:rsid w:val="00680848"/>
    <w:pPr>
      <w:spacing w:line="240" w:lineRule="auto"/>
    </w:pPr>
  </w:style>
  <w:style w:type="character" w:customStyle="1" w:styleId="CommentTextChar">
    <w:name w:val="Comment Text Char"/>
    <w:basedOn w:val="DefaultParagraphFont"/>
    <w:link w:val="CommentText"/>
    <w:rsid w:val="00680848"/>
    <w:rPr>
      <w:lang w:eastAsia="en-US"/>
    </w:rPr>
  </w:style>
  <w:style w:type="paragraph" w:styleId="CommentSubject">
    <w:name w:val="annotation subject"/>
    <w:basedOn w:val="CommentText"/>
    <w:next w:val="CommentText"/>
    <w:link w:val="CommentSubjectChar"/>
    <w:rsid w:val="00680848"/>
    <w:rPr>
      <w:b/>
      <w:bCs/>
    </w:rPr>
  </w:style>
  <w:style w:type="character" w:customStyle="1" w:styleId="CommentSubjectChar">
    <w:name w:val="Comment Subject Char"/>
    <w:basedOn w:val="CommentTextChar"/>
    <w:link w:val="CommentSubject"/>
    <w:rsid w:val="00680848"/>
    <w:rPr>
      <w:b/>
      <w:bCs/>
      <w:lang w:eastAsia="en-US"/>
    </w:rPr>
  </w:style>
  <w:style w:type="paragraph" w:styleId="Revision">
    <w:name w:val="Revision"/>
    <w:hidden/>
    <w:uiPriority w:val="99"/>
    <w:semiHidden/>
    <w:rsid w:val="00680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3.xml"/><Relationship Id="rId21" Type="http://schemas.openxmlformats.org/officeDocument/2006/relationships/oleObject" Target="embeddings/oleObject4.bin"/><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7071-2A74-4497-B22D-4ED68176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10</Pages>
  <Words>3868</Words>
  <Characters>22809</Characters>
  <Application>Microsoft Office Word</Application>
  <DocSecurity>0</DocSecurity>
  <Lines>374</Lines>
  <Paragraphs>112</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9</cp:revision>
  <cp:lastPrinted>2009-02-18T09:36:00Z</cp:lastPrinted>
  <dcterms:created xsi:type="dcterms:W3CDTF">2015-12-15T11:12:00Z</dcterms:created>
  <dcterms:modified xsi:type="dcterms:W3CDTF">2015-12-15T11:22:00Z</dcterms:modified>
</cp:coreProperties>
</file>