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41BC2" w:rsidRPr="00341BC2" w:rsidTr="00175031">
        <w:trPr>
          <w:cantSplit/>
          <w:trHeight w:hRule="exact" w:val="851"/>
        </w:trPr>
        <w:tc>
          <w:tcPr>
            <w:tcW w:w="1276" w:type="dxa"/>
            <w:tcBorders>
              <w:bottom w:val="single" w:sz="4" w:space="0" w:color="auto"/>
            </w:tcBorders>
            <w:vAlign w:val="bottom"/>
          </w:tcPr>
          <w:p w:rsidR="00341BC2" w:rsidRPr="00341BC2" w:rsidRDefault="00341BC2" w:rsidP="00341BC2"/>
        </w:tc>
        <w:tc>
          <w:tcPr>
            <w:tcW w:w="8363" w:type="dxa"/>
            <w:gridSpan w:val="2"/>
            <w:tcBorders>
              <w:bottom w:val="single" w:sz="4" w:space="0" w:color="auto"/>
            </w:tcBorders>
            <w:vAlign w:val="bottom"/>
          </w:tcPr>
          <w:p w:rsidR="00341BC2" w:rsidRPr="00341BC2" w:rsidRDefault="00341BC2" w:rsidP="00341BC2">
            <w:pPr>
              <w:ind w:left="6095"/>
            </w:pPr>
            <w:r w:rsidRPr="00341BC2">
              <w:rPr>
                <w:b/>
                <w:sz w:val="40"/>
                <w:szCs w:val="40"/>
              </w:rPr>
              <w:t xml:space="preserve"> INF.1</w:t>
            </w:r>
            <w:r>
              <w:rPr>
                <w:b/>
                <w:sz w:val="40"/>
                <w:szCs w:val="40"/>
              </w:rPr>
              <w:t>8</w:t>
            </w:r>
          </w:p>
        </w:tc>
      </w:tr>
      <w:tr w:rsidR="00341BC2" w:rsidRPr="00341BC2" w:rsidTr="00175031">
        <w:trPr>
          <w:cantSplit/>
          <w:trHeight w:hRule="exact" w:val="3688"/>
        </w:trPr>
        <w:tc>
          <w:tcPr>
            <w:tcW w:w="6804" w:type="dxa"/>
            <w:gridSpan w:val="2"/>
            <w:tcBorders>
              <w:top w:val="single" w:sz="4" w:space="0" w:color="auto"/>
              <w:bottom w:val="single" w:sz="12" w:space="0" w:color="auto"/>
            </w:tcBorders>
          </w:tcPr>
          <w:p w:rsidR="00341BC2" w:rsidRPr="00341BC2" w:rsidRDefault="00341BC2" w:rsidP="00341BC2">
            <w:pPr>
              <w:spacing w:before="120" w:after="120"/>
              <w:rPr>
                <w:b/>
                <w:sz w:val="28"/>
                <w:szCs w:val="28"/>
              </w:rPr>
            </w:pPr>
            <w:r w:rsidRPr="00341BC2">
              <w:rPr>
                <w:b/>
                <w:sz w:val="28"/>
                <w:szCs w:val="28"/>
              </w:rPr>
              <w:t>Economic Commission for Europe</w:t>
            </w:r>
          </w:p>
          <w:p w:rsidR="00341BC2" w:rsidRPr="00341BC2" w:rsidRDefault="00341BC2" w:rsidP="00341BC2">
            <w:pPr>
              <w:spacing w:before="120"/>
              <w:rPr>
                <w:sz w:val="28"/>
                <w:szCs w:val="28"/>
              </w:rPr>
            </w:pPr>
            <w:r w:rsidRPr="00341BC2">
              <w:rPr>
                <w:sz w:val="28"/>
                <w:szCs w:val="28"/>
              </w:rPr>
              <w:t>Inland Transport Committee</w:t>
            </w:r>
          </w:p>
          <w:p w:rsidR="00341BC2" w:rsidRPr="00341BC2" w:rsidRDefault="00341BC2" w:rsidP="00341BC2">
            <w:pPr>
              <w:spacing w:before="120"/>
              <w:rPr>
                <w:b/>
              </w:rPr>
            </w:pPr>
            <w:r w:rsidRPr="00341BC2">
              <w:rPr>
                <w:b/>
              </w:rPr>
              <w:t>Working Party on the Transport of Dangerous Goods</w:t>
            </w:r>
          </w:p>
          <w:p w:rsidR="00341BC2" w:rsidRPr="00341BC2" w:rsidRDefault="00341BC2" w:rsidP="00341BC2">
            <w:pPr>
              <w:spacing w:before="120"/>
              <w:rPr>
                <w:b/>
              </w:rPr>
            </w:pPr>
            <w:r w:rsidRPr="00341BC2">
              <w:rPr>
                <w:b/>
              </w:rPr>
              <w:t>Joint Meeting of Experts on the Regulations annexed to the</w:t>
            </w:r>
            <w:r w:rsidRPr="00341BC2">
              <w:rPr>
                <w:b/>
              </w:rPr>
              <w:br/>
              <w:t>European Agreement concerning the International Carriage</w:t>
            </w:r>
            <w:r w:rsidRPr="00341BC2">
              <w:rPr>
                <w:b/>
              </w:rPr>
              <w:br/>
              <w:t>of Dangerous Goods by Inland Waterways (ADN)</w:t>
            </w:r>
            <w:r w:rsidRPr="00341BC2">
              <w:rPr>
                <w:b/>
              </w:rPr>
              <w:br/>
              <w:t>(ADN Safety Committee)</w:t>
            </w:r>
          </w:p>
          <w:p w:rsidR="00341BC2" w:rsidRPr="00341BC2" w:rsidRDefault="00341BC2" w:rsidP="00341BC2">
            <w:pPr>
              <w:spacing w:before="120"/>
              <w:rPr>
                <w:b/>
              </w:rPr>
            </w:pPr>
            <w:r w:rsidRPr="00341BC2">
              <w:rPr>
                <w:b/>
              </w:rPr>
              <w:t>Twenty-eighth session</w:t>
            </w:r>
          </w:p>
          <w:p w:rsidR="00341BC2" w:rsidRPr="00341BC2" w:rsidRDefault="00341BC2" w:rsidP="00341BC2">
            <w:pPr>
              <w:tabs>
                <w:tab w:val="left" w:pos="567"/>
                <w:tab w:val="left" w:pos="992"/>
                <w:tab w:val="left" w:pos="1418"/>
                <w:tab w:val="left" w:pos="1985"/>
                <w:tab w:val="right" w:pos="9639"/>
              </w:tabs>
            </w:pPr>
            <w:r w:rsidRPr="00341BC2">
              <w:t>Geneva, 25 - 29 January 2016</w:t>
            </w:r>
            <w:r w:rsidRPr="00341BC2">
              <w:br/>
              <w:t xml:space="preserve"> Item 5 (b) of the provisional agenda</w:t>
            </w:r>
          </w:p>
          <w:p w:rsidR="00341BC2" w:rsidRPr="00341BC2" w:rsidRDefault="00341BC2" w:rsidP="00341BC2">
            <w:pPr>
              <w:rPr>
                <w:b/>
              </w:rPr>
            </w:pPr>
            <w:r w:rsidRPr="00341BC2">
              <w:rPr>
                <w:b/>
              </w:rPr>
              <w:t>Proposals for amendments to the Regulations annexed to ADN</w:t>
            </w:r>
          </w:p>
          <w:p w:rsidR="00341BC2" w:rsidRPr="00341BC2" w:rsidRDefault="00341BC2" w:rsidP="00341BC2">
            <w:pPr>
              <w:rPr>
                <w:b/>
              </w:rPr>
            </w:pPr>
            <w:r w:rsidRPr="00341BC2">
              <w:rPr>
                <w:b/>
              </w:rPr>
              <w:t>Other proposals</w:t>
            </w:r>
          </w:p>
        </w:tc>
        <w:tc>
          <w:tcPr>
            <w:tcW w:w="2835" w:type="dxa"/>
            <w:tcBorders>
              <w:top w:val="single" w:sz="4" w:space="0" w:color="auto"/>
              <w:bottom w:val="single" w:sz="12" w:space="0" w:color="auto"/>
            </w:tcBorders>
          </w:tcPr>
          <w:p w:rsidR="00341BC2" w:rsidRPr="00341BC2" w:rsidRDefault="00341BC2" w:rsidP="00341BC2">
            <w:pPr>
              <w:spacing w:before="120"/>
            </w:pPr>
          </w:p>
          <w:p w:rsidR="00341BC2" w:rsidRPr="00341BC2" w:rsidRDefault="00341BC2" w:rsidP="00341BC2">
            <w:pPr>
              <w:spacing w:before="120"/>
              <w:rPr>
                <w:b/>
              </w:rPr>
            </w:pPr>
            <w:r w:rsidRPr="00341BC2">
              <w:rPr>
                <w:b/>
              </w:rPr>
              <w:t>1</w:t>
            </w:r>
            <w:r>
              <w:rPr>
                <w:b/>
              </w:rPr>
              <w:t>9</w:t>
            </w:r>
            <w:r w:rsidRPr="00341BC2">
              <w:rPr>
                <w:b/>
              </w:rPr>
              <w:t xml:space="preserve"> January 2016</w:t>
            </w:r>
          </w:p>
        </w:tc>
      </w:tr>
    </w:tbl>
    <w:p w:rsidR="008D3C1D" w:rsidRDefault="00580ED5" w:rsidP="000304A7">
      <w:pPr>
        <w:pStyle w:val="HChG"/>
      </w:pPr>
      <w:r>
        <w:tab/>
      </w:r>
      <w:r w:rsidR="00BB0E9C">
        <w:tab/>
      </w:r>
      <w:r w:rsidR="005350B6">
        <w:t>The requirement of 7.2.4.25.5 ADN during loading operations of UN 3082 (Heavy Heating Oil)</w:t>
      </w:r>
      <w:r w:rsidR="00776AAA">
        <w:t xml:space="preserve"> </w:t>
      </w:r>
    </w:p>
    <w:p w:rsidR="00B55767" w:rsidRDefault="00B55767" w:rsidP="000304A7">
      <w:pPr>
        <w:pStyle w:val="H1G"/>
      </w:pPr>
      <w:r>
        <w:tab/>
      </w:r>
      <w:r>
        <w:tab/>
      </w:r>
      <w:r w:rsidRPr="00A1614C">
        <w:t>Tr</w:t>
      </w:r>
      <w:r w:rsidR="00E131BB">
        <w:t>ansmitted by the Government of</w:t>
      </w:r>
      <w:r w:rsidR="0086527E">
        <w:t xml:space="preserve"> t</w:t>
      </w:r>
      <w:r w:rsidRPr="00A1614C">
        <w:t xml:space="preserve">he </w:t>
      </w:r>
      <w:r w:rsidRPr="000304A7">
        <w:t>Netherlands</w:t>
      </w:r>
    </w:p>
    <w:p w:rsidR="00B55767" w:rsidRDefault="000304A7" w:rsidP="000304A7">
      <w:pPr>
        <w:pStyle w:val="HChG"/>
      </w:pPr>
      <w:r>
        <w:tab/>
        <w:t>I.</w:t>
      </w:r>
      <w:r>
        <w:tab/>
      </w:r>
      <w:r w:rsidR="0085013C" w:rsidRPr="000304A7">
        <w:t>Introduction</w:t>
      </w:r>
    </w:p>
    <w:p w:rsidR="00E64984" w:rsidRDefault="000304A7" w:rsidP="000304A7">
      <w:pPr>
        <w:pStyle w:val="SingleTxtG"/>
      </w:pPr>
      <w:r>
        <w:t>1.</w:t>
      </w:r>
      <w:r>
        <w:tab/>
      </w:r>
      <w:r w:rsidR="00D9415C">
        <w:t>For the 28</w:t>
      </w:r>
      <w:r w:rsidR="00D9415C" w:rsidRPr="00D9415C">
        <w:rPr>
          <w:vertAlign w:val="superscript"/>
        </w:rPr>
        <w:t>th</w:t>
      </w:r>
      <w:r w:rsidR="00D9415C">
        <w:t xml:space="preserve"> session of the ADN Safety Committee, </w:t>
      </w:r>
      <w:proofErr w:type="spellStart"/>
      <w:r w:rsidR="008415C7">
        <w:t>FuelsEurope</w:t>
      </w:r>
      <w:proofErr w:type="spellEnd"/>
      <w:r w:rsidR="008415C7">
        <w:t xml:space="preserve"> submitted</w:t>
      </w:r>
      <w:r w:rsidR="00D9415C">
        <w:t xml:space="preserve"> document ECE/TRANS/WP.15/AC.2/2016/26 concerning </w:t>
      </w:r>
      <w:r w:rsidR="006B1C0F">
        <w:t>the requirement of 7.2.4.25.5 ADN to return the gas/air mixtures ashore during loading operations of hea</w:t>
      </w:r>
      <w:r w:rsidR="008415C7">
        <w:t xml:space="preserve">vy heating oil (UN 3082). </w:t>
      </w:r>
      <w:proofErr w:type="spellStart"/>
      <w:r w:rsidR="008415C7">
        <w:t>Fuels</w:t>
      </w:r>
      <w:r w:rsidR="006B1C0F">
        <w:t>Europe</w:t>
      </w:r>
      <w:proofErr w:type="spellEnd"/>
      <w:r w:rsidR="006B1C0F">
        <w:t xml:space="preserve"> requests the ADN Safety Committee to adopt a new Special Provision 804 which states that the provisions of 7.2.4.25.5 do not apply during loading operations of UN 3082.</w:t>
      </w:r>
    </w:p>
    <w:p w:rsidR="006B1C0F" w:rsidRDefault="000304A7" w:rsidP="000304A7">
      <w:pPr>
        <w:pStyle w:val="SingleTxtG"/>
      </w:pPr>
      <w:r>
        <w:t>2.</w:t>
      </w:r>
      <w:r>
        <w:tab/>
      </w:r>
      <w:r w:rsidR="006B1C0F">
        <w:t>The proposal is based on the results of the CONCAWE study final report (ECE/TRANS/WP.15/</w:t>
      </w:r>
      <w:r w:rsidR="006B1C0F" w:rsidRPr="000304A7">
        <w:t>AC</w:t>
      </w:r>
      <w:r w:rsidR="006B1C0F">
        <w:t>.2</w:t>
      </w:r>
      <w:r w:rsidR="005176EF">
        <w:t>/26/INF.23) evaluating the risks associated with emissions from UN 3082 barge loadings.</w:t>
      </w:r>
    </w:p>
    <w:p w:rsidR="00AA4B2E" w:rsidRDefault="000304A7" w:rsidP="000304A7">
      <w:pPr>
        <w:pStyle w:val="HChG"/>
      </w:pPr>
      <w:r>
        <w:tab/>
        <w:t>II.</w:t>
      </w:r>
      <w:r>
        <w:tab/>
      </w:r>
      <w:r w:rsidR="00E5793D">
        <w:t>Scientific</w:t>
      </w:r>
      <w:r w:rsidR="00E56FBB">
        <w:t xml:space="preserve"> considerations</w:t>
      </w:r>
    </w:p>
    <w:p w:rsidR="00E5793D" w:rsidRPr="000304A7" w:rsidRDefault="000304A7" w:rsidP="000304A7">
      <w:pPr>
        <w:pStyle w:val="SingleTxtG"/>
      </w:pPr>
      <w:r>
        <w:t>3.</w:t>
      </w:r>
      <w:r>
        <w:tab/>
      </w:r>
      <w:r w:rsidR="00E5793D" w:rsidRPr="007663B6">
        <w:t>In August 2015, the ADN Safety Committee</w:t>
      </w:r>
      <w:r w:rsidR="00097849" w:rsidRPr="007663B6">
        <w:t xml:space="preserve"> requested </w:t>
      </w:r>
      <w:r w:rsidR="00E5793D" w:rsidRPr="007663B6">
        <w:t>ADN-delegations</w:t>
      </w:r>
      <w:r w:rsidR="00097849" w:rsidRPr="007663B6">
        <w:t xml:space="preserve"> having doubts about the technical validity of the CONCAWE risk assessment report to consult </w:t>
      </w:r>
      <w:proofErr w:type="spellStart"/>
      <w:r w:rsidR="00097849" w:rsidRPr="007663B6">
        <w:t>FuelsEurope</w:t>
      </w:r>
      <w:proofErr w:type="spellEnd"/>
      <w:r w:rsidR="00097849" w:rsidRPr="007663B6">
        <w:t xml:space="preserve"> </w:t>
      </w:r>
      <w:r w:rsidR="00097849" w:rsidRPr="000304A7">
        <w:t>to verify the information that they considered problematic (ECE/TRANS/WP.15/AC.2/56 §51).</w:t>
      </w:r>
      <w:r w:rsidR="00E5793D" w:rsidRPr="000304A7">
        <w:t xml:space="preserve"> The Dutch government has asked its National Institute for Public Health and the Environment (RIVM) to examine the (updated) CONCAWE study. Experts from the RIVM met with experts from CONCAWE at a meeting on November 27 in </w:t>
      </w:r>
      <w:proofErr w:type="spellStart"/>
      <w:r w:rsidR="00E5793D" w:rsidRPr="000304A7">
        <w:t>Bilthoven</w:t>
      </w:r>
      <w:proofErr w:type="spellEnd"/>
      <w:r w:rsidR="00E5793D" w:rsidRPr="000304A7">
        <w:t xml:space="preserve">, the Netherlands. The final analysis </w:t>
      </w:r>
      <w:r w:rsidR="00097849" w:rsidRPr="000304A7">
        <w:t xml:space="preserve">of the CONCAWE study </w:t>
      </w:r>
      <w:r w:rsidR="00E5793D" w:rsidRPr="000304A7">
        <w:t>and</w:t>
      </w:r>
      <w:r w:rsidR="00097849" w:rsidRPr="000304A7">
        <w:t xml:space="preserve"> the final</w:t>
      </w:r>
      <w:r w:rsidR="00E5793D" w:rsidRPr="000304A7">
        <w:t xml:space="preserve"> conclusions of the RIVM can be found in Annex I.</w:t>
      </w:r>
    </w:p>
    <w:p w:rsidR="00E5793D" w:rsidRPr="00E5793D" w:rsidRDefault="000304A7" w:rsidP="000304A7">
      <w:pPr>
        <w:pStyle w:val="SingleTxtG"/>
        <w:rPr>
          <w:lang w:val="en-US"/>
        </w:rPr>
      </w:pPr>
      <w:r>
        <w:t>4.</w:t>
      </w:r>
      <w:r>
        <w:tab/>
      </w:r>
      <w:r w:rsidR="00E5793D" w:rsidRPr="000304A7">
        <w:t>In conclusion, based on the analysis and conclusions of the RIVM, the Dutch government is not convinced that the</w:t>
      </w:r>
      <w:r w:rsidR="00E5793D" w:rsidRPr="00E5793D">
        <w:rPr>
          <w:lang w:val="en-US"/>
        </w:rPr>
        <w:t xml:space="preserve"> conclusions of the CONCAWE study are supported by the data presented in the report.</w:t>
      </w:r>
    </w:p>
    <w:p w:rsidR="00E56FBB" w:rsidRDefault="009D0C06" w:rsidP="009D0C06">
      <w:pPr>
        <w:pStyle w:val="HChG"/>
      </w:pPr>
      <w:r>
        <w:lastRenderedPageBreak/>
        <w:tab/>
        <w:t>III.</w:t>
      </w:r>
      <w:r>
        <w:tab/>
      </w:r>
      <w:r w:rsidR="00E5793D">
        <w:t>Policy</w:t>
      </w:r>
      <w:r w:rsidR="00E56FBB">
        <w:t xml:space="preserve"> considerations</w:t>
      </w:r>
    </w:p>
    <w:p w:rsidR="00E5793D" w:rsidRPr="009D0C06" w:rsidRDefault="009D0C06" w:rsidP="009D0C06">
      <w:pPr>
        <w:pStyle w:val="SingleTxtG"/>
      </w:pPr>
      <w:r>
        <w:t>5.</w:t>
      </w:r>
      <w:r>
        <w:tab/>
      </w:r>
      <w:r w:rsidR="00097849">
        <w:t>Furthermore</w:t>
      </w:r>
      <w:r w:rsidR="00097849" w:rsidRPr="007663B6">
        <w:t>, from a systematic legal and policy point of view, t</w:t>
      </w:r>
      <w:r w:rsidR="00E5793D" w:rsidRPr="007663B6">
        <w:t>he</w:t>
      </w:r>
      <w:r w:rsidR="00E5793D">
        <w:t xml:space="preserve"> Dutch government</w:t>
      </w:r>
      <w:r w:rsidR="00097849">
        <w:t xml:space="preserve"> is of the opinion that</w:t>
      </w:r>
      <w:r w:rsidR="00E5793D">
        <w:t xml:space="preserve"> the CONCAWE study cannot justify a decision from the ADN Safety Committee not to apply the requirements of 7.2.4.25.5 to loading operations of UN 3082. </w:t>
      </w:r>
      <w:proofErr w:type="gramStart"/>
      <w:r w:rsidR="00E5793D">
        <w:t xml:space="preserve">The rationale on which the entire legislation (classification, conditions of </w:t>
      </w:r>
      <w:r w:rsidR="00E5793D" w:rsidRPr="009D0C06">
        <w:t>transport and other safety enhancing measures) regarding the carriage of dangerous goods, is based on the evaluation of the properties of a substance in the physical form in which it is transported.</w:t>
      </w:r>
      <w:proofErr w:type="gramEnd"/>
      <w:r w:rsidR="00E5793D" w:rsidRPr="009D0C06">
        <w:t xml:space="preserve"> Exempting UN 3082 (Heavy heating oil) from the requirements of 7.2.4.25.5 ADN based on the properties of the emissions</w:t>
      </w:r>
      <w:r w:rsidR="00097849" w:rsidRPr="009D0C06">
        <w:t>,</w:t>
      </w:r>
      <w:r w:rsidR="00E5793D" w:rsidRPr="009D0C06">
        <w:t xml:space="preserve"> is not in line with this principle as the substance is transported in a liquid state. This concern has already been expressed by other delegations in August 2012 (ECE/TRANS/WP.15/AC.2/44 Paragraphs 15-18): </w:t>
      </w:r>
      <w:r w:rsidR="00E5793D" w:rsidRPr="007647DA">
        <w:rPr>
          <w:i/>
        </w:rPr>
        <w:t>It was ... inappropriate to reassess the conditions of transport on the basis of whether the products were likely to emit vapours and that would call into question the classification of all products classified as CMR and also their conditions of transport.</w:t>
      </w:r>
      <w:r w:rsidR="00E5793D" w:rsidRPr="009D0C06">
        <w:t xml:space="preserve"> The Dutch governmen</w:t>
      </w:r>
      <w:r w:rsidR="007663B6" w:rsidRPr="009D0C06">
        <w:t>t still supports this position</w:t>
      </w:r>
      <w:r w:rsidR="00E5793D" w:rsidRPr="009D0C06">
        <w:t>.</w:t>
      </w:r>
    </w:p>
    <w:p w:rsidR="00E5793D" w:rsidRPr="00380553" w:rsidRDefault="009D0C06" w:rsidP="009D0C06">
      <w:pPr>
        <w:pStyle w:val="SingleTxtG"/>
        <w:rPr>
          <w:lang w:val="en-US"/>
        </w:rPr>
      </w:pPr>
      <w:r>
        <w:t>6.</w:t>
      </w:r>
      <w:r>
        <w:tab/>
      </w:r>
      <w:r w:rsidR="00E5793D" w:rsidRPr="009D0C06">
        <w:t>As already shortly mentioned above, the Dutch government has significant concerns about the precedent which the ADN Safety Committee would create if it adopts this proposal. If the ADN Safety Committee eases the legislative requirements for UN 3082, other substances might follow</w:t>
      </w:r>
      <w:r w:rsidR="00E5793D" w:rsidRPr="00380553">
        <w:rPr>
          <w:lang w:val="en-US"/>
        </w:rPr>
        <w:t>. This development is counterproductive to the international work and ambition for regulatory consistency and a level playing field</w:t>
      </w:r>
      <w:r w:rsidR="00E5793D">
        <w:rPr>
          <w:lang w:val="en-US"/>
        </w:rPr>
        <w:t xml:space="preserve"> in the framework of the transport of dangerous goods</w:t>
      </w:r>
      <w:r w:rsidR="00E5793D" w:rsidRPr="00380553">
        <w:rPr>
          <w:lang w:val="en-US"/>
        </w:rPr>
        <w:t>.</w:t>
      </w:r>
    </w:p>
    <w:p w:rsidR="001D624B" w:rsidRPr="00265A81" w:rsidRDefault="009D0C06" w:rsidP="009D0C06">
      <w:pPr>
        <w:pStyle w:val="HChG"/>
      </w:pPr>
      <w:r>
        <w:tab/>
        <w:t>IV.</w:t>
      </w:r>
      <w:r>
        <w:tab/>
      </w:r>
      <w:r w:rsidR="001D624B">
        <w:t>Conclusion</w:t>
      </w:r>
    </w:p>
    <w:p w:rsidR="00CC47CB" w:rsidRPr="00E56FBB" w:rsidRDefault="009D0C06" w:rsidP="009D0C06">
      <w:pPr>
        <w:pStyle w:val="SingleTxtG"/>
        <w:rPr>
          <w:lang w:val="en-US"/>
        </w:rPr>
      </w:pPr>
      <w:r>
        <w:t>7.</w:t>
      </w:r>
      <w:r>
        <w:tab/>
      </w:r>
      <w:r w:rsidR="00097849">
        <w:t>B</w:t>
      </w:r>
      <w:proofErr w:type="spellStart"/>
      <w:r w:rsidR="00CC47CB">
        <w:rPr>
          <w:lang w:val="en-US"/>
        </w:rPr>
        <w:t>ased</w:t>
      </w:r>
      <w:proofErr w:type="spellEnd"/>
      <w:r w:rsidR="00CC47CB">
        <w:rPr>
          <w:lang w:val="en-US"/>
        </w:rPr>
        <w:t xml:space="preserve"> on </w:t>
      </w:r>
      <w:r w:rsidR="00CC47CB" w:rsidRPr="007663B6">
        <w:rPr>
          <w:lang w:val="en-US"/>
        </w:rPr>
        <w:t>the</w:t>
      </w:r>
      <w:r w:rsidR="003A4842" w:rsidRPr="007663B6">
        <w:rPr>
          <w:lang w:val="en-US"/>
        </w:rPr>
        <w:t xml:space="preserve"> </w:t>
      </w:r>
      <w:r w:rsidR="003A4842" w:rsidRPr="009D0C06">
        <w:t>scientific</w:t>
      </w:r>
      <w:r w:rsidR="003A4842" w:rsidRPr="007663B6">
        <w:rPr>
          <w:lang w:val="en-US"/>
        </w:rPr>
        <w:t xml:space="preserve"> conclusions</w:t>
      </w:r>
      <w:r w:rsidR="003A4842">
        <w:rPr>
          <w:lang w:val="en-US"/>
        </w:rPr>
        <w:t xml:space="preserve"> of the RIVM and on the </w:t>
      </w:r>
      <w:r w:rsidR="001B41D8">
        <w:rPr>
          <w:lang w:val="en-US"/>
        </w:rPr>
        <w:t>men</w:t>
      </w:r>
      <w:r w:rsidR="00380553">
        <w:rPr>
          <w:lang w:val="en-US"/>
        </w:rPr>
        <w:t>tioned policy</w:t>
      </w:r>
      <w:r w:rsidR="003A4842">
        <w:rPr>
          <w:lang w:val="en-US"/>
        </w:rPr>
        <w:t xml:space="preserve"> considerations</w:t>
      </w:r>
      <w:r w:rsidR="00CC47CB">
        <w:rPr>
          <w:lang w:val="en-US"/>
        </w:rPr>
        <w:t xml:space="preserve">, the Dutch government cannot support the proposal from </w:t>
      </w:r>
      <w:proofErr w:type="spellStart"/>
      <w:r w:rsidR="00CC47CB">
        <w:rPr>
          <w:lang w:val="en-US"/>
        </w:rPr>
        <w:t>FuelsEurope</w:t>
      </w:r>
      <w:proofErr w:type="spellEnd"/>
      <w:r w:rsidR="00CC47CB">
        <w:rPr>
          <w:lang w:val="en-US"/>
        </w:rPr>
        <w:t xml:space="preserve"> which</w:t>
      </w:r>
      <w:r w:rsidR="00380553">
        <w:rPr>
          <w:lang w:val="en-US"/>
        </w:rPr>
        <w:t xml:space="preserve"> is based on the CONCAWE</w:t>
      </w:r>
      <w:r w:rsidR="001B41D8">
        <w:rPr>
          <w:lang w:val="en-US"/>
        </w:rPr>
        <w:t xml:space="preserve"> study.</w:t>
      </w:r>
    </w:p>
    <w:p w:rsidR="00627752" w:rsidRDefault="00627752" w:rsidP="00AE41F3">
      <w:pPr>
        <w:spacing w:before="240"/>
        <w:ind w:right="1134" w:firstLine="3686"/>
        <w:jc w:val="both"/>
        <w:rPr>
          <w:u w:val="single"/>
          <w:lang w:val="en-US"/>
        </w:rPr>
      </w:pPr>
      <w:r w:rsidRPr="00E56FBB">
        <w:rPr>
          <w:u w:val="single"/>
          <w:lang w:val="en-US"/>
        </w:rPr>
        <w:tab/>
      </w:r>
      <w:r w:rsidRPr="00E56FBB">
        <w:rPr>
          <w:u w:val="single"/>
          <w:lang w:val="en-US"/>
        </w:rPr>
        <w:tab/>
      </w:r>
      <w:r w:rsidRPr="00E56FBB">
        <w:rPr>
          <w:u w:val="single"/>
          <w:lang w:val="en-US"/>
        </w:rPr>
        <w:tab/>
      </w:r>
    </w:p>
    <w:p w:rsidR="007663B6" w:rsidRDefault="007663B6">
      <w:pPr>
        <w:suppressAutoHyphens w:val="0"/>
        <w:spacing w:line="240" w:lineRule="auto"/>
        <w:rPr>
          <w:u w:val="single"/>
          <w:lang w:val="en-US"/>
        </w:rPr>
      </w:pPr>
      <w:r>
        <w:rPr>
          <w:u w:val="single"/>
          <w:lang w:val="en-US"/>
        </w:rPr>
        <w:br w:type="page"/>
      </w:r>
    </w:p>
    <w:p w:rsidR="009D0C06" w:rsidRDefault="007663B6" w:rsidP="009D0C06">
      <w:pPr>
        <w:pStyle w:val="HChG"/>
        <w:rPr>
          <w:lang w:val="en-US"/>
        </w:rPr>
      </w:pPr>
      <w:r w:rsidRPr="007663B6">
        <w:rPr>
          <w:lang w:val="en-US"/>
        </w:rPr>
        <w:lastRenderedPageBreak/>
        <w:t>Annex I</w:t>
      </w:r>
    </w:p>
    <w:p w:rsidR="0062739D" w:rsidRDefault="009D0C06" w:rsidP="009D0C06">
      <w:pPr>
        <w:pStyle w:val="HChG"/>
        <w:rPr>
          <w:lang w:val="en-US"/>
        </w:rPr>
      </w:pPr>
      <w:r>
        <w:rPr>
          <w:lang w:val="en-US"/>
        </w:rPr>
        <w:tab/>
      </w:r>
      <w:r>
        <w:rPr>
          <w:lang w:val="en-US"/>
        </w:rPr>
        <w:tab/>
      </w:r>
      <w:r w:rsidR="00D420D9">
        <w:rPr>
          <w:lang w:val="en-US"/>
        </w:rPr>
        <w:t>Scientific analyses</w:t>
      </w:r>
      <w:r w:rsidR="0062739D">
        <w:rPr>
          <w:lang w:val="en-US"/>
        </w:rPr>
        <w:t xml:space="preserve"> of the National Institute for Public H</w:t>
      </w:r>
      <w:r w:rsidR="00D420D9">
        <w:rPr>
          <w:lang w:val="en-US"/>
        </w:rPr>
        <w:t>ealth and the Environment (RIVM)</w:t>
      </w:r>
    </w:p>
    <w:p w:rsidR="007663B6" w:rsidRPr="009D0C06" w:rsidRDefault="0062739D" w:rsidP="009D0C06">
      <w:pPr>
        <w:pStyle w:val="SingleTxtG"/>
        <w:rPr>
          <w:i/>
          <w:lang w:val="en-US"/>
        </w:rPr>
      </w:pPr>
      <w:r w:rsidRPr="009D0C06">
        <w:rPr>
          <w:i/>
          <w:lang w:val="en-US"/>
        </w:rPr>
        <w:t>18 January 2016</w:t>
      </w:r>
    </w:p>
    <w:p w:rsidR="00335E30" w:rsidRPr="00D420D9" w:rsidRDefault="00335E30" w:rsidP="009D0C06">
      <w:pPr>
        <w:pStyle w:val="SingleTxtG"/>
      </w:pPr>
      <w:r w:rsidRPr="00D420D9">
        <w:t>The Dutch Ministry of Infrastructure and the Environment asked the RIVM (The Dutch Institute for Public Health and the Environment) to review report 1/15R on ‘Risk Assessment for emissions from hot heavy fuel oil during barge loading’ by CONCAWE from a scientific perspective. Technical experts of the RIVM analysed the report and summarized their primary issues of concern in a memo. This memo was discussed at a meeting between the RIVM experts and the experts of CONCAWE on 27</w:t>
      </w:r>
      <w:r w:rsidRPr="00D420D9">
        <w:rPr>
          <w:vertAlign w:val="superscript"/>
        </w:rPr>
        <w:t>th</w:t>
      </w:r>
      <w:r w:rsidRPr="00D420D9">
        <w:t xml:space="preserve"> of November 2015. After a fruitful discussion the experts of CONCAWE agreed to revise the CONCAWE report to reflect the discussion. </w:t>
      </w:r>
    </w:p>
    <w:p w:rsidR="00335E30" w:rsidRPr="00D420D9" w:rsidRDefault="00335E30" w:rsidP="009D0C06">
      <w:pPr>
        <w:pStyle w:val="SingleTxtG"/>
      </w:pPr>
      <w:r w:rsidRPr="00D420D9">
        <w:t>RIVM received a version of the revised report on 8 January 2016. The newly revised report has been analysed by the experts of the RIVM to the extent possible in the limited time available. Particular attention was given to the points discussed during the meeting on 27</w:t>
      </w:r>
      <w:r w:rsidRPr="00D420D9">
        <w:rPr>
          <w:vertAlign w:val="superscript"/>
        </w:rPr>
        <w:t>th</w:t>
      </w:r>
      <w:r w:rsidRPr="00D420D9">
        <w:t xml:space="preserve"> of November 2015.</w:t>
      </w:r>
    </w:p>
    <w:p w:rsidR="00335E30" w:rsidRPr="00D420D9" w:rsidRDefault="00335E30" w:rsidP="009D0C06">
      <w:pPr>
        <w:pStyle w:val="SingleTxtG"/>
      </w:pPr>
      <w:r w:rsidRPr="00D420D9">
        <w:t xml:space="preserve">After this review, the experts of the RIVM concluded that a number of the concerns of the RIVM have been addressed, either during the discussion or in the revised report. However, a number of key issues remain. Due to the limited amount of samples, in combination with the large range of </w:t>
      </w:r>
      <w:proofErr w:type="spellStart"/>
      <w:r w:rsidRPr="00D420D9">
        <w:t>polyaromatic</w:t>
      </w:r>
      <w:proofErr w:type="spellEnd"/>
      <w:r w:rsidRPr="00D420D9">
        <w:t xml:space="preserve"> hydrocarbons (PAH) levels reported in HFO samples, there is still doubt that the samples analysed in the study cover the range of HFOs transported. Furthermore, uncertainties concerning the composition of the samples remain. In addition, the modified Ames test presented in the report is verified against a dermal route of exposure while the primary route of concern in this study is the inhalation route. Finally human health hazards other than mutagenicity and </w:t>
      </w:r>
      <w:proofErr w:type="spellStart"/>
      <w:r w:rsidRPr="00D420D9">
        <w:t>carcinogenity</w:t>
      </w:r>
      <w:proofErr w:type="spellEnd"/>
      <w:r w:rsidRPr="00D420D9">
        <w:t xml:space="preserve"> such as reproductive toxicity, or target organ toxicity have not been discussed in the report. Therefore, additional data is needed to support the final conclusion that HFO emissions, exposure and hazards during barge loading are not a source of human health concern.</w:t>
      </w:r>
    </w:p>
    <w:p w:rsidR="00335E30" w:rsidRPr="00D420D9" w:rsidRDefault="00335E30" w:rsidP="009D0C06">
      <w:pPr>
        <w:pStyle w:val="SingleTxtG"/>
        <w:rPr>
          <w:u w:val="single"/>
        </w:rPr>
      </w:pPr>
      <w:r w:rsidRPr="00D420D9">
        <w:t>Below, a point by point summary is given of the analysis performed by the experts of the RIVM. Remarks on report 1/15R that were discussed at the meeting on 27 November 2015 are reproduced below under the different subheadings ‘</w:t>
      </w:r>
      <w:r w:rsidRPr="00D420D9">
        <w:rPr>
          <w:u w:val="single"/>
        </w:rPr>
        <w:t>RIVM remarks on report 1/15R</w:t>
      </w:r>
      <w:r w:rsidRPr="00D420D9">
        <w:t>’. A short summary of the discussions and/or remarks on revised report 1/15R are reproduced under sub-headings ‘</w:t>
      </w:r>
      <w:r w:rsidRPr="00D420D9">
        <w:rPr>
          <w:u w:val="single"/>
        </w:rPr>
        <w:t>Discussion and remarks on revised report 1/15R’</w:t>
      </w:r>
    </w:p>
    <w:p w:rsidR="0062739D" w:rsidRPr="00D420D9" w:rsidRDefault="009D0C06" w:rsidP="009D0C06">
      <w:pPr>
        <w:pStyle w:val="H23G"/>
      </w:pPr>
      <w:r>
        <w:tab/>
      </w:r>
      <w:r>
        <w:tab/>
      </w:r>
      <w:r w:rsidR="00335E30" w:rsidRPr="00D420D9">
        <w:t>Sampling</w:t>
      </w:r>
    </w:p>
    <w:p w:rsidR="00335E30" w:rsidRPr="009D0C06" w:rsidRDefault="00335E30" w:rsidP="009D0C06">
      <w:pPr>
        <w:pStyle w:val="SingleTxtG"/>
        <w:rPr>
          <w:u w:val="single"/>
        </w:rPr>
      </w:pPr>
      <w:r w:rsidRPr="009D0C06">
        <w:rPr>
          <w:u w:val="single"/>
        </w:rPr>
        <w:t>RIVM remarks on report 1/15R</w:t>
      </w:r>
    </w:p>
    <w:p w:rsidR="00335E30" w:rsidRPr="00D420D9" w:rsidRDefault="00335E30" w:rsidP="009D0C06">
      <w:pPr>
        <w:pStyle w:val="SingleTxtG"/>
      </w:pPr>
      <w:r w:rsidRPr="00D420D9">
        <w:t>In the CONCAWE report 1/15R, five, eight or nine samples of Heavy Fuel Oil (HFO) are investigated. In the exposure study five samples are investigated, in the modified Ames assay nine samples are mentioned and in the 2015/INF.23 paper</w:t>
      </w:r>
      <w:r w:rsidRPr="00D420D9">
        <w:rPr>
          <w:rStyle w:val="FootnoteReference"/>
          <w:sz w:val="20"/>
        </w:rPr>
        <w:footnoteReference w:id="2"/>
      </w:r>
      <w:r w:rsidRPr="00D420D9">
        <w:t xml:space="preserve"> eight samples are mentioned. However, the CONCAWE report 1/15R also mentions: “The precise composition of HFOs can vary widely with variable quantities high molecular weight </w:t>
      </w:r>
      <w:proofErr w:type="spellStart"/>
      <w:r w:rsidRPr="00D420D9">
        <w:t>olefinic</w:t>
      </w:r>
      <w:proofErr w:type="spellEnd"/>
      <w:r w:rsidRPr="00D420D9">
        <w:t xml:space="preserve">, paraffinic, aromatic, and naphthenic hydrocarbons present together with prescribed </w:t>
      </w:r>
      <w:r w:rsidRPr="00D420D9">
        <w:lastRenderedPageBreak/>
        <w:t xml:space="preserve">amounts of a lower molecular weight cutter stock that is used to achieve the desired physical properties (Holmes and </w:t>
      </w:r>
      <w:proofErr w:type="spellStart"/>
      <w:r w:rsidRPr="00D420D9">
        <w:t>Bullin</w:t>
      </w:r>
      <w:proofErr w:type="spellEnd"/>
      <w:r w:rsidRPr="00D420D9">
        <w:t xml:space="preserve">, 1983).” </w:t>
      </w:r>
    </w:p>
    <w:p w:rsidR="00335E30" w:rsidRPr="00D420D9" w:rsidRDefault="009D0C06" w:rsidP="009D0C06">
      <w:pPr>
        <w:pStyle w:val="SingleTxtG"/>
        <w:rPr>
          <w:lang w:val="en-US"/>
        </w:rPr>
      </w:pPr>
      <w:r>
        <w:rPr>
          <w:lang w:val="en-US"/>
        </w:rPr>
        <w:t>1.</w:t>
      </w:r>
      <w:r>
        <w:rPr>
          <w:lang w:val="en-US"/>
        </w:rPr>
        <w:tab/>
      </w:r>
      <w:r w:rsidR="00335E30" w:rsidRPr="00D420D9">
        <w:rPr>
          <w:lang w:val="en-US"/>
        </w:rPr>
        <w:t>Can CONCAWE explain how these samples were chosen?</w:t>
      </w:r>
    </w:p>
    <w:p w:rsidR="00335E30" w:rsidRPr="00D420D9" w:rsidRDefault="009D0C06" w:rsidP="007647DA">
      <w:pPr>
        <w:pStyle w:val="SingleTxtG"/>
        <w:ind w:left="1701" w:hanging="567"/>
      </w:pPr>
      <w:r>
        <w:t>2.</w:t>
      </w:r>
      <w:r>
        <w:tab/>
      </w:r>
      <w:r w:rsidR="00335E30" w:rsidRPr="00D420D9">
        <w:t>Can CONCAWE explain how the samples used in the different tests relate to each other?</w:t>
      </w:r>
    </w:p>
    <w:p w:rsidR="00335E30" w:rsidRPr="00D420D9" w:rsidRDefault="009D0C06" w:rsidP="007647DA">
      <w:pPr>
        <w:pStyle w:val="SingleTxtG"/>
        <w:ind w:left="1701" w:hanging="567"/>
        <w:rPr>
          <w:lang w:val="en-US"/>
        </w:rPr>
      </w:pPr>
      <w:r>
        <w:rPr>
          <w:lang w:val="en-US"/>
        </w:rPr>
        <w:t>3.</w:t>
      </w:r>
      <w:r>
        <w:rPr>
          <w:lang w:val="en-US"/>
        </w:rPr>
        <w:tab/>
      </w:r>
      <w:r w:rsidR="00335E30" w:rsidRPr="00D420D9">
        <w:rPr>
          <w:lang w:val="en-US"/>
        </w:rPr>
        <w:t xml:space="preserve">Can CONCAWE elaborate whether these samples are representative for the widely varying range of products that can be classified as UN 3082, </w:t>
      </w:r>
      <w:r w:rsidR="00335E30" w:rsidRPr="00D420D9">
        <w:rPr>
          <w:rFonts w:eastAsia="TimesNewRomanPSMT"/>
          <w:lang w:val="en-US"/>
        </w:rPr>
        <w:t>ENVIROMENTALLY HAZARDOUS SUBSTANCE; LIQUID, N.O.S. (HEAVY HEATING OIL)</w:t>
      </w:r>
      <w:r w:rsidR="00335E30" w:rsidRPr="00D420D9">
        <w:rPr>
          <w:lang w:val="en-US"/>
        </w:rPr>
        <w:t>?</w:t>
      </w:r>
    </w:p>
    <w:p w:rsidR="00335E30" w:rsidRPr="009D0C06" w:rsidRDefault="00335E30" w:rsidP="009D0C06">
      <w:pPr>
        <w:pStyle w:val="SingleTxtG"/>
        <w:rPr>
          <w:rStyle w:val="SingleTxtGChar"/>
          <w:i/>
          <w:u w:val="single"/>
        </w:rPr>
      </w:pPr>
      <w:r w:rsidRPr="009D0C06">
        <w:rPr>
          <w:i/>
          <w:u w:val="single"/>
        </w:rPr>
        <w:t>Discussion and remarks on revised report 1/15R</w:t>
      </w:r>
    </w:p>
    <w:p w:rsidR="00335E30" w:rsidRPr="00D420D9" w:rsidRDefault="00335E30" w:rsidP="009D0C06">
      <w:pPr>
        <w:pStyle w:val="SingleTxtG"/>
        <w:rPr>
          <w:lang w:val="en-US"/>
        </w:rPr>
      </w:pPr>
      <w:r w:rsidRPr="00D420D9">
        <w:rPr>
          <w:lang w:val="en-US"/>
        </w:rPr>
        <w:t>During the discussion, CONCAWE explained that although the precise composition of heavy fuel oils can vary, the variation is always within a certain range. The desired physical properties demand that the variation of heavy fuel oil specifications cannot vary too much. Chapter 5.1 of the revised report has been amended to reflect this discussion. The revised text states that because the investigated samples have PAH levels that fall within the same range as the levels of eight earlier investigated HFOs (</w:t>
      </w:r>
      <w:proofErr w:type="spellStart"/>
      <w:r w:rsidRPr="00D420D9">
        <w:rPr>
          <w:lang w:val="en-US"/>
        </w:rPr>
        <w:t>Christofer</w:t>
      </w:r>
      <w:proofErr w:type="spellEnd"/>
      <w:r w:rsidRPr="00D420D9">
        <w:rPr>
          <w:lang w:val="en-US"/>
        </w:rPr>
        <w:t>, 2011)</w:t>
      </w:r>
      <w:r w:rsidRPr="00D420D9">
        <w:rPr>
          <w:rStyle w:val="FootnoteReference"/>
          <w:sz w:val="20"/>
        </w:rPr>
        <w:footnoteReference w:id="3"/>
      </w:r>
      <w:r w:rsidRPr="00D420D9">
        <w:rPr>
          <w:lang w:val="en-US"/>
        </w:rPr>
        <w:t xml:space="preserve"> they could be considered representative of HFOs in commerce. However, the </w:t>
      </w:r>
      <w:proofErr w:type="spellStart"/>
      <w:r w:rsidRPr="00D420D9">
        <w:rPr>
          <w:lang w:val="en-US"/>
        </w:rPr>
        <w:t>Christofer</w:t>
      </w:r>
      <w:proofErr w:type="spellEnd"/>
      <w:r w:rsidRPr="00D420D9">
        <w:rPr>
          <w:lang w:val="en-US"/>
        </w:rPr>
        <w:t xml:space="preserve"> (2011) study “showed that the range and level of PAHs can vary extensively between HFO samples”</w:t>
      </w:r>
      <w:r w:rsidRPr="00D420D9">
        <w:rPr>
          <w:vertAlign w:val="superscript"/>
          <w:lang w:val="en-US"/>
        </w:rPr>
        <w:t>2</w:t>
      </w:r>
      <w:r w:rsidRPr="00D420D9">
        <w:rPr>
          <w:lang w:val="en-US"/>
        </w:rPr>
        <w:t xml:space="preserve">. The study also reported concentrations of several PAHs (naphthalene, </w:t>
      </w:r>
      <w:proofErr w:type="spellStart"/>
      <w:r w:rsidRPr="00D420D9">
        <w:rPr>
          <w:lang w:val="en-US"/>
        </w:rPr>
        <w:t>anthracene</w:t>
      </w:r>
      <w:proofErr w:type="spellEnd"/>
      <w:r w:rsidRPr="00D420D9">
        <w:rPr>
          <w:lang w:val="en-US"/>
        </w:rPr>
        <w:t xml:space="preserve">, </w:t>
      </w:r>
      <w:proofErr w:type="spellStart"/>
      <w:r w:rsidRPr="00D420D9">
        <w:rPr>
          <w:lang w:val="en-US"/>
        </w:rPr>
        <w:t>fluoranthene</w:t>
      </w:r>
      <w:proofErr w:type="spellEnd"/>
      <w:r w:rsidRPr="00D420D9">
        <w:rPr>
          <w:lang w:val="en-US"/>
        </w:rPr>
        <w:t xml:space="preserve">, </w:t>
      </w:r>
      <w:proofErr w:type="spellStart"/>
      <w:r w:rsidRPr="00D420D9">
        <w:rPr>
          <w:lang w:val="en-US"/>
        </w:rPr>
        <w:t>pyrene</w:t>
      </w:r>
      <w:proofErr w:type="spellEnd"/>
      <w:r w:rsidRPr="00D420D9">
        <w:rPr>
          <w:lang w:val="en-US"/>
        </w:rPr>
        <w:t xml:space="preserve"> and </w:t>
      </w:r>
      <w:proofErr w:type="spellStart"/>
      <w:proofErr w:type="gramStart"/>
      <w:r w:rsidRPr="00D420D9">
        <w:rPr>
          <w:lang w:val="en-US"/>
        </w:rPr>
        <w:t>benzo</w:t>
      </w:r>
      <w:proofErr w:type="spellEnd"/>
      <w:r w:rsidRPr="00D420D9">
        <w:rPr>
          <w:lang w:val="en-US"/>
        </w:rPr>
        <w:t>[</w:t>
      </w:r>
      <w:proofErr w:type="spellStart"/>
      <w:proofErr w:type="gramEnd"/>
      <w:r w:rsidRPr="00D420D9">
        <w:rPr>
          <w:lang w:val="en-US"/>
        </w:rPr>
        <w:t>ghi</w:t>
      </w:r>
      <w:proofErr w:type="spellEnd"/>
      <w:r w:rsidRPr="00D420D9">
        <w:rPr>
          <w:lang w:val="en-US"/>
        </w:rPr>
        <w:t>]</w:t>
      </w:r>
      <w:proofErr w:type="spellStart"/>
      <w:r w:rsidRPr="00D420D9">
        <w:rPr>
          <w:lang w:val="en-US"/>
        </w:rPr>
        <w:t>perylene</w:t>
      </w:r>
      <w:proofErr w:type="spellEnd"/>
      <w:r w:rsidRPr="00D420D9">
        <w:rPr>
          <w:lang w:val="en-US"/>
        </w:rPr>
        <w:t xml:space="preserve">) up to 10 fold higher than the highest levels reported by the CONCAWE study for these PAHs. In order for robust conclusions to be drawn on the hazard properties of HFO, the samples used should be demonstrated to represent the entire range of HFO that is transported. In CONCAWE revised report 1/15R, it has not been sufficiently demonstrated that the limited amount of samples </w:t>
      </w:r>
      <w:proofErr w:type="spellStart"/>
      <w:r w:rsidRPr="00D420D9">
        <w:rPr>
          <w:lang w:val="en-US"/>
        </w:rPr>
        <w:t>analysed</w:t>
      </w:r>
      <w:proofErr w:type="spellEnd"/>
      <w:r w:rsidRPr="00D420D9">
        <w:rPr>
          <w:lang w:val="en-US"/>
        </w:rPr>
        <w:t xml:space="preserve"> cover the entire range of HFOs transported. </w:t>
      </w:r>
    </w:p>
    <w:p w:rsidR="0062739D" w:rsidRPr="00D420D9" w:rsidRDefault="009D0C06" w:rsidP="009D0C06">
      <w:pPr>
        <w:pStyle w:val="H23G"/>
        <w:rPr>
          <w:rFonts w:eastAsia="DejaVu Sans"/>
          <w:lang w:eastAsia="zh-CN" w:bidi="hi-IN"/>
        </w:rPr>
      </w:pPr>
      <w:r>
        <w:rPr>
          <w:rFonts w:eastAsia="DejaVu Sans"/>
          <w:lang w:eastAsia="zh-CN" w:bidi="hi-IN"/>
        </w:rPr>
        <w:tab/>
      </w:r>
      <w:r>
        <w:rPr>
          <w:rFonts w:eastAsia="DejaVu Sans"/>
          <w:lang w:eastAsia="zh-CN" w:bidi="hi-IN"/>
        </w:rPr>
        <w:tab/>
      </w:r>
      <w:r w:rsidR="00335E30" w:rsidRPr="00D420D9">
        <w:rPr>
          <w:rFonts w:eastAsia="DejaVu Sans"/>
          <w:lang w:eastAsia="zh-CN" w:bidi="hi-IN"/>
        </w:rPr>
        <w:t>Composition</w:t>
      </w:r>
    </w:p>
    <w:p w:rsidR="00335E30" w:rsidRPr="002865CE" w:rsidRDefault="00335E30" w:rsidP="002865CE">
      <w:pPr>
        <w:pStyle w:val="SingleTxtG"/>
        <w:rPr>
          <w:i/>
          <w:u w:val="single"/>
        </w:rPr>
      </w:pPr>
      <w:r w:rsidRPr="002865CE">
        <w:rPr>
          <w:i/>
          <w:u w:val="single"/>
        </w:rPr>
        <w:t>RIVM remarks on report 1/15R</w:t>
      </w:r>
    </w:p>
    <w:p w:rsidR="00335E30" w:rsidRPr="00D420D9" w:rsidRDefault="00335E30" w:rsidP="002865CE">
      <w:pPr>
        <w:pStyle w:val="SingleTxtG"/>
        <w:rPr>
          <w:rFonts w:eastAsia="DejaVu Sans"/>
          <w:lang w:eastAsia="zh-CN" w:bidi="hi-IN"/>
        </w:rPr>
      </w:pPr>
      <w:r w:rsidRPr="00D420D9">
        <w:rPr>
          <w:rFonts w:eastAsia="DejaVu Sans"/>
          <w:lang w:eastAsia="zh-CN" w:bidi="hi-IN"/>
        </w:rPr>
        <w:t xml:space="preserve">In tables 8 and 9 of the CONCAWE report1/15R, the aromatic hydrocarbon concentrations of the condensate and bulk samples are given. The aromatic hydrocarbon fraction compromises only 4% of the total sample.  </w:t>
      </w:r>
    </w:p>
    <w:p w:rsidR="00335E30" w:rsidRPr="00D420D9" w:rsidRDefault="002865CE" w:rsidP="007647DA">
      <w:pPr>
        <w:pStyle w:val="SingleTxtG"/>
        <w:ind w:left="1701" w:hanging="567"/>
        <w:rPr>
          <w:rFonts w:eastAsia="DejaVu Sans"/>
          <w:lang w:eastAsia="zh-CN" w:bidi="hi-IN"/>
        </w:rPr>
      </w:pPr>
      <w:r>
        <w:rPr>
          <w:rFonts w:eastAsia="DejaVu Sans"/>
          <w:lang w:eastAsia="zh-CN" w:bidi="hi-IN"/>
        </w:rPr>
        <w:t>4.</w:t>
      </w:r>
      <w:r>
        <w:rPr>
          <w:rFonts w:eastAsia="DejaVu Sans"/>
          <w:lang w:eastAsia="zh-CN" w:bidi="hi-IN"/>
        </w:rPr>
        <w:tab/>
      </w:r>
      <w:r w:rsidR="00335E30" w:rsidRPr="00D420D9">
        <w:rPr>
          <w:rFonts w:eastAsia="DejaVu Sans"/>
          <w:lang w:eastAsia="zh-CN" w:bidi="hi-IN"/>
        </w:rPr>
        <w:t xml:space="preserve">Can </w:t>
      </w:r>
      <w:r w:rsidR="00335E30" w:rsidRPr="007647DA">
        <w:t>CONCAWE</w:t>
      </w:r>
      <w:r w:rsidR="00335E30" w:rsidRPr="00D420D9">
        <w:rPr>
          <w:rFonts w:eastAsia="DejaVu Sans"/>
          <w:lang w:eastAsia="zh-CN" w:bidi="hi-IN"/>
        </w:rPr>
        <w:t xml:space="preserve"> provide information on the composition of the remaining 96% of these samples?</w:t>
      </w:r>
    </w:p>
    <w:p w:rsidR="00335E30" w:rsidRPr="00D420D9" w:rsidRDefault="002865CE" w:rsidP="007647DA">
      <w:pPr>
        <w:pStyle w:val="SingleTxtG"/>
        <w:ind w:left="1701" w:hanging="567"/>
        <w:rPr>
          <w:lang w:val="en-US"/>
        </w:rPr>
      </w:pPr>
      <w:r>
        <w:rPr>
          <w:lang w:val="en-US"/>
        </w:rPr>
        <w:t>5.</w:t>
      </w:r>
      <w:r>
        <w:rPr>
          <w:lang w:val="en-US"/>
        </w:rPr>
        <w:tab/>
      </w:r>
      <w:r w:rsidR="00335E30" w:rsidRPr="00D420D9">
        <w:rPr>
          <w:lang w:val="en-US"/>
        </w:rPr>
        <w:t xml:space="preserve">Can </w:t>
      </w:r>
      <w:r w:rsidR="00335E30" w:rsidRPr="007647DA">
        <w:t>CONCAWE</w:t>
      </w:r>
      <w:r w:rsidR="00335E30" w:rsidRPr="00D420D9">
        <w:rPr>
          <w:lang w:val="en-US"/>
        </w:rPr>
        <w:t xml:space="preserve"> give an indication of the hazard profile of this remaining 96%?</w:t>
      </w:r>
    </w:p>
    <w:p w:rsidR="00335E30" w:rsidRPr="00D420D9" w:rsidRDefault="002865CE" w:rsidP="007647DA">
      <w:pPr>
        <w:pStyle w:val="SingleTxtG"/>
        <w:ind w:left="1701" w:hanging="567"/>
        <w:rPr>
          <w:rFonts w:eastAsia="DejaVu Sans"/>
          <w:lang w:eastAsia="zh-CN" w:bidi="hi-IN"/>
        </w:rPr>
      </w:pPr>
      <w:r>
        <w:rPr>
          <w:rFonts w:eastAsia="DejaVu Sans"/>
          <w:lang w:eastAsia="zh-CN" w:bidi="hi-IN"/>
        </w:rPr>
        <w:t>6.</w:t>
      </w:r>
      <w:r>
        <w:rPr>
          <w:rFonts w:eastAsia="DejaVu Sans"/>
          <w:lang w:eastAsia="zh-CN" w:bidi="hi-IN"/>
        </w:rPr>
        <w:tab/>
      </w:r>
      <w:r w:rsidR="00335E30" w:rsidRPr="00D420D9">
        <w:rPr>
          <w:rFonts w:eastAsia="DejaVu Sans"/>
          <w:lang w:eastAsia="zh-CN" w:bidi="hi-IN"/>
        </w:rPr>
        <w:t>Can CONCAWE explain why only 4% of the composition of the sample is represented in the report?</w:t>
      </w:r>
    </w:p>
    <w:p w:rsidR="00335E30" w:rsidRPr="00D420D9" w:rsidRDefault="00335E30" w:rsidP="002865CE">
      <w:pPr>
        <w:pStyle w:val="SingleTxtG"/>
        <w:rPr>
          <w:rFonts w:eastAsia="DejaVu Sans"/>
          <w:lang w:eastAsia="zh-CN" w:bidi="hi-IN"/>
        </w:rPr>
      </w:pPr>
      <w:r w:rsidRPr="00D420D9">
        <w:rPr>
          <w:rFonts w:eastAsia="DejaVu Sans"/>
          <w:lang w:eastAsia="zh-CN" w:bidi="hi-IN"/>
        </w:rPr>
        <w:t>The CONCAWE report 1/15R states in chapter 3.3.4.2 that: “The aerosol and vapour phase workplace samples were analysed for three PAHs: naphthalene, pyrene, and benzo[a]pyrene. These three PAHs provide an indication of the distribution of 2-ring, 4-ring, and 5-ring PAHs in the workplace air.” And in chapter 4.2.2 that: “These three substances were selected because they are representative of the 2-ring, 4-ring, and 5-ring aromatic hydrocarbons that can be found in HFO samples.”</w:t>
      </w:r>
    </w:p>
    <w:p w:rsidR="00335E30" w:rsidRPr="00D420D9" w:rsidRDefault="002865CE" w:rsidP="007647DA">
      <w:pPr>
        <w:pStyle w:val="SingleTxtG"/>
        <w:ind w:left="1701" w:hanging="567"/>
        <w:rPr>
          <w:lang w:val="en-US"/>
        </w:rPr>
      </w:pPr>
      <w:r>
        <w:rPr>
          <w:lang w:val="en-US"/>
        </w:rPr>
        <w:t>7.</w:t>
      </w:r>
      <w:r>
        <w:rPr>
          <w:lang w:val="en-US"/>
        </w:rPr>
        <w:tab/>
      </w:r>
      <w:r w:rsidR="00335E30" w:rsidRPr="00D420D9">
        <w:rPr>
          <w:lang w:val="en-US"/>
        </w:rPr>
        <w:t xml:space="preserve">Can </w:t>
      </w:r>
      <w:r w:rsidR="00335E30" w:rsidRPr="007647DA">
        <w:t>CONCAWE</w:t>
      </w:r>
      <w:r w:rsidR="00335E30" w:rsidRPr="00D420D9">
        <w:rPr>
          <w:lang w:val="en-US"/>
        </w:rPr>
        <w:t xml:space="preserve"> explain how these three PAHs are representative of the 2-ring, 4-ring, and 5-ring aromatic hydrocarbons that can be found in HFO samples?</w:t>
      </w:r>
    </w:p>
    <w:p w:rsidR="00335E30" w:rsidRPr="002865CE" w:rsidRDefault="00335E30" w:rsidP="002865CE">
      <w:pPr>
        <w:pStyle w:val="SingleTxtG"/>
        <w:rPr>
          <w:i/>
          <w:u w:val="single"/>
        </w:rPr>
      </w:pPr>
      <w:r w:rsidRPr="002865CE">
        <w:rPr>
          <w:i/>
          <w:u w:val="single"/>
        </w:rPr>
        <w:lastRenderedPageBreak/>
        <w:t>Discussion and remarks on revised report 1/15R</w:t>
      </w:r>
    </w:p>
    <w:p w:rsidR="00335E30" w:rsidRPr="00D420D9" w:rsidRDefault="00335E30" w:rsidP="002865CE">
      <w:pPr>
        <w:pStyle w:val="SingleTxtG"/>
      </w:pPr>
      <w:r w:rsidRPr="00D420D9">
        <w:t xml:space="preserve">During the discussion the RIVM suggested that other fractions than the aromatic hydrocarbon fraction might contribute to the carcinogenic potential of HFO. The experts of CONCAWE pointed out </w:t>
      </w:r>
      <w:proofErr w:type="gramStart"/>
      <w:r w:rsidRPr="00D420D9">
        <w:t>that earlier studies</w:t>
      </w:r>
      <w:proofErr w:type="gramEnd"/>
      <w:r w:rsidRPr="00D420D9">
        <w:t xml:space="preserve"> have implied that PAHs are the principal, if not sole, mutagens/carcinogens in mineral oils. The 21 individual PAHs presented in the CONCAWE revised report 1/15R compromise only 4% of the total sample whereas a typical HFO consists of 42</w:t>
      </w:r>
      <w:proofErr w:type="gramStart"/>
      <w:r w:rsidRPr="00D420D9">
        <w:t>,4</w:t>
      </w:r>
      <w:proofErr w:type="gramEnd"/>
      <w:r w:rsidRPr="00D420D9">
        <w:t xml:space="preserve">% aromatics content (CONCAWE report 7/12). </w:t>
      </w:r>
      <w:r w:rsidRPr="00D420D9">
        <w:rPr>
          <w:rFonts w:eastAsia="DejaVu Sans"/>
          <w:kern w:val="3"/>
          <w:lang w:eastAsia="zh-CN" w:bidi="hi-IN"/>
        </w:rPr>
        <w:t xml:space="preserve">Naphthalene, pyrene, and benzo[a]pyrene were described as </w:t>
      </w:r>
      <w:r w:rsidRPr="00D420D9">
        <w:t xml:space="preserve">substances representative of the 2-ring, 4-ring, and 5-ring aromatic hydrocarbons that can be found in HFO samples. However, no calculations or estimations of the 2-, 4-, and 5-ring aromatic hydrocarbon distribution based on the </w:t>
      </w:r>
      <w:r w:rsidRPr="00D420D9">
        <w:rPr>
          <w:rFonts w:eastAsia="DejaVu Sans"/>
          <w:kern w:val="3"/>
          <w:lang w:eastAsia="zh-CN" w:bidi="hi-IN"/>
        </w:rPr>
        <w:t>naphthalene, pyrene, and benzo[a]pyrene</w:t>
      </w:r>
      <w:r w:rsidRPr="00D420D9">
        <w:t xml:space="preserve"> concentrations have been presented in the revised report. Furthermore, the remaining 58% of the HFO samples remains unidentified as well. Information on the carbon number distribution and the quantitative information on the classes of aromatic hydrocarbons would have given a better insight into the composition of the HFOs studied in the CONCAWE revised report 1/15R. Methods to better specify the carbon number distribution and the quantitative information on the classes of aromatic hydrocarbons are available and recommended by CONCAWE (CONCAWE report 7/12). </w:t>
      </w:r>
    </w:p>
    <w:p w:rsidR="0062739D" w:rsidRPr="00D420D9" w:rsidRDefault="002865CE" w:rsidP="002865CE">
      <w:pPr>
        <w:pStyle w:val="H23G"/>
        <w:rPr>
          <w:rFonts w:eastAsia="DejaVu Sans"/>
          <w:lang w:eastAsia="zh-CN" w:bidi="hi-IN"/>
        </w:rPr>
      </w:pPr>
      <w:r>
        <w:rPr>
          <w:rFonts w:eastAsia="DejaVu Sans"/>
          <w:lang w:eastAsia="zh-CN" w:bidi="hi-IN"/>
        </w:rPr>
        <w:tab/>
      </w:r>
      <w:r>
        <w:rPr>
          <w:rFonts w:eastAsia="DejaVu Sans"/>
          <w:lang w:eastAsia="zh-CN" w:bidi="hi-IN"/>
        </w:rPr>
        <w:tab/>
      </w:r>
      <w:r w:rsidR="00335E30" w:rsidRPr="00D420D9">
        <w:rPr>
          <w:rFonts w:eastAsia="DejaVu Sans"/>
          <w:lang w:eastAsia="zh-CN" w:bidi="hi-IN"/>
        </w:rPr>
        <w:t>Hazard profile</w:t>
      </w:r>
    </w:p>
    <w:p w:rsidR="00335E30" w:rsidRPr="002865CE" w:rsidRDefault="00335E30" w:rsidP="002865CE">
      <w:pPr>
        <w:pStyle w:val="SingleTxtG"/>
        <w:rPr>
          <w:i/>
          <w:u w:val="single"/>
        </w:rPr>
      </w:pPr>
      <w:r w:rsidRPr="002865CE">
        <w:rPr>
          <w:i/>
          <w:u w:val="single"/>
        </w:rPr>
        <w:t>RIVM remarks on report 1/15R</w:t>
      </w:r>
    </w:p>
    <w:p w:rsidR="00335E30" w:rsidRPr="00D420D9" w:rsidRDefault="00335E30" w:rsidP="002865CE">
      <w:pPr>
        <w:pStyle w:val="SingleTxtG"/>
        <w:rPr>
          <w:rFonts w:eastAsia="DejaVu Sans"/>
          <w:lang w:eastAsia="zh-CN" w:bidi="hi-IN"/>
        </w:rPr>
      </w:pPr>
      <w:r w:rsidRPr="002865CE">
        <w:rPr>
          <w:rStyle w:val="SingleTxtGChar"/>
          <w:rFonts w:eastAsia="DejaVu Sans"/>
        </w:rPr>
        <w:t>E</w:t>
      </w:r>
      <w:r w:rsidRPr="00D420D9">
        <w:rPr>
          <w:rFonts w:eastAsia="DejaVu Sans"/>
          <w:lang w:eastAsia="zh-CN" w:bidi="hi-IN"/>
        </w:rPr>
        <w:t xml:space="preserve">arlier studies conclude that Heavy Fuel Oil components have a range of health hazards. </w:t>
      </w:r>
      <w:r w:rsidRPr="00D420D9">
        <w:rPr>
          <w:rFonts w:eastAsia="DejaVu Sans"/>
          <w:bCs/>
          <w:lang w:eastAsia="zh-CN" w:bidi="hi-IN"/>
        </w:rPr>
        <w:t>Carcinogenicity</w:t>
      </w:r>
      <w:r w:rsidRPr="00D420D9">
        <w:rPr>
          <w:rFonts w:eastAsia="DejaVu Sans"/>
          <w:bCs/>
          <w:vertAlign w:val="superscript"/>
          <w:lang w:eastAsia="zh-CN" w:bidi="hi-IN"/>
        </w:rPr>
        <w:footnoteReference w:id="4"/>
      </w:r>
      <w:r w:rsidRPr="00D420D9">
        <w:rPr>
          <w:rFonts w:eastAsia="DejaVu Sans"/>
          <w:bCs/>
          <w:lang w:eastAsia="zh-CN" w:bidi="hi-IN"/>
        </w:rPr>
        <w:t xml:space="preserve"> and reproductive toxicity</w:t>
      </w:r>
      <w:r w:rsidRPr="00D420D9">
        <w:rPr>
          <w:rFonts w:eastAsia="DejaVu Sans"/>
          <w:bCs/>
          <w:vertAlign w:val="superscript"/>
          <w:lang w:eastAsia="zh-CN" w:bidi="hi-IN"/>
        </w:rPr>
        <w:footnoteReference w:id="5"/>
      </w:r>
      <w:r w:rsidRPr="00D420D9">
        <w:rPr>
          <w:rFonts w:eastAsia="DejaVu Sans"/>
          <w:bCs/>
          <w:lang w:eastAsia="zh-CN" w:bidi="hi-IN"/>
        </w:rPr>
        <w:t xml:space="preserve"> are mentioned as health hazards for heavy fuel oil components in CONCAWE reports (</w:t>
      </w:r>
      <w:r w:rsidRPr="00D420D9">
        <w:rPr>
          <w:rFonts w:eastAsia="DejaVu Sans"/>
          <w:lang w:eastAsia="zh-CN" w:bidi="hi-IN"/>
        </w:rPr>
        <w:t>10/11, 8/12, and 10/14)</w:t>
      </w:r>
      <w:r w:rsidRPr="00D420D9">
        <w:rPr>
          <w:rFonts w:eastAsia="DejaVu Sans"/>
          <w:bCs/>
          <w:vertAlign w:val="superscript"/>
          <w:lang w:eastAsia="zh-CN" w:bidi="hi-IN"/>
        </w:rPr>
        <w:footnoteReference w:id="6"/>
      </w:r>
      <w:r w:rsidRPr="00D420D9">
        <w:rPr>
          <w:rFonts w:eastAsia="DejaVu Sans"/>
          <w:lang w:eastAsia="zh-CN" w:bidi="hi-IN"/>
        </w:rPr>
        <w:t xml:space="preserve">. These CONCAWE reports </w:t>
      </w:r>
      <w:r w:rsidRPr="00D420D9">
        <w:rPr>
          <w:rFonts w:eastAsia="DejaVu Sans"/>
          <w:bCs/>
          <w:lang w:eastAsia="zh-CN" w:bidi="hi-IN"/>
        </w:rPr>
        <w:t>(</w:t>
      </w:r>
      <w:r w:rsidRPr="00D420D9">
        <w:rPr>
          <w:rFonts w:eastAsia="DejaVu Sans"/>
          <w:lang w:eastAsia="zh-CN" w:bidi="hi-IN"/>
        </w:rPr>
        <w:t>10/11, 8/12, and 10/14) also state that Heavy Fuel Oil components are not considered to have mutagenic properties. Furthermore, Heavy fuel Oil is also classified for Carcinogenicity (Cat 1B) under Regulation EU 1272/2008 (CLP).</w:t>
      </w:r>
    </w:p>
    <w:p w:rsidR="00335E30" w:rsidRPr="00D420D9" w:rsidRDefault="00335E30" w:rsidP="002865CE">
      <w:pPr>
        <w:pStyle w:val="SingleTxtG"/>
        <w:rPr>
          <w:rFonts w:eastAsia="Calibri"/>
        </w:rPr>
      </w:pPr>
      <w:r w:rsidRPr="00D420D9">
        <w:rPr>
          <w:rFonts w:eastAsia="Calibri"/>
        </w:rPr>
        <w:t xml:space="preserve">The CONCAWE report 1/15R, for the part that concerns hazards, focusses on mutagenicity. For this purpose, 9 samples of heavy fuel oil condensates were tested in a modified Ames assay </w:t>
      </w:r>
      <w:proofErr w:type="gramStart"/>
      <w:r w:rsidRPr="00D420D9">
        <w:rPr>
          <w:rFonts w:eastAsia="Calibri"/>
        </w:rPr>
        <w:t>was</w:t>
      </w:r>
      <w:proofErr w:type="gramEnd"/>
      <w:r w:rsidRPr="00D420D9">
        <w:rPr>
          <w:rFonts w:eastAsia="Calibri"/>
        </w:rPr>
        <w:t xml:space="preserve"> used. The assay employed </w:t>
      </w:r>
      <w:r w:rsidRPr="00D420D9">
        <w:rPr>
          <w:rFonts w:eastAsia="Calibri"/>
          <w:i/>
          <w:iCs/>
        </w:rPr>
        <w:t xml:space="preserve">Salmonella typhimurium </w:t>
      </w:r>
      <w:r w:rsidRPr="00D420D9">
        <w:rPr>
          <w:rFonts w:eastAsia="Calibri"/>
        </w:rPr>
        <w:t>strain TA 98. The modified Ames test is the only test method that is used for the mutagenicity testing. In the OECD guidelines test 471 for testing of chemicals in Bacterial Reverse Mutation tests it is stated that: “At least five strains of bacteria should be used.</w:t>
      </w:r>
      <w:proofErr w:type="gramStart"/>
      <w:r w:rsidRPr="00D420D9">
        <w:rPr>
          <w:rFonts w:eastAsia="Calibri"/>
        </w:rPr>
        <w:t>”.</w:t>
      </w:r>
      <w:proofErr w:type="gramEnd"/>
      <w:r w:rsidRPr="00D420D9">
        <w:rPr>
          <w:rFonts w:eastAsia="Calibri"/>
        </w:rPr>
        <w:t xml:space="preserve"> The WHO stated in their update of the WHO/IPCS Harmonized Scheme: “It is now clear from the results of international collaborative studies and the large databases that are currently available for the assays evaluated that no single assay can detect all genotoxic substances.”</w:t>
      </w:r>
      <w:r w:rsidRPr="00D420D9">
        <w:rPr>
          <w:rFonts w:eastAsia="Calibri"/>
          <w:vertAlign w:val="superscript"/>
        </w:rPr>
        <w:footnoteReference w:id="7"/>
      </w:r>
      <w:r w:rsidRPr="00D420D9">
        <w:rPr>
          <w:rFonts w:eastAsia="Calibri"/>
        </w:rPr>
        <w:t xml:space="preserve"> </w:t>
      </w:r>
    </w:p>
    <w:p w:rsidR="00335E30" w:rsidRPr="00D420D9" w:rsidRDefault="002865CE" w:rsidP="007647DA">
      <w:pPr>
        <w:pStyle w:val="SingleTxtG"/>
        <w:ind w:left="1701" w:hanging="567"/>
        <w:rPr>
          <w:rFonts w:eastAsia="MS Mincho"/>
          <w:lang w:eastAsia="nl-NL"/>
        </w:rPr>
      </w:pPr>
      <w:r>
        <w:rPr>
          <w:rFonts w:eastAsia="MS Mincho"/>
          <w:lang w:eastAsia="nl-NL"/>
        </w:rPr>
        <w:t>8.</w:t>
      </w:r>
      <w:r>
        <w:rPr>
          <w:rFonts w:eastAsia="MS Mincho"/>
          <w:lang w:eastAsia="nl-NL"/>
        </w:rPr>
        <w:tab/>
      </w:r>
      <w:r w:rsidR="00335E30" w:rsidRPr="00D420D9">
        <w:rPr>
          <w:rFonts w:eastAsia="MS Mincho"/>
          <w:lang w:eastAsia="nl-NL"/>
        </w:rPr>
        <w:t xml:space="preserve">Can CONCAWE explain why only mutagenicity is investigated in this study and not </w:t>
      </w:r>
      <w:r w:rsidR="00335E30" w:rsidRPr="007647DA">
        <w:t>carcinogenicity</w:t>
      </w:r>
      <w:r w:rsidR="00335E30" w:rsidRPr="00D420D9">
        <w:rPr>
          <w:rFonts w:eastAsia="MS Mincho"/>
          <w:lang w:eastAsia="nl-NL"/>
        </w:rPr>
        <w:t xml:space="preserve"> and reproductive toxicity?</w:t>
      </w:r>
    </w:p>
    <w:p w:rsidR="00335E30" w:rsidRPr="00D420D9" w:rsidRDefault="002865CE" w:rsidP="007647DA">
      <w:pPr>
        <w:pStyle w:val="SingleTxtG"/>
        <w:ind w:left="1701" w:hanging="567"/>
        <w:rPr>
          <w:rFonts w:eastAsia="MS Mincho"/>
          <w:lang w:eastAsia="nl-NL"/>
        </w:rPr>
      </w:pPr>
      <w:r>
        <w:rPr>
          <w:rFonts w:eastAsia="MS Mincho"/>
          <w:lang w:eastAsia="nl-NL"/>
        </w:rPr>
        <w:t>9.</w:t>
      </w:r>
      <w:r>
        <w:rPr>
          <w:rFonts w:eastAsia="MS Mincho"/>
          <w:lang w:eastAsia="nl-NL"/>
        </w:rPr>
        <w:tab/>
      </w:r>
      <w:r w:rsidR="00335E30" w:rsidRPr="00D420D9">
        <w:rPr>
          <w:rFonts w:eastAsia="MS Mincho"/>
          <w:lang w:eastAsia="nl-NL"/>
        </w:rPr>
        <w:t>Can CONCAWE explain why the modified Ames test was selected as the only method to test for mutagenicity?</w:t>
      </w:r>
    </w:p>
    <w:p w:rsidR="00335E30" w:rsidRPr="00D420D9" w:rsidRDefault="002865CE" w:rsidP="007647DA">
      <w:pPr>
        <w:pStyle w:val="SingleTxtG"/>
        <w:ind w:left="1701" w:hanging="567"/>
        <w:rPr>
          <w:rFonts w:eastAsia="MS Mincho"/>
          <w:lang w:eastAsia="nl-NL"/>
        </w:rPr>
      </w:pPr>
      <w:r>
        <w:rPr>
          <w:rFonts w:eastAsia="MS Mincho"/>
          <w:lang w:eastAsia="nl-NL"/>
        </w:rPr>
        <w:lastRenderedPageBreak/>
        <w:t>10.</w:t>
      </w:r>
      <w:r>
        <w:rPr>
          <w:rFonts w:eastAsia="MS Mincho"/>
          <w:lang w:eastAsia="nl-NL"/>
        </w:rPr>
        <w:tab/>
      </w:r>
      <w:r w:rsidR="00335E30" w:rsidRPr="00D420D9">
        <w:rPr>
          <w:rFonts w:eastAsia="MS Mincho"/>
          <w:lang w:eastAsia="nl-NL"/>
        </w:rPr>
        <w:t xml:space="preserve">Can </w:t>
      </w:r>
      <w:r w:rsidR="00335E30" w:rsidRPr="007647DA">
        <w:t>CONCAWE</w:t>
      </w:r>
      <w:r w:rsidR="00335E30" w:rsidRPr="00D420D9">
        <w:rPr>
          <w:rFonts w:eastAsia="MS Mincho"/>
          <w:lang w:eastAsia="nl-NL"/>
        </w:rPr>
        <w:t xml:space="preserve"> explain why a single strain of </w:t>
      </w:r>
      <w:r w:rsidR="00335E30" w:rsidRPr="00D420D9">
        <w:rPr>
          <w:rFonts w:eastAsia="MS Mincho"/>
          <w:i/>
          <w:iCs/>
          <w:lang w:eastAsia="nl-NL"/>
        </w:rPr>
        <w:t xml:space="preserve">Salmonella typhimurium </w:t>
      </w:r>
      <w:r w:rsidR="00335E30" w:rsidRPr="00D420D9">
        <w:rPr>
          <w:rFonts w:eastAsia="MS Mincho"/>
          <w:lang w:eastAsia="nl-NL"/>
        </w:rPr>
        <w:t>is used in the modified Ames test instead of the least five strains required by OECD guideline 471?</w:t>
      </w:r>
    </w:p>
    <w:p w:rsidR="00335E30" w:rsidRPr="00D420D9" w:rsidRDefault="002865CE" w:rsidP="007647DA">
      <w:pPr>
        <w:pStyle w:val="SingleTxtG"/>
        <w:ind w:left="1701" w:hanging="567"/>
        <w:rPr>
          <w:rFonts w:eastAsia="MS Mincho"/>
          <w:lang w:eastAsia="nl-NL"/>
        </w:rPr>
      </w:pPr>
      <w:r>
        <w:rPr>
          <w:rFonts w:eastAsia="MS Mincho"/>
          <w:lang w:eastAsia="nl-NL"/>
        </w:rPr>
        <w:t>11.</w:t>
      </w:r>
      <w:r>
        <w:rPr>
          <w:rFonts w:eastAsia="MS Mincho"/>
          <w:lang w:eastAsia="nl-NL"/>
        </w:rPr>
        <w:tab/>
      </w:r>
      <w:r w:rsidR="00335E30" w:rsidRPr="00D420D9">
        <w:rPr>
          <w:rFonts w:eastAsia="MS Mincho"/>
          <w:lang w:eastAsia="nl-NL"/>
        </w:rPr>
        <w:t xml:space="preserve">Can </w:t>
      </w:r>
      <w:r w:rsidR="00335E30" w:rsidRPr="007647DA">
        <w:t>CONCAWE</w:t>
      </w:r>
      <w:r w:rsidR="00335E30" w:rsidRPr="00D420D9">
        <w:rPr>
          <w:rFonts w:eastAsia="MS Mincho"/>
          <w:lang w:eastAsia="nl-NL"/>
        </w:rPr>
        <w:t xml:space="preserve"> react on the quote from the WHO paper which states that no single method could be used to detect all genotoxic substances? </w:t>
      </w:r>
    </w:p>
    <w:p w:rsidR="00335E30" w:rsidRPr="002865CE" w:rsidRDefault="00335E30" w:rsidP="002865CE">
      <w:pPr>
        <w:pStyle w:val="SingleTxtG"/>
        <w:rPr>
          <w:i/>
          <w:u w:val="single"/>
        </w:rPr>
      </w:pPr>
      <w:r w:rsidRPr="002865CE">
        <w:rPr>
          <w:i/>
          <w:u w:val="single"/>
        </w:rPr>
        <w:t>Discussion and remarks on revised report 1/15R</w:t>
      </w:r>
    </w:p>
    <w:p w:rsidR="00335E30" w:rsidRPr="00D420D9" w:rsidRDefault="00335E30" w:rsidP="002865CE">
      <w:pPr>
        <w:pStyle w:val="SingleTxtG"/>
        <w:rPr>
          <w:rFonts w:eastAsia="MS Mincho"/>
          <w:lang w:eastAsia="nl-NL"/>
        </w:rPr>
      </w:pPr>
      <w:r w:rsidRPr="00D420D9">
        <w:rPr>
          <w:rFonts w:eastAsia="MS Mincho"/>
          <w:lang w:eastAsia="nl-NL"/>
        </w:rPr>
        <w:t xml:space="preserve">The RIVM brought up the complexity of </w:t>
      </w:r>
      <w:proofErr w:type="spellStart"/>
      <w:r w:rsidRPr="00D420D9">
        <w:rPr>
          <w:rFonts w:eastAsia="MS Mincho"/>
          <w:lang w:eastAsia="nl-NL"/>
        </w:rPr>
        <w:t>carcinogenity</w:t>
      </w:r>
      <w:proofErr w:type="spellEnd"/>
      <w:r w:rsidRPr="00D420D9">
        <w:rPr>
          <w:rFonts w:eastAsia="MS Mincho"/>
          <w:lang w:eastAsia="nl-NL"/>
        </w:rPr>
        <w:t xml:space="preserve">. There are several exposure routes, and multiple mechanisms which could result in </w:t>
      </w:r>
      <w:proofErr w:type="spellStart"/>
      <w:r w:rsidRPr="00D420D9">
        <w:rPr>
          <w:rFonts w:eastAsia="MS Mincho"/>
          <w:lang w:eastAsia="nl-NL"/>
        </w:rPr>
        <w:t>carcinogenity</w:t>
      </w:r>
      <w:proofErr w:type="spellEnd"/>
      <w:r w:rsidRPr="00D420D9">
        <w:rPr>
          <w:rFonts w:eastAsia="MS Mincho"/>
          <w:lang w:eastAsia="nl-NL"/>
        </w:rPr>
        <w:t xml:space="preserve">. Normal Ames tests only have predictive power for the exposure route against which they are verified and only for genotoxic mechanisms. CONCAWE explained that the modified Ames test has been reported to have a 96% accuracy of predicting carcinogenicity of mineral oils. This modified Ames test has been verified against </w:t>
      </w:r>
      <w:r w:rsidRPr="00D420D9">
        <w:rPr>
          <w:rFonts w:eastAsia="MS Mincho"/>
          <w:i/>
          <w:lang w:eastAsia="nl-NL"/>
        </w:rPr>
        <w:t xml:space="preserve">mouse skin-painting bioassays </w:t>
      </w:r>
      <w:r w:rsidRPr="00D420D9">
        <w:rPr>
          <w:rFonts w:eastAsia="MS Mincho"/>
          <w:lang w:eastAsia="nl-NL"/>
        </w:rPr>
        <w:t>which is a test for dermal route of exposure. The experts of CONCAWE argued that the dermal route has previously been reported to be the main route of concern for HFO</w:t>
      </w:r>
      <w:r w:rsidRPr="00D420D9">
        <w:rPr>
          <w:rFonts w:eastAsia="MS Mincho"/>
          <w:vertAlign w:val="superscript"/>
          <w:lang w:eastAsia="nl-NL"/>
        </w:rPr>
        <w:t>2</w:t>
      </w:r>
      <w:r w:rsidRPr="00D420D9">
        <w:rPr>
          <w:rFonts w:eastAsia="MS Mincho"/>
          <w:lang w:eastAsia="nl-NL"/>
        </w:rPr>
        <w:t>. This previous study focused on settings where workers are exposed to direct dermal contact with HFO and inhaled emissions of HFO. In that setting the dermal route is the main route of concern. However, in the CONCAWE revised report 1/15R only the emissions of heavy fuel oil are investigated. Therefore, the main route of concern is the inhalation route. The RIVM acknowledges that it is not practicable for the purpose of this study to test the carcinogenicity potential for all exposure routes. However a qualitative discussion concerning route to route (dermal to inhalation) extrapolation or otherwise discussions about the inhalation route are not sufficiently mentioned in the report.</w:t>
      </w:r>
    </w:p>
    <w:p w:rsidR="00335E30" w:rsidRPr="002865CE" w:rsidRDefault="00335E30" w:rsidP="002865CE">
      <w:pPr>
        <w:pStyle w:val="SingleTxtG"/>
        <w:rPr>
          <w:i/>
          <w:u w:val="single"/>
        </w:rPr>
      </w:pPr>
      <w:r w:rsidRPr="002865CE">
        <w:rPr>
          <w:i/>
          <w:u w:val="single"/>
        </w:rPr>
        <w:t>RIVM remarks on report 1/15R</w:t>
      </w:r>
    </w:p>
    <w:p w:rsidR="00335E30" w:rsidRPr="00D420D9" w:rsidRDefault="00335E30" w:rsidP="002865CE">
      <w:pPr>
        <w:pStyle w:val="SingleTxtG"/>
        <w:rPr>
          <w:rFonts w:eastAsia="DejaVu Sans"/>
          <w:lang w:eastAsia="zh-CN" w:bidi="hi-IN"/>
        </w:rPr>
      </w:pPr>
      <w:r w:rsidRPr="00D420D9">
        <w:rPr>
          <w:rFonts w:eastAsia="DejaVu Sans"/>
          <w:lang w:eastAsia="zh-CN" w:bidi="hi-IN"/>
        </w:rPr>
        <w:t>The CONCAWE report 1/15R concludes that: “Overall, this analysis indicates that HFO emissions, exposures, and hazards during barge loading of commercial HFOs are not excessive or a source of environmental or human health concern.” However, only one hazard property has been investigated in one limited study and only one route of exposure has been taken into account.</w:t>
      </w:r>
    </w:p>
    <w:p w:rsidR="00335E30" w:rsidRPr="00D420D9" w:rsidRDefault="002865CE" w:rsidP="007647DA">
      <w:pPr>
        <w:pStyle w:val="SingleTxtG"/>
        <w:ind w:left="1701" w:hanging="567"/>
        <w:rPr>
          <w:rFonts w:eastAsia="MS Mincho"/>
          <w:lang w:eastAsia="nl-NL"/>
        </w:rPr>
      </w:pPr>
      <w:r>
        <w:rPr>
          <w:rFonts w:eastAsia="MS Mincho"/>
          <w:lang w:eastAsia="nl-NL"/>
        </w:rPr>
        <w:t>12.</w:t>
      </w:r>
      <w:r>
        <w:rPr>
          <w:rFonts w:eastAsia="MS Mincho"/>
          <w:lang w:eastAsia="nl-NL"/>
        </w:rPr>
        <w:tab/>
      </w:r>
      <w:r w:rsidR="00335E30" w:rsidRPr="00D420D9">
        <w:rPr>
          <w:rFonts w:eastAsia="MS Mincho"/>
          <w:lang w:eastAsia="nl-NL"/>
        </w:rPr>
        <w:t xml:space="preserve">Can </w:t>
      </w:r>
      <w:r w:rsidR="00335E30" w:rsidRPr="007647DA">
        <w:t>CO</w:t>
      </w:r>
      <w:bookmarkStart w:id="0" w:name="_GoBack"/>
      <w:bookmarkEnd w:id="0"/>
      <w:r w:rsidR="00335E30" w:rsidRPr="007647DA">
        <w:t>NCAWE</w:t>
      </w:r>
      <w:r w:rsidR="00335E30" w:rsidRPr="00D420D9">
        <w:rPr>
          <w:rFonts w:eastAsia="MS Mincho"/>
          <w:lang w:eastAsia="nl-NL"/>
        </w:rPr>
        <w:t xml:space="preserve"> explain how they arrived at the above mentioned conclusion without carcinogenicity data?</w:t>
      </w:r>
    </w:p>
    <w:p w:rsidR="00335E30" w:rsidRPr="002865CE" w:rsidRDefault="00335E30" w:rsidP="002865CE">
      <w:pPr>
        <w:pStyle w:val="SingleTxtG"/>
        <w:rPr>
          <w:i/>
          <w:u w:val="single"/>
        </w:rPr>
      </w:pPr>
      <w:r w:rsidRPr="002865CE">
        <w:rPr>
          <w:i/>
          <w:u w:val="single"/>
        </w:rPr>
        <w:t>Discussion and remarks on revised report 1/15R</w:t>
      </w:r>
    </w:p>
    <w:p w:rsidR="0062739D" w:rsidRDefault="00335E30" w:rsidP="002865CE">
      <w:pPr>
        <w:pStyle w:val="SingleTxtG"/>
      </w:pPr>
      <w:r w:rsidRPr="00D420D9">
        <w:t xml:space="preserve">The experts of the RIVM remain of the opinion that additional data is needed to support these broad conclusions. Supportive evidence concerning the inhalation route of exposure, a main point of concern of the RIVM, is not provided. Furthermore, other human health hazards of HFO emissions than mutagenicity and </w:t>
      </w:r>
      <w:proofErr w:type="spellStart"/>
      <w:r w:rsidRPr="00D420D9">
        <w:t>carcinogenity</w:t>
      </w:r>
      <w:proofErr w:type="spellEnd"/>
      <w:r w:rsidRPr="00D420D9">
        <w:t xml:space="preserve"> such as reproductive toxicity, or target organ toxicity have not been discussed in this revised report.</w:t>
      </w:r>
      <w:r w:rsidR="002865CE">
        <w:t xml:space="preserve"> </w:t>
      </w:r>
    </w:p>
    <w:p w:rsidR="002865CE" w:rsidRPr="002865CE" w:rsidRDefault="002865CE" w:rsidP="002865CE">
      <w:pPr>
        <w:pStyle w:val="SingleTxtG"/>
        <w:spacing w:before="240" w:after="0"/>
        <w:jc w:val="center"/>
        <w:rPr>
          <w:u w:val="single"/>
        </w:rPr>
      </w:pPr>
      <w:r>
        <w:rPr>
          <w:u w:val="single"/>
        </w:rPr>
        <w:tab/>
      </w:r>
      <w:r>
        <w:rPr>
          <w:u w:val="single"/>
        </w:rPr>
        <w:tab/>
      </w:r>
      <w:r>
        <w:rPr>
          <w:u w:val="single"/>
        </w:rPr>
        <w:tab/>
      </w:r>
    </w:p>
    <w:sectPr w:rsidR="002865CE" w:rsidRPr="002865CE" w:rsidSect="009D0C06">
      <w:headerReference w:type="even" r:id="rId9"/>
      <w:headerReference w:type="default" r:id="rId10"/>
      <w:footerReference w:type="even" r:id="rId11"/>
      <w:footerReference w:type="default" r:id="rId12"/>
      <w:footerReference w:type="first" r:id="rId13"/>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E3" w:rsidRDefault="00F636E3"/>
  </w:endnote>
  <w:endnote w:type="continuationSeparator" w:id="0">
    <w:p w:rsidR="00F636E3" w:rsidRDefault="00F636E3"/>
  </w:endnote>
  <w:endnote w:type="continuationNotice" w:id="1">
    <w:p w:rsidR="00F636E3" w:rsidRDefault="00F63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DejaVu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D1" w:rsidRPr="00FA07D1" w:rsidRDefault="00FA07D1" w:rsidP="00FA07D1">
    <w:pPr>
      <w:spacing w:line="240" w:lineRule="auto"/>
      <w:rPr>
        <w:b/>
        <w:sz w:val="18"/>
        <w:szCs w:val="18"/>
      </w:rPr>
    </w:pPr>
    <w:r w:rsidRPr="00FA07D1">
      <w:rPr>
        <w:b/>
        <w:sz w:val="18"/>
        <w:szCs w:val="18"/>
      </w:rPr>
      <w:fldChar w:fldCharType="begin"/>
    </w:r>
    <w:r w:rsidRPr="00FA07D1">
      <w:rPr>
        <w:b/>
        <w:sz w:val="18"/>
        <w:szCs w:val="18"/>
      </w:rPr>
      <w:instrText xml:space="preserve"> PAGE   \* MERGEFORMAT </w:instrText>
    </w:r>
    <w:r w:rsidRPr="00FA07D1">
      <w:rPr>
        <w:b/>
        <w:sz w:val="18"/>
        <w:szCs w:val="18"/>
      </w:rPr>
      <w:fldChar w:fldCharType="separate"/>
    </w:r>
    <w:r w:rsidR="007647DA">
      <w:rPr>
        <w:b/>
        <w:noProof/>
        <w:sz w:val="18"/>
        <w:szCs w:val="18"/>
      </w:rPr>
      <w:t>6</w:t>
    </w:r>
    <w:r w:rsidRPr="00FA07D1">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D1" w:rsidRPr="00FA07D1" w:rsidRDefault="00FA07D1" w:rsidP="00FA07D1">
    <w:pPr>
      <w:spacing w:line="240" w:lineRule="auto"/>
      <w:jc w:val="right"/>
      <w:rPr>
        <w:b/>
        <w:sz w:val="18"/>
        <w:szCs w:val="18"/>
      </w:rPr>
    </w:pPr>
    <w:r w:rsidRPr="00FA07D1">
      <w:rPr>
        <w:b/>
        <w:sz w:val="18"/>
        <w:szCs w:val="18"/>
      </w:rPr>
      <w:fldChar w:fldCharType="begin"/>
    </w:r>
    <w:r w:rsidRPr="00FA07D1">
      <w:rPr>
        <w:b/>
        <w:sz w:val="18"/>
        <w:szCs w:val="18"/>
      </w:rPr>
      <w:instrText xml:space="preserve"> PAGE   \* MERGEFORMAT </w:instrText>
    </w:r>
    <w:r w:rsidRPr="00FA07D1">
      <w:rPr>
        <w:b/>
        <w:sz w:val="18"/>
        <w:szCs w:val="18"/>
      </w:rPr>
      <w:fldChar w:fldCharType="separate"/>
    </w:r>
    <w:r w:rsidR="007647DA">
      <w:rPr>
        <w:b/>
        <w:noProof/>
        <w:sz w:val="18"/>
        <w:szCs w:val="18"/>
      </w:rPr>
      <w:t>5</w:t>
    </w:r>
    <w:r w:rsidRPr="00FA07D1">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4" w:rsidRPr="00FA07D1" w:rsidRDefault="00FA07D1" w:rsidP="00FA07D1">
    <w:pPr>
      <w:spacing w:line="240" w:lineRule="auto"/>
      <w:jc w:val="right"/>
      <w:rPr>
        <w:b/>
        <w:sz w:val="18"/>
        <w:szCs w:val="18"/>
      </w:rPr>
    </w:pPr>
    <w:r w:rsidRPr="00FA07D1">
      <w:rPr>
        <w:b/>
        <w:sz w:val="18"/>
        <w:szCs w:val="18"/>
      </w:rPr>
      <w:fldChar w:fldCharType="begin"/>
    </w:r>
    <w:r w:rsidRPr="00FA07D1">
      <w:rPr>
        <w:b/>
        <w:sz w:val="18"/>
        <w:szCs w:val="18"/>
      </w:rPr>
      <w:instrText xml:space="preserve"> PAGE   \* MERGEFORMAT </w:instrText>
    </w:r>
    <w:r w:rsidRPr="00FA07D1">
      <w:rPr>
        <w:b/>
        <w:sz w:val="18"/>
        <w:szCs w:val="18"/>
      </w:rPr>
      <w:fldChar w:fldCharType="separate"/>
    </w:r>
    <w:r w:rsidR="007647DA">
      <w:rPr>
        <w:b/>
        <w:noProof/>
        <w:sz w:val="18"/>
        <w:szCs w:val="18"/>
      </w:rPr>
      <w:t>1</w:t>
    </w:r>
    <w:r w:rsidRPr="00FA07D1">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E3" w:rsidRPr="000B175B" w:rsidRDefault="00F636E3" w:rsidP="000B175B">
      <w:pPr>
        <w:tabs>
          <w:tab w:val="right" w:pos="2155"/>
        </w:tabs>
        <w:spacing w:after="80"/>
        <w:ind w:left="680"/>
        <w:rPr>
          <w:u w:val="single"/>
        </w:rPr>
      </w:pPr>
      <w:r>
        <w:rPr>
          <w:u w:val="single"/>
        </w:rPr>
        <w:tab/>
      </w:r>
    </w:p>
  </w:footnote>
  <w:footnote w:type="continuationSeparator" w:id="0">
    <w:p w:rsidR="00F636E3" w:rsidRPr="00FC68B7" w:rsidRDefault="00F636E3" w:rsidP="00FC68B7">
      <w:pPr>
        <w:tabs>
          <w:tab w:val="left" w:pos="2155"/>
        </w:tabs>
        <w:spacing w:after="80"/>
        <w:ind w:left="680"/>
        <w:rPr>
          <w:u w:val="single"/>
        </w:rPr>
      </w:pPr>
      <w:r>
        <w:rPr>
          <w:u w:val="single"/>
        </w:rPr>
        <w:tab/>
      </w:r>
    </w:p>
  </w:footnote>
  <w:footnote w:type="continuationNotice" w:id="1">
    <w:p w:rsidR="00F636E3" w:rsidRDefault="00F636E3"/>
  </w:footnote>
  <w:footnote w:id="2">
    <w:p w:rsidR="00335E30" w:rsidRPr="00E148B5" w:rsidRDefault="002865CE" w:rsidP="002865CE">
      <w:pPr>
        <w:pStyle w:val="FootnoteText"/>
      </w:pPr>
      <w:r>
        <w:tab/>
      </w:r>
      <w:r w:rsidR="00335E30" w:rsidRPr="00E148B5">
        <w:rPr>
          <w:rStyle w:val="FootnoteReference"/>
        </w:rPr>
        <w:footnoteRef/>
      </w:r>
      <w:r w:rsidR="00335E30" w:rsidRPr="00E148B5">
        <w:t xml:space="preserve"> </w:t>
      </w:r>
      <w:r>
        <w:tab/>
      </w:r>
      <w:r w:rsidR="00335E30" w:rsidRPr="0062739D">
        <w:rPr>
          <w:bCs/>
        </w:rPr>
        <w:t xml:space="preserve">INF.23 (CONCAWE and </w:t>
      </w:r>
      <w:proofErr w:type="spellStart"/>
      <w:r w:rsidR="00335E30" w:rsidRPr="002865CE">
        <w:t>FuelsEurope</w:t>
      </w:r>
      <w:proofErr w:type="spellEnd"/>
      <w:r w:rsidR="00335E30" w:rsidRPr="0062739D">
        <w:rPr>
          <w:bCs/>
        </w:rPr>
        <w:t>)</w:t>
      </w:r>
      <w:r w:rsidR="00335E30" w:rsidRPr="00283F17">
        <w:t xml:space="preserve"> - </w:t>
      </w:r>
      <w:proofErr w:type="spellStart"/>
      <w:r w:rsidR="00335E30" w:rsidRPr="00283F17">
        <w:t>Concawe</w:t>
      </w:r>
      <w:proofErr w:type="spellEnd"/>
      <w:r w:rsidR="00335E30" w:rsidRPr="00283F17">
        <w:t xml:space="preserve"> project results presentation and recommendations for consideration by the ADN Safety Committee</w:t>
      </w:r>
    </w:p>
  </w:footnote>
  <w:footnote w:id="3">
    <w:p w:rsidR="00335E30" w:rsidRPr="00024A3A" w:rsidRDefault="002865CE" w:rsidP="002865CE">
      <w:pPr>
        <w:pStyle w:val="FootnoteText"/>
        <w:rPr>
          <w:lang w:val="en-US"/>
        </w:rPr>
      </w:pPr>
      <w:r>
        <w:tab/>
      </w:r>
      <w:r w:rsidR="00335E30">
        <w:rPr>
          <w:rStyle w:val="FootnoteReference"/>
        </w:rPr>
        <w:footnoteRef/>
      </w:r>
      <w:r w:rsidR="00335E30">
        <w:t xml:space="preserve"> </w:t>
      </w:r>
      <w:r>
        <w:tab/>
      </w:r>
      <w:r w:rsidR="00335E30" w:rsidRPr="00024A3A">
        <w:t xml:space="preserve">Christopher, Y. et al. (2011). </w:t>
      </w:r>
      <w:proofErr w:type="gramStart"/>
      <w:r w:rsidR="00335E30" w:rsidRPr="00024A3A">
        <w:t>An Assessment of Dermal Exposure to Heavy Fuel Oil (HFO) in Occupational Settings.</w:t>
      </w:r>
      <w:proofErr w:type="gramEnd"/>
      <w:r w:rsidR="00335E30" w:rsidRPr="00024A3A">
        <w:t xml:space="preserve"> </w:t>
      </w:r>
      <w:r w:rsidR="00335E30" w:rsidRPr="00024A3A">
        <w:rPr>
          <w:i/>
        </w:rPr>
        <w:t xml:space="preserve">Annals of Occupational Hygiene </w:t>
      </w:r>
      <w:r w:rsidR="00335E30" w:rsidRPr="00024A3A">
        <w:rPr>
          <w:i/>
          <w:u w:val="single"/>
        </w:rPr>
        <w:t>55</w:t>
      </w:r>
      <w:r w:rsidR="00335E30" w:rsidRPr="00024A3A">
        <w:t>,</w:t>
      </w:r>
      <w:r w:rsidR="00335E30" w:rsidRPr="00024A3A">
        <w:rPr>
          <w:i/>
        </w:rPr>
        <w:t xml:space="preserve"> 319–328</w:t>
      </w:r>
    </w:p>
  </w:footnote>
  <w:footnote w:id="4">
    <w:p w:rsidR="00335E30" w:rsidRPr="0062739D" w:rsidRDefault="002865CE" w:rsidP="002865CE">
      <w:pPr>
        <w:pStyle w:val="FootnoteText"/>
        <w:rPr>
          <w:lang w:val="en-US"/>
        </w:rPr>
      </w:pPr>
      <w:r>
        <w:rPr>
          <w:lang w:val="en-US"/>
        </w:rPr>
        <w:tab/>
      </w:r>
      <w:r w:rsidR="00335E30" w:rsidRPr="0062739D">
        <w:rPr>
          <w:rStyle w:val="FootnoteReference"/>
          <w:szCs w:val="18"/>
        </w:rPr>
        <w:footnoteRef/>
      </w:r>
      <w:r w:rsidR="00335E30" w:rsidRPr="0062739D">
        <w:rPr>
          <w:lang w:val="en-US"/>
        </w:rPr>
        <w:t xml:space="preserve"> </w:t>
      </w:r>
      <w:r>
        <w:rPr>
          <w:lang w:val="en-US"/>
        </w:rPr>
        <w:tab/>
      </w:r>
      <w:proofErr w:type="gramStart"/>
      <w:r w:rsidR="00335E30" w:rsidRPr="0062739D">
        <w:rPr>
          <w:lang w:val="en-US"/>
        </w:rPr>
        <w:t>API (1989) Lifetime dermal carcinogenesis/chronic toxicity screening bioassay of refinery streams in C3H/</w:t>
      </w:r>
      <w:proofErr w:type="spellStart"/>
      <w:r w:rsidR="00335E30" w:rsidRPr="0062739D">
        <w:rPr>
          <w:lang w:val="en-US"/>
        </w:rPr>
        <w:t>HeJ</w:t>
      </w:r>
      <w:proofErr w:type="spellEnd"/>
      <w:r w:rsidR="00335E30" w:rsidRPr="0062739D">
        <w:rPr>
          <w:lang w:val="en-US"/>
        </w:rPr>
        <w:t xml:space="preserve"> mice.</w:t>
      </w:r>
      <w:proofErr w:type="gramEnd"/>
      <w:r w:rsidR="00335E30" w:rsidRPr="0062739D">
        <w:rPr>
          <w:lang w:val="en-US"/>
        </w:rPr>
        <w:t xml:space="preserve"> Study conducted by Primate Research Institute. API Health Environ. Sci. Dep. Rep. 36-31364. Washington DC: American Petroleum Institute</w:t>
      </w:r>
    </w:p>
  </w:footnote>
  <w:footnote w:id="5">
    <w:p w:rsidR="00335E30" w:rsidRPr="00F04291" w:rsidRDefault="002865CE" w:rsidP="002865CE">
      <w:pPr>
        <w:pStyle w:val="FootnoteText"/>
        <w:rPr>
          <w:lang w:val="en-US"/>
        </w:rPr>
      </w:pPr>
      <w:r>
        <w:rPr>
          <w:lang w:val="en-US"/>
        </w:rPr>
        <w:tab/>
      </w:r>
      <w:r w:rsidR="00335E30" w:rsidRPr="0062739D">
        <w:rPr>
          <w:rStyle w:val="FootnoteReference"/>
          <w:szCs w:val="18"/>
        </w:rPr>
        <w:footnoteRef/>
      </w:r>
      <w:r w:rsidR="00335E30" w:rsidRPr="0062739D">
        <w:rPr>
          <w:lang w:val="en-US"/>
        </w:rPr>
        <w:t xml:space="preserve"> </w:t>
      </w:r>
      <w:r>
        <w:rPr>
          <w:lang w:val="en-US"/>
        </w:rPr>
        <w:tab/>
      </w:r>
      <w:proofErr w:type="spellStart"/>
      <w:proofErr w:type="gramStart"/>
      <w:r w:rsidR="00335E30" w:rsidRPr="0062739D">
        <w:rPr>
          <w:lang w:val="en-US"/>
        </w:rPr>
        <w:t>Hoberman</w:t>
      </w:r>
      <w:proofErr w:type="spellEnd"/>
      <w:r w:rsidR="00335E30" w:rsidRPr="0062739D">
        <w:rPr>
          <w:lang w:val="en-US"/>
        </w:rPr>
        <w:t>, A.M. et al (1995) Developmental toxicity study of clarified slurry oil (CSO) in the rat.</w:t>
      </w:r>
      <w:proofErr w:type="gramEnd"/>
      <w:r w:rsidR="00335E30" w:rsidRPr="0062739D">
        <w:rPr>
          <w:lang w:val="en-US"/>
        </w:rPr>
        <w:t xml:space="preserve"> </w:t>
      </w:r>
      <w:r w:rsidR="00335E30" w:rsidRPr="0062739D">
        <w:rPr>
          <w:i/>
          <w:iCs/>
          <w:lang w:val="en-US"/>
        </w:rPr>
        <w:t xml:space="preserve">Fund Applied </w:t>
      </w:r>
      <w:proofErr w:type="spellStart"/>
      <w:r w:rsidR="00335E30" w:rsidRPr="0062739D">
        <w:rPr>
          <w:i/>
          <w:iCs/>
          <w:lang w:val="en-US"/>
        </w:rPr>
        <w:t>Toxicol</w:t>
      </w:r>
      <w:proofErr w:type="spellEnd"/>
      <w:r w:rsidR="00335E30" w:rsidRPr="0062739D">
        <w:rPr>
          <w:i/>
          <w:iCs/>
          <w:lang w:val="en-US"/>
        </w:rPr>
        <w:t xml:space="preserve"> 28, 38-40</w:t>
      </w:r>
    </w:p>
  </w:footnote>
  <w:footnote w:id="6">
    <w:p w:rsidR="00335E30" w:rsidRPr="0062739D" w:rsidRDefault="002865CE" w:rsidP="002865CE">
      <w:pPr>
        <w:pStyle w:val="FootnoteText"/>
        <w:rPr>
          <w:lang w:val="en-US"/>
        </w:rPr>
      </w:pPr>
      <w:r>
        <w:rPr>
          <w:lang w:val="en-US"/>
        </w:rPr>
        <w:tab/>
      </w:r>
      <w:r w:rsidR="00335E30" w:rsidRPr="0062739D">
        <w:rPr>
          <w:rStyle w:val="FootnoteReference"/>
          <w:szCs w:val="18"/>
        </w:rPr>
        <w:footnoteRef/>
      </w:r>
      <w:r w:rsidR="00335E30" w:rsidRPr="0062739D">
        <w:rPr>
          <w:lang w:val="en-US"/>
        </w:rPr>
        <w:t xml:space="preserve"> </w:t>
      </w:r>
      <w:r>
        <w:rPr>
          <w:lang w:val="en-US"/>
        </w:rPr>
        <w:tab/>
      </w:r>
      <w:r w:rsidR="00335E30" w:rsidRPr="0062739D">
        <w:rPr>
          <w:lang w:val="en-US"/>
        </w:rPr>
        <w:t>(Hazard classification and labelling of petroleum substances in the European Economic Area (CONCAWE reports 10/11, 8/12, and 10/14)</w:t>
      </w:r>
    </w:p>
  </w:footnote>
  <w:footnote w:id="7">
    <w:p w:rsidR="00335E30" w:rsidRPr="00F04291" w:rsidRDefault="002865CE" w:rsidP="002865CE">
      <w:pPr>
        <w:pStyle w:val="FootnoteText"/>
        <w:rPr>
          <w:lang w:val="en-US"/>
        </w:rPr>
      </w:pPr>
      <w:r>
        <w:tab/>
      </w:r>
      <w:r w:rsidR="00335E30" w:rsidRPr="00F04291">
        <w:rPr>
          <w:rStyle w:val="FootnoteReference"/>
        </w:rPr>
        <w:footnoteRef/>
      </w:r>
      <w:r w:rsidR="00335E30" w:rsidRPr="00F04291">
        <w:t xml:space="preserve"> </w:t>
      </w:r>
      <w:r>
        <w:tab/>
      </w:r>
      <w:r w:rsidR="00335E30" w:rsidRPr="00F04291">
        <w:rPr>
          <w:lang w:val="en-US" w:eastAsia="nl-NL"/>
        </w:rPr>
        <w:t>Mutagenicity testing for chemical risk assessment: update of the WHO/</w:t>
      </w:r>
      <w:r w:rsidR="00335E30" w:rsidRPr="002865CE">
        <w:t>IPCS</w:t>
      </w:r>
      <w:r w:rsidR="00335E30" w:rsidRPr="00F04291">
        <w:rPr>
          <w:lang w:val="en-US" w:eastAsia="nl-NL"/>
        </w:rPr>
        <w:t xml:space="preserve"> Harmonized Scheme. David A. </w:t>
      </w:r>
      <w:proofErr w:type="spellStart"/>
      <w:r w:rsidR="00335E30" w:rsidRPr="00F04291">
        <w:rPr>
          <w:lang w:val="en-US" w:eastAsia="nl-NL"/>
        </w:rPr>
        <w:t>Eastmond</w:t>
      </w:r>
      <w:proofErr w:type="spellEnd"/>
      <w:r w:rsidR="00335E30" w:rsidRPr="00F04291">
        <w:rPr>
          <w:lang w:val="en-US" w:eastAsia="nl-NL"/>
        </w:rPr>
        <w:t>, et al. Mutagenesis. 2009 July; 24(4): 341–349.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D1" w:rsidRPr="00FA07D1" w:rsidRDefault="00FA07D1" w:rsidP="00FA07D1">
    <w:pPr>
      <w:pBdr>
        <w:bottom w:val="single" w:sz="4" w:space="4" w:color="auto"/>
      </w:pBdr>
      <w:spacing w:line="240" w:lineRule="auto"/>
      <w:rPr>
        <w:b/>
        <w:sz w:val="18"/>
      </w:rPr>
    </w:pPr>
    <w:r w:rsidRPr="00FA07D1">
      <w:rPr>
        <w:b/>
        <w:sz w:val="18"/>
      </w:rPr>
      <w:t>WP.15/AC.2/28/INF.1</w:t>
    </w:r>
    <w:r>
      <w:rPr>
        <w:b/>
        <w:sz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D1" w:rsidRPr="00FA07D1" w:rsidRDefault="00FA07D1" w:rsidP="00FA07D1">
    <w:pPr>
      <w:pBdr>
        <w:bottom w:val="single" w:sz="4" w:space="4" w:color="auto"/>
      </w:pBdr>
      <w:spacing w:line="240" w:lineRule="auto"/>
      <w:jc w:val="right"/>
      <w:rPr>
        <w:b/>
        <w:sz w:val="18"/>
      </w:rPr>
    </w:pPr>
    <w:r w:rsidRPr="00FA07D1">
      <w:rPr>
        <w:b/>
        <w:sz w:val="18"/>
      </w:rPr>
      <w:t>WP.15/AC.2/28/INF.1</w:t>
    </w:r>
    <w:r>
      <w:rPr>
        <w:b/>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7">
    <w:nsid w:val="233605BD"/>
    <w:multiLevelType w:val="hybridMultilevel"/>
    <w:tmpl w:val="F6E2DB76"/>
    <w:lvl w:ilvl="0" w:tplc="2BFA83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8">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nsid w:val="293C1FB3"/>
    <w:multiLevelType w:val="hybridMultilevel"/>
    <w:tmpl w:val="3796C0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25323D"/>
    <w:multiLevelType w:val="hybridMultilevel"/>
    <w:tmpl w:val="C8281E24"/>
    <w:lvl w:ilvl="0" w:tplc="A170AD88">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1">
    <w:nsid w:val="36005E71"/>
    <w:multiLevelType w:val="hybridMultilevel"/>
    <w:tmpl w:val="F6E2DB76"/>
    <w:lvl w:ilvl="0" w:tplc="2BFA83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0">
    <w:nsid w:val="58075744"/>
    <w:multiLevelType w:val="hybridMultilevel"/>
    <w:tmpl w:val="F6E2DB76"/>
    <w:lvl w:ilvl="0" w:tplc="2BFA83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2">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72B60F3E"/>
    <w:multiLevelType w:val="hybridMultilevel"/>
    <w:tmpl w:val="F6E2DB76"/>
    <w:lvl w:ilvl="0" w:tplc="2BFA83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2">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3">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F3A3966"/>
    <w:multiLevelType w:val="hybridMultilevel"/>
    <w:tmpl w:val="F6E2DB76"/>
    <w:lvl w:ilvl="0" w:tplc="2BFA83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0"/>
  </w:num>
  <w:num w:numId="2">
    <w:abstractNumId w:val="25"/>
  </w:num>
  <w:num w:numId="3">
    <w:abstractNumId w:val="3"/>
  </w:num>
  <w:num w:numId="4">
    <w:abstractNumId w:val="31"/>
  </w:num>
  <w:num w:numId="5">
    <w:abstractNumId w:val="1"/>
  </w:num>
  <w:num w:numId="6">
    <w:abstractNumId w:val="4"/>
  </w:num>
  <w:num w:numId="7">
    <w:abstractNumId w:val="18"/>
  </w:num>
  <w:num w:numId="8">
    <w:abstractNumId w:val="12"/>
  </w:num>
  <w:num w:numId="9">
    <w:abstractNumId w:val="5"/>
  </w:num>
  <w:num w:numId="10">
    <w:abstractNumId w:val="21"/>
  </w:num>
  <w:num w:numId="11">
    <w:abstractNumId w:val="2"/>
  </w:num>
  <w:num w:numId="12">
    <w:abstractNumId w:val="30"/>
  </w:num>
  <w:num w:numId="13">
    <w:abstractNumId w:val="6"/>
  </w:num>
  <w:num w:numId="14">
    <w:abstractNumId w:val="33"/>
  </w:num>
  <w:num w:numId="15">
    <w:abstractNumId w:val="27"/>
  </w:num>
  <w:num w:numId="16">
    <w:abstractNumId w:val="17"/>
  </w:num>
  <w:num w:numId="17">
    <w:abstractNumId w:val="13"/>
  </w:num>
  <w:num w:numId="18">
    <w:abstractNumId w:val="19"/>
  </w:num>
  <w:num w:numId="19">
    <w:abstractNumId w:val="8"/>
  </w:num>
  <w:num w:numId="20">
    <w:abstractNumId w:val="23"/>
  </w:num>
  <w:num w:numId="21">
    <w:abstractNumId w:val="32"/>
  </w:num>
  <w:num w:numId="22">
    <w:abstractNumId w:val="24"/>
  </w:num>
  <w:num w:numId="23">
    <w:abstractNumId w:val="16"/>
  </w:num>
  <w:num w:numId="24">
    <w:abstractNumId w:val="22"/>
  </w:num>
  <w:num w:numId="25">
    <w:abstractNumId w:val="15"/>
  </w:num>
  <w:num w:numId="26">
    <w:abstractNumId w:val="14"/>
  </w:num>
  <w:num w:numId="27">
    <w:abstractNumId w:val="29"/>
  </w:num>
  <w:num w:numId="28">
    <w:abstractNumId w:val="26"/>
  </w:num>
  <w:num w:numId="29">
    <w:abstractNumId w:val="10"/>
  </w:num>
  <w:num w:numId="30">
    <w:abstractNumId w:val="28"/>
  </w:num>
  <w:num w:numId="31">
    <w:abstractNumId w:val="20"/>
  </w:num>
  <w:num w:numId="32">
    <w:abstractNumId w:val="34"/>
  </w:num>
  <w:num w:numId="33">
    <w:abstractNumId w:val="7"/>
  </w:num>
  <w:num w:numId="34">
    <w:abstractNumId w:val="11"/>
  </w:num>
  <w:num w:numId="3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12AB"/>
    <w:rsid w:val="00006618"/>
    <w:rsid w:val="00010CCD"/>
    <w:rsid w:val="0002116F"/>
    <w:rsid w:val="00024FB3"/>
    <w:rsid w:val="000304A7"/>
    <w:rsid w:val="00035613"/>
    <w:rsid w:val="00035B38"/>
    <w:rsid w:val="000463F9"/>
    <w:rsid w:val="00050941"/>
    <w:rsid w:val="00050F6B"/>
    <w:rsid w:val="00053D5C"/>
    <w:rsid w:val="00054498"/>
    <w:rsid w:val="00056F3E"/>
    <w:rsid w:val="00060A33"/>
    <w:rsid w:val="00063AD6"/>
    <w:rsid w:val="00070564"/>
    <w:rsid w:val="00070C7D"/>
    <w:rsid w:val="00072C8C"/>
    <w:rsid w:val="00075692"/>
    <w:rsid w:val="000759D6"/>
    <w:rsid w:val="00075D0F"/>
    <w:rsid w:val="00076181"/>
    <w:rsid w:val="00082F77"/>
    <w:rsid w:val="0008613C"/>
    <w:rsid w:val="000907FA"/>
    <w:rsid w:val="000931C0"/>
    <w:rsid w:val="00095E3D"/>
    <w:rsid w:val="00097767"/>
    <w:rsid w:val="00097849"/>
    <w:rsid w:val="000A0570"/>
    <w:rsid w:val="000A446A"/>
    <w:rsid w:val="000B04D2"/>
    <w:rsid w:val="000B0700"/>
    <w:rsid w:val="000B16B9"/>
    <w:rsid w:val="000B175B"/>
    <w:rsid w:val="000B1C22"/>
    <w:rsid w:val="000B362C"/>
    <w:rsid w:val="000B3A0F"/>
    <w:rsid w:val="000B5909"/>
    <w:rsid w:val="000B7ECB"/>
    <w:rsid w:val="000C023D"/>
    <w:rsid w:val="000C1BF2"/>
    <w:rsid w:val="000C67EE"/>
    <w:rsid w:val="000D3DE8"/>
    <w:rsid w:val="000D58D9"/>
    <w:rsid w:val="000D6A75"/>
    <w:rsid w:val="000E0415"/>
    <w:rsid w:val="000E520B"/>
    <w:rsid w:val="000E7062"/>
    <w:rsid w:val="000F2061"/>
    <w:rsid w:val="000F46D2"/>
    <w:rsid w:val="000F4C84"/>
    <w:rsid w:val="001066C5"/>
    <w:rsid w:val="0011140A"/>
    <w:rsid w:val="00112455"/>
    <w:rsid w:val="00115257"/>
    <w:rsid w:val="00121B98"/>
    <w:rsid w:val="001220B8"/>
    <w:rsid w:val="00122BF4"/>
    <w:rsid w:val="00123A7B"/>
    <w:rsid w:val="001268ED"/>
    <w:rsid w:val="00131A08"/>
    <w:rsid w:val="0013213F"/>
    <w:rsid w:val="00132439"/>
    <w:rsid w:val="0013574C"/>
    <w:rsid w:val="00135BA5"/>
    <w:rsid w:val="00136129"/>
    <w:rsid w:val="00136308"/>
    <w:rsid w:val="00137A57"/>
    <w:rsid w:val="00154E0C"/>
    <w:rsid w:val="00155C78"/>
    <w:rsid w:val="00156297"/>
    <w:rsid w:val="0016702D"/>
    <w:rsid w:val="00174EA5"/>
    <w:rsid w:val="00176012"/>
    <w:rsid w:val="00180EA3"/>
    <w:rsid w:val="001817E0"/>
    <w:rsid w:val="00181A2A"/>
    <w:rsid w:val="00183EDF"/>
    <w:rsid w:val="00185D48"/>
    <w:rsid w:val="001958FB"/>
    <w:rsid w:val="001979C2"/>
    <w:rsid w:val="001A148C"/>
    <w:rsid w:val="001A1A7C"/>
    <w:rsid w:val="001A2704"/>
    <w:rsid w:val="001A5AC3"/>
    <w:rsid w:val="001B3169"/>
    <w:rsid w:val="001B41D8"/>
    <w:rsid w:val="001B4386"/>
    <w:rsid w:val="001B4B04"/>
    <w:rsid w:val="001C3971"/>
    <w:rsid w:val="001C6663"/>
    <w:rsid w:val="001C7895"/>
    <w:rsid w:val="001C7D91"/>
    <w:rsid w:val="001D184F"/>
    <w:rsid w:val="001D26DF"/>
    <w:rsid w:val="001D4802"/>
    <w:rsid w:val="001D566C"/>
    <w:rsid w:val="001D5804"/>
    <w:rsid w:val="001D624B"/>
    <w:rsid w:val="001D798D"/>
    <w:rsid w:val="001E0CDE"/>
    <w:rsid w:val="001E73AA"/>
    <w:rsid w:val="001F1354"/>
    <w:rsid w:val="001F49A1"/>
    <w:rsid w:val="001F65EA"/>
    <w:rsid w:val="00203DD1"/>
    <w:rsid w:val="00211E0B"/>
    <w:rsid w:val="002120AD"/>
    <w:rsid w:val="002161C2"/>
    <w:rsid w:val="00224AA7"/>
    <w:rsid w:val="00225418"/>
    <w:rsid w:val="00227549"/>
    <w:rsid w:val="0023506C"/>
    <w:rsid w:val="00236DE8"/>
    <w:rsid w:val="00237B10"/>
    <w:rsid w:val="002405A7"/>
    <w:rsid w:val="002467F7"/>
    <w:rsid w:val="00250D22"/>
    <w:rsid w:val="00252334"/>
    <w:rsid w:val="00256528"/>
    <w:rsid w:val="0025740F"/>
    <w:rsid w:val="00260E0D"/>
    <w:rsid w:val="00263764"/>
    <w:rsid w:val="00263FB0"/>
    <w:rsid w:val="00265A81"/>
    <w:rsid w:val="002728A1"/>
    <w:rsid w:val="00277B86"/>
    <w:rsid w:val="002865CE"/>
    <w:rsid w:val="00293E45"/>
    <w:rsid w:val="0029559D"/>
    <w:rsid w:val="002969F7"/>
    <w:rsid w:val="002A0F84"/>
    <w:rsid w:val="002A1CFC"/>
    <w:rsid w:val="002A3AB5"/>
    <w:rsid w:val="002B0988"/>
    <w:rsid w:val="002B431F"/>
    <w:rsid w:val="002B50AC"/>
    <w:rsid w:val="002C03A7"/>
    <w:rsid w:val="002C6ACD"/>
    <w:rsid w:val="002C7BFF"/>
    <w:rsid w:val="002C7C88"/>
    <w:rsid w:val="002D0E0E"/>
    <w:rsid w:val="002D14C9"/>
    <w:rsid w:val="002D19AD"/>
    <w:rsid w:val="002D652F"/>
    <w:rsid w:val="002D79F4"/>
    <w:rsid w:val="002E01C1"/>
    <w:rsid w:val="002E53B1"/>
    <w:rsid w:val="002F2BBD"/>
    <w:rsid w:val="003107FA"/>
    <w:rsid w:val="0031437A"/>
    <w:rsid w:val="00315F72"/>
    <w:rsid w:val="00316B26"/>
    <w:rsid w:val="003229D8"/>
    <w:rsid w:val="00324FA1"/>
    <w:rsid w:val="00325B6C"/>
    <w:rsid w:val="00332291"/>
    <w:rsid w:val="003329F2"/>
    <w:rsid w:val="00333876"/>
    <w:rsid w:val="0033408B"/>
    <w:rsid w:val="00335E30"/>
    <w:rsid w:val="0033745A"/>
    <w:rsid w:val="00341BC2"/>
    <w:rsid w:val="00346695"/>
    <w:rsid w:val="00350DE1"/>
    <w:rsid w:val="00351BC4"/>
    <w:rsid w:val="00353E28"/>
    <w:rsid w:val="00354459"/>
    <w:rsid w:val="003545F4"/>
    <w:rsid w:val="003641EF"/>
    <w:rsid w:val="00371FB2"/>
    <w:rsid w:val="00380553"/>
    <w:rsid w:val="003820C5"/>
    <w:rsid w:val="00386C8D"/>
    <w:rsid w:val="003917EC"/>
    <w:rsid w:val="0039277A"/>
    <w:rsid w:val="00395B51"/>
    <w:rsid w:val="00395FD4"/>
    <w:rsid w:val="003972E0"/>
    <w:rsid w:val="003A1EBD"/>
    <w:rsid w:val="003A4842"/>
    <w:rsid w:val="003B0406"/>
    <w:rsid w:val="003C1867"/>
    <w:rsid w:val="003C2CC4"/>
    <w:rsid w:val="003C2E87"/>
    <w:rsid w:val="003C3936"/>
    <w:rsid w:val="003C70C8"/>
    <w:rsid w:val="003D0F99"/>
    <w:rsid w:val="003D11B0"/>
    <w:rsid w:val="003D1D97"/>
    <w:rsid w:val="003D2B8F"/>
    <w:rsid w:val="003D3B4A"/>
    <w:rsid w:val="003D4B23"/>
    <w:rsid w:val="003D620D"/>
    <w:rsid w:val="003D7E47"/>
    <w:rsid w:val="003E0B9B"/>
    <w:rsid w:val="003E28BA"/>
    <w:rsid w:val="003E4C2C"/>
    <w:rsid w:val="003E7A98"/>
    <w:rsid w:val="003F1ED3"/>
    <w:rsid w:val="003F3B18"/>
    <w:rsid w:val="003F4A0B"/>
    <w:rsid w:val="00400769"/>
    <w:rsid w:val="00400E49"/>
    <w:rsid w:val="0040237C"/>
    <w:rsid w:val="00403952"/>
    <w:rsid w:val="004049D8"/>
    <w:rsid w:val="00407069"/>
    <w:rsid w:val="0040760C"/>
    <w:rsid w:val="00417E2F"/>
    <w:rsid w:val="00423439"/>
    <w:rsid w:val="00425DB5"/>
    <w:rsid w:val="00431189"/>
    <w:rsid w:val="004316DA"/>
    <w:rsid w:val="004325CB"/>
    <w:rsid w:val="0043569E"/>
    <w:rsid w:val="004402F9"/>
    <w:rsid w:val="00445BDD"/>
    <w:rsid w:val="00446793"/>
    <w:rsid w:val="00446DE4"/>
    <w:rsid w:val="0044735A"/>
    <w:rsid w:val="00447D78"/>
    <w:rsid w:val="0045575E"/>
    <w:rsid w:val="004644C6"/>
    <w:rsid w:val="004672AC"/>
    <w:rsid w:val="004712E0"/>
    <w:rsid w:val="004743AE"/>
    <w:rsid w:val="00480BB9"/>
    <w:rsid w:val="00480CC6"/>
    <w:rsid w:val="00481AC6"/>
    <w:rsid w:val="00486973"/>
    <w:rsid w:val="00487045"/>
    <w:rsid w:val="0048754A"/>
    <w:rsid w:val="00490A75"/>
    <w:rsid w:val="00492241"/>
    <w:rsid w:val="004933E1"/>
    <w:rsid w:val="00493818"/>
    <w:rsid w:val="004A157E"/>
    <w:rsid w:val="004A2EDD"/>
    <w:rsid w:val="004A33F7"/>
    <w:rsid w:val="004A3894"/>
    <w:rsid w:val="004A3E33"/>
    <w:rsid w:val="004A41CA"/>
    <w:rsid w:val="004B29D2"/>
    <w:rsid w:val="004B397F"/>
    <w:rsid w:val="004D2AF1"/>
    <w:rsid w:val="004D3422"/>
    <w:rsid w:val="004D785F"/>
    <w:rsid w:val="004D7A03"/>
    <w:rsid w:val="004E4C1F"/>
    <w:rsid w:val="004E74FC"/>
    <w:rsid w:val="004F13C8"/>
    <w:rsid w:val="004F6071"/>
    <w:rsid w:val="00501A6B"/>
    <w:rsid w:val="00503228"/>
    <w:rsid w:val="00505384"/>
    <w:rsid w:val="00510967"/>
    <w:rsid w:val="0051520D"/>
    <w:rsid w:val="00515289"/>
    <w:rsid w:val="0051600A"/>
    <w:rsid w:val="00516773"/>
    <w:rsid w:val="005176EF"/>
    <w:rsid w:val="00520788"/>
    <w:rsid w:val="0052122E"/>
    <w:rsid w:val="00521ECF"/>
    <w:rsid w:val="00527CFD"/>
    <w:rsid w:val="005350B6"/>
    <w:rsid w:val="00536287"/>
    <w:rsid w:val="005420F2"/>
    <w:rsid w:val="00542FFC"/>
    <w:rsid w:val="00543288"/>
    <w:rsid w:val="00543B2F"/>
    <w:rsid w:val="0054420A"/>
    <w:rsid w:val="005450D2"/>
    <w:rsid w:val="005458EF"/>
    <w:rsid w:val="005470FF"/>
    <w:rsid w:val="00555D5A"/>
    <w:rsid w:val="00560399"/>
    <w:rsid w:val="005677D2"/>
    <w:rsid w:val="00572197"/>
    <w:rsid w:val="00576D86"/>
    <w:rsid w:val="00580C8B"/>
    <w:rsid w:val="00580ED5"/>
    <w:rsid w:val="00587D34"/>
    <w:rsid w:val="00587F3C"/>
    <w:rsid w:val="005930FB"/>
    <w:rsid w:val="0059380F"/>
    <w:rsid w:val="005A21DC"/>
    <w:rsid w:val="005A63C6"/>
    <w:rsid w:val="005B38EB"/>
    <w:rsid w:val="005B3DB3"/>
    <w:rsid w:val="005B4CE0"/>
    <w:rsid w:val="005D4B25"/>
    <w:rsid w:val="005D7718"/>
    <w:rsid w:val="005E15D7"/>
    <w:rsid w:val="005E79BC"/>
    <w:rsid w:val="005F2BD2"/>
    <w:rsid w:val="005F6E62"/>
    <w:rsid w:val="00603EBA"/>
    <w:rsid w:val="00606CF1"/>
    <w:rsid w:val="00607CA5"/>
    <w:rsid w:val="00610834"/>
    <w:rsid w:val="00610BCD"/>
    <w:rsid w:val="00611FC4"/>
    <w:rsid w:val="00614C72"/>
    <w:rsid w:val="00617178"/>
    <w:rsid w:val="006176FB"/>
    <w:rsid w:val="00621C63"/>
    <w:rsid w:val="0062304B"/>
    <w:rsid w:val="00626B1C"/>
    <w:rsid w:val="0062739D"/>
    <w:rsid w:val="00627752"/>
    <w:rsid w:val="00627ED0"/>
    <w:rsid w:val="006364CC"/>
    <w:rsid w:val="00637CA2"/>
    <w:rsid w:val="00640B26"/>
    <w:rsid w:val="00642C2E"/>
    <w:rsid w:val="00644FED"/>
    <w:rsid w:val="0064585E"/>
    <w:rsid w:val="00647027"/>
    <w:rsid w:val="006517B6"/>
    <w:rsid w:val="00651FC8"/>
    <w:rsid w:val="00663923"/>
    <w:rsid w:val="00665595"/>
    <w:rsid w:val="00671AF6"/>
    <w:rsid w:val="00673795"/>
    <w:rsid w:val="00673A1C"/>
    <w:rsid w:val="00677039"/>
    <w:rsid w:val="0067746A"/>
    <w:rsid w:val="00681A03"/>
    <w:rsid w:val="0069157F"/>
    <w:rsid w:val="006A1E28"/>
    <w:rsid w:val="006A3F0D"/>
    <w:rsid w:val="006A7392"/>
    <w:rsid w:val="006B1C0F"/>
    <w:rsid w:val="006B202F"/>
    <w:rsid w:val="006B3033"/>
    <w:rsid w:val="006B390C"/>
    <w:rsid w:val="006B3B2C"/>
    <w:rsid w:val="006B4AF4"/>
    <w:rsid w:val="006B57C3"/>
    <w:rsid w:val="006C2742"/>
    <w:rsid w:val="006D14F8"/>
    <w:rsid w:val="006D19DE"/>
    <w:rsid w:val="006D1BEC"/>
    <w:rsid w:val="006D40E6"/>
    <w:rsid w:val="006D5021"/>
    <w:rsid w:val="006D508A"/>
    <w:rsid w:val="006E03A5"/>
    <w:rsid w:val="006E0D61"/>
    <w:rsid w:val="006E564B"/>
    <w:rsid w:val="006E5D14"/>
    <w:rsid w:val="006F20A6"/>
    <w:rsid w:val="006F509F"/>
    <w:rsid w:val="006F7764"/>
    <w:rsid w:val="0070019D"/>
    <w:rsid w:val="00701D1E"/>
    <w:rsid w:val="00712B5C"/>
    <w:rsid w:val="00712D44"/>
    <w:rsid w:val="007146CA"/>
    <w:rsid w:val="00715E93"/>
    <w:rsid w:val="00717E9A"/>
    <w:rsid w:val="00720053"/>
    <w:rsid w:val="00724154"/>
    <w:rsid w:val="0072632A"/>
    <w:rsid w:val="007271C4"/>
    <w:rsid w:val="0072750B"/>
    <w:rsid w:val="00734C2D"/>
    <w:rsid w:val="00742FA4"/>
    <w:rsid w:val="0075352F"/>
    <w:rsid w:val="00757B81"/>
    <w:rsid w:val="00757B9F"/>
    <w:rsid w:val="0076336D"/>
    <w:rsid w:val="007647DA"/>
    <w:rsid w:val="007663B6"/>
    <w:rsid w:val="0077083D"/>
    <w:rsid w:val="00776AAA"/>
    <w:rsid w:val="007807BD"/>
    <w:rsid w:val="00797099"/>
    <w:rsid w:val="007A01FC"/>
    <w:rsid w:val="007A3B19"/>
    <w:rsid w:val="007A3C01"/>
    <w:rsid w:val="007A569D"/>
    <w:rsid w:val="007B01BB"/>
    <w:rsid w:val="007B0D28"/>
    <w:rsid w:val="007B6BA5"/>
    <w:rsid w:val="007B7B1E"/>
    <w:rsid w:val="007C3390"/>
    <w:rsid w:val="007C4F4B"/>
    <w:rsid w:val="007D224A"/>
    <w:rsid w:val="007D66AB"/>
    <w:rsid w:val="007E0AF8"/>
    <w:rsid w:val="007E5ABB"/>
    <w:rsid w:val="007F0B83"/>
    <w:rsid w:val="007F149C"/>
    <w:rsid w:val="007F47D1"/>
    <w:rsid w:val="007F6611"/>
    <w:rsid w:val="008015E3"/>
    <w:rsid w:val="00801D46"/>
    <w:rsid w:val="00803BEA"/>
    <w:rsid w:val="00803D3F"/>
    <w:rsid w:val="008055CF"/>
    <w:rsid w:val="0081239D"/>
    <w:rsid w:val="0081323B"/>
    <w:rsid w:val="008139F5"/>
    <w:rsid w:val="00816C3A"/>
    <w:rsid w:val="008175E9"/>
    <w:rsid w:val="00821686"/>
    <w:rsid w:val="008242D7"/>
    <w:rsid w:val="00825A28"/>
    <w:rsid w:val="008263FC"/>
    <w:rsid w:val="00827D2D"/>
    <w:rsid w:val="00827E05"/>
    <w:rsid w:val="008305E5"/>
    <w:rsid w:val="008311A3"/>
    <w:rsid w:val="008333C7"/>
    <w:rsid w:val="00834A02"/>
    <w:rsid w:val="00836A0C"/>
    <w:rsid w:val="008415C7"/>
    <w:rsid w:val="00842AFA"/>
    <w:rsid w:val="00842CBA"/>
    <w:rsid w:val="00844584"/>
    <w:rsid w:val="0085013C"/>
    <w:rsid w:val="00853E16"/>
    <w:rsid w:val="008550E6"/>
    <w:rsid w:val="008553DC"/>
    <w:rsid w:val="0086205F"/>
    <w:rsid w:val="0086227F"/>
    <w:rsid w:val="00863555"/>
    <w:rsid w:val="0086527E"/>
    <w:rsid w:val="00866B0C"/>
    <w:rsid w:val="00866E24"/>
    <w:rsid w:val="008719EB"/>
    <w:rsid w:val="00871FD5"/>
    <w:rsid w:val="00875B69"/>
    <w:rsid w:val="00880D35"/>
    <w:rsid w:val="008844DB"/>
    <w:rsid w:val="00890BAF"/>
    <w:rsid w:val="0089384B"/>
    <w:rsid w:val="00896CBD"/>
    <w:rsid w:val="008979B1"/>
    <w:rsid w:val="008A1480"/>
    <w:rsid w:val="008A2229"/>
    <w:rsid w:val="008A5126"/>
    <w:rsid w:val="008A6B25"/>
    <w:rsid w:val="008A6C4F"/>
    <w:rsid w:val="008B2794"/>
    <w:rsid w:val="008B5FEA"/>
    <w:rsid w:val="008B74FE"/>
    <w:rsid w:val="008C2533"/>
    <w:rsid w:val="008C68B4"/>
    <w:rsid w:val="008C78C7"/>
    <w:rsid w:val="008D045D"/>
    <w:rsid w:val="008D0AAB"/>
    <w:rsid w:val="008D1960"/>
    <w:rsid w:val="008D2647"/>
    <w:rsid w:val="008D3C1D"/>
    <w:rsid w:val="008D4730"/>
    <w:rsid w:val="008E0A4C"/>
    <w:rsid w:val="008E0E46"/>
    <w:rsid w:val="008E58A3"/>
    <w:rsid w:val="008E6F58"/>
    <w:rsid w:val="008E7D56"/>
    <w:rsid w:val="008F1BA4"/>
    <w:rsid w:val="008F44C1"/>
    <w:rsid w:val="008F561F"/>
    <w:rsid w:val="00900E4F"/>
    <w:rsid w:val="00907AD2"/>
    <w:rsid w:val="00911640"/>
    <w:rsid w:val="009124F2"/>
    <w:rsid w:val="0092768B"/>
    <w:rsid w:val="009316CC"/>
    <w:rsid w:val="00936C2E"/>
    <w:rsid w:val="009428A3"/>
    <w:rsid w:val="00943227"/>
    <w:rsid w:val="009464F5"/>
    <w:rsid w:val="00950A26"/>
    <w:rsid w:val="00953A54"/>
    <w:rsid w:val="00960ED4"/>
    <w:rsid w:val="00963CBA"/>
    <w:rsid w:val="00965971"/>
    <w:rsid w:val="00967F42"/>
    <w:rsid w:val="00971FA4"/>
    <w:rsid w:val="00972BAD"/>
    <w:rsid w:val="00974A8D"/>
    <w:rsid w:val="0097515F"/>
    <w:rsid w:val="009755CD"/>
    <w:rsid w:val="00975723"/>
    <w:rsid w:val="00985232"/>
    <w:rsid w:val="009858E7"/>
    <w:rsid w:val="009861C7"/>
    <w:rsid w:val="00987B8A"/>
    <w:rsid w:val="00991261"/>
    <w:rsid w:val="00994FAB"/>
    <w:rsid w:val="00995E83"/>
    <w:rsid w:val="00997A11"/>
    <w:rsid w:val="00997B17"/>
    <w:rsid w:val="009A4DD4"/>
    <w:rsid w:val="009B0335"/>
    <w:rsid w:val="009B1F93"/>
    <w:rsid w:val="009B4CA8"/>
    <w:rsid w:val="009B5BFB"/>
    <w:rsid w:val="009B6A35"/>
    <w:rsid w:val="009C1650"/>
    <w:rsid w:val="009C2FB1"/>
    <w:rsid w:val="009D0C06"/>
    <w:rsid w:val="009D43C2"/>
    <w:rsid w:val="009D5DD3"/>
    <w:rsid w:val="009E102B"/>
    <w:rsid w:val="009E29EB"/>
    <w:rsid w:val="009F3A17"/>
    <w:rsid w:val="009F513C"/>
    <w:rsid w:val="009F5ED7"/>
    <w:rsid w:val="00A002DC"/>
    <w:rsid w:val="00A01E5A"/>
    <w:rsid w:val="00A12662"/>
    <w:rsid w:val="00A1427D"/>
    <w:rsid w:val="00A14774"/>
    <w:rsid w:val="00A17830"/>
    <w:rsid w:val="00A24105"/>
    <w:rsid w:val="00A2488D"/>
    <w:rsid w:val="00A26CE4"/>
    <w:rsid w:val="00A36928"/>
    <w:rsid w:val="00A4589C"/>
    <w:rsid w:val="00A478E2"/>
    <w:rsid w:val="00A50B50"/>
    <w:rsid w:val="00A52F74"/>
    <w:rsid w:val="00A541EA"/>
    <w:rsid w:val="00A6061B"/>
    <w:rsid w:val="00A62FFD"/>
    <w:rsid w:val="00A63A8F"/>
    <w:rsid w:val="00A64745"/>
    <w:rsid w:val="00A72518"/>
    <w:rsid w:val="00A72F22"/>
    <w:rsid w:val="00A7399E"/>
    <w:rsid w:val="00A742F7"/>
    <w:rsid w:val="00A748A6"/>
    <w:rsid w:val="00A76484"/>
    <w:rsid w:val="00A84BE1"/>
    <w:rsid w:val="00A854F0"/>
    <w:rsid w:val="00A879A4"/>
    <w:rsid w:val="00A90B3A"/>
    <w:rsid w:val="00A93320"/>
    <w:rsid w:val="00A93DAB"/>
    <w:rsid w:val="00A97A94"/>
    <w:rsid w:val="00AA021B"/>
    <w:rsid w:val="00AA4B2E"/>
    <w:rsid w:val="00AA5D38"/>
    <w:rsid w:val="00AA6C04"/>
    <w:rsid w:val="00AA771D"/>
    <w:rsid w:val="00AB4374"/>
    <w:rsid w:val="00AB7676"/>
    <w:rsid w:val="00AC1316"/>
    <w:rsid w:val="00AC6F63"/>
    <w:rsid w:val="00AD06C5"/>
    <w:rsid w:val="00AD5792"/>
    <w:rsid w:val="00AE20DC"/>
    <w:rsid w:val="00AE41F3"/>
    <w:rsid w:val="00AE55CE"/>
    <w:rsid w:val="00AE7A4A"/>
    <w:rsid w:val="00AF2676"/>
    <w:rsid w:val="00AF6613"/>
    <w:rsid w:val="00AF685C"/>
    <w:rsid w:val="00AF7728"/>
    <w:rsid w:val="00AF7755"/>
    <w:rsid w:val="00B0164B"/>
    <w:rsid w:val="00B030C5"/>
    <w:rsid w:val="00B14933"/>
    <w:rsid w:val="00B2368E"/>
    <w:rsid w:val="00B24D69"/>
    <w:rsid w:val="00B30179"/>
    <w:rsid w:val="00B31695"/>
    <w:rsid w:val="00B33177"/>
    <w:rsid w:val="00B33EC0"/>
    <w:rsid w:val="00B35C41"/>
    <w:rsid w:val="00B42703"/>
    <w:rsid w:val="00B46BB8"/>
    <w:rsid w:val="00B47058"/>
    <w:rsid w:val="00B52A6D"/>
    <w:rsid w:val="00B5315C"/>
    <w:rsid w:val="00B532D3"/>
    <w:rsid w:val="00B54A1E"/>
    <w:rsid w:val="00B55767"/>
    <w:rsid w:val="00B612E3"/>
    <w:rsid w:val="00B628DE"/>
    <w:rsid w:val="00B64EAE"/>
    <w:rsid w:val="00B671BF"/>
    <w:rsid w:val="00B72BAF"/>
    <w:rsid w:val="00B77824"/>
    <w:rsid w:val="00B81576"/>
    <w:rsid w:val="00B81E12"/>
    <w:rsid w:val="00B92F1E"/>
    <w:rsid w:val="00B92F25"/>
    <w:rsid w:val="00B94D0E"/>
    <w:rsid w:val="00B9598C"/>
    <w:rsid w:val="00BA015F"/>
    <w:rsid w:val="00BA4C2C"/>
    <w:rsid w:val="00BA7B0A"/>
    <w:rsid w:val="00BA7D0A"/>
    <w:rsid w:val="00BB0E9C"/>
    <w:rsid w:val="00BB3C77"/>
    <w:rsid w:val="00BB4DC2"/>
    <w:rsid w:val="00BC0B64"/>
    <w:rsid w:val="00BC74E9"/>
    <w:rsid w:val="00BD1D9F"/>
    <w:rsid w:val="00BD2146"/>
    <w:rsid w:val="00BD2427"/>
    <w:rsid w:val="00BE2713"/>
    <w:rsid w:val="00BE4F74"/>
    <w:rsid w:val="00BE563F"/>
    <w:rsid w:val="00BE618E"/>
    <w:rsid w:val="00BF1B3D"/>
    <w:rsid w:val="00BF3231"/>
    <w:rsid w:val="00C14C81"/>
    <w:rsid w:val="00C15AFF"/>
    <w:rsid w:val="00C15CDB"/>
    <w:rsid w:val="00C16CD1"/>
    <w:rsid w:val="00C17699"/>
    <w:rsid w:val="00C23A1A"/>
    <w:rsid w:val="00C23F04"/>
    <w:rsid w:val="00C25EDF"/>
    <w:rsid w:val="00C30B51"/>
    <w:rsid w:val="00C3163F"/>
    <w:rsid w:val="00C31690"/>
    <w:rsid w:val="00C32156"/>
    <w:rsid w:val="00C342A7"/>
    <w:rsid w:val="00C34D64"/>
    <w:rsid w:val="00C35145"/>
    <w:rsid w:val="00C36E40"/>
    <w:rsid w:val="00C41A28"/>
    <w:rsid w:val="00C43A1E"/>
    <w:rsid w:val="00C46154"/>
    <w:rsid w:val="00C463DD"/>
    <w:rsid w:val="00C46789"/>
    <w:rsid w:val="00C523EB"/>
    <w:rsid w:val="00C61A09"/>
    <w:rsid w:val="00C653E8"/>
    <w:rsid w:val="00C66354"/>
    <w:rsid w:val="00C66DDD"/>
    <w:rsid w:val="00C66F87"/>
    <w:rsid w:val="00C67919"/>
    <w:rsid w:val="00C73E53"/>
    <w:rsid w:val="00C745BF"/>
    <w:rsid w:val="00C745C3"/>
    <w:rsid w:val="00C746C9"/>
    <w:rsid w:val="00C74CED"/>
    <w:rsid w:val="00C75952"/>
    <w:rsid w:val="00C7622C"/>
    <w:rsid w:val="00C861C3"/>
    <w:rsid w:val="00C95695"/>
    <w:rsid w:val="00C95E83"/>
    <w:rsid w:val="00C96EC2"/>
    <w:rsid w:val="00C97712"/>
    <w:rsid w:val="00CA08E3"/>
    <w:rsid w:val="00CA0B08"/>
    <w:rsid w:val="00CA30C6"/>
    <w:rsid w:val="00CA3CA5"/>
    <w:rsid w:val="00CA7472"/>
    <w:rsid w:val="00CB075D"/>
    <w:rsid w:val="00CB0DBC"/>
    <w:rsid w:val="00CB2911"/>
    <w:rsid w:val="00CB32D9"/>
    <w:rsid w:val="00CB4BE0"/>
    <w:rsid w:val="00CC3759"/>
    <w:rsid w:val="00CC47CB"/>
    <w:rsid w:val="00CD0AB3"/>
    <w:rsid w:val="00CE01C0"/>
    <w:rsid w:val="00CE1604"/>
    <w:rsid w:val="00CE25FD"/>
    <w:rsid w:val="00CE497F"/>
    <w:rsid w:val="00CE4A8F"/>
    <w:rsid w:val="00CE6550"/>
    <w:rsid w:val="00CF5BB0"/>
    <w:rsid w:val="00CF755D"/>
    <w:rsid w:val="00D0135E"/>
    <w:rsid w:val="00D01E98"/>
    <w:rsid w:val="00D04A2A"/>
    <w:rsid w:val="00D07918"/>
    <w:rsid w:val="00D121B6"/>
    <w:rsid w:val="00D1389C"/>
    <w:rsid w:val="00D14482"/>
    <w:rsid w:val="00D164DD"/>
    <w:rsid w:val="00D2031B"/>
    <w:rsid w:val="00D204F0"/>
    <w:rsid w:val="00D25FE2"/>
    <w:rsid w:val="00D27576"/>
    <w:rsid w:val="00D30977"/>
    <w:rsid w:val="00D317BB"/>
    <w:rsid w:val="00D33328"/>
    <w:rsid w:val="00D37E51"/>
    <w:rsid w:val="00D40B13"/>
    <w:rsid w:val="00D420D9"/>
    <w:rsid w:val="00D43252"/>
    <w:rsid w:val="00D45D0A"/>
    <w:rsid w:val="00D618F9"/>
    <w:rsid w:val="00D6389B"/>
    <w:rsid w:val="00D66BBC"/>
    <w:rsid w:val="00D71B47"/>
    <w:rsid w:val="00D72DED"/>
    <w:rsid w:val="00D81A90"/>
    <w:rsid w:val="00D82BD9"/>
    <w:rsid w:val="00D837E4"/>
    <w:rsid w:val="00D840FB"/>
    <w:rsid w:val="00D85458"/>
    <w:rsid w:val="00D86499"/>
    <w:rsid w:val="00D87978"/>
    <w:rsid w:val="00D93EE6"/>
    <w:rsid w:val="00D9415C"/>
    <w:rsid w:val="00D978C6"/>
    <w:rsid w:val="00DA67AD"/>
    <w:rsid w:val="00DA6827"/>
    <w:rsid w:val="00DB06D2"/>
    <w:rsid w:val="00DB5D0F"/>
    <w:rsid w:val="00DC59B0"/>
    <w:rsid w:val="00DF0592"/>
    <w:rsid w:val="00DF12F7"/>
    <w:rsid w:val="00DF1747"/>
    <w:rsid w:val="00DF3292"/>
    <w:rsid w:val="00DF6806"/>
    <w:rsid w:val="00E02C81"/>
    <w:rsid w:val="00E059FC"/>
    <w:rsid w:val="00E0797D"/>
    <w:rsid w:val="00E07B4D"/>
    <w:rsid w:val="00E130AB"/>
    <w:rsid w:val="00E131BB"/>
    <w:rsid w:val="00E13719"/>
    <w:rsid w:val="00E144BF"/>
    <w:rsid w:val="00E14F86"/>
    <w:rsid w:val="00E30CF8"/>
    <w:rsid w:val="00E3617C"/>
    <w:rsid w:val="00E36FC5"/>
    <w:rsid w:val="00E42338"/>
    <w:rsid w:val="00E46597"/>
    <w:rsid w:val="00E47223"/>
    <w:rsid w:val="00E54480"/>
    <w:rsid w:val="00E56FBB"/>
    <w:rsid w:val="00E5793D"/>
    <w:rsid w:val="00E630E2"/>
    <w:rsid w:val="00E64984"/>
    <w:rsid w:val="00E66679"/>
    <w:rsid w:val="00E708B4"/>
    <w:rsid w:val="00E7260F"/>
    <w:rsid w:val="00E860A1"/>
    <w:rsid w:val="00E87921"/>
    <w:rsid w:val="00E90A32"/>
    <w:rsid w:val="00E94D63"/>
    <w:rsid w:val="00E96630"/>
    <w:rsid w:val="00EA264E"/>
    <w:rsid w:val="00EB1E67"/>
    <w:rsid w:val="00EB247C"/>
    <w:rsid w:val="00EB2DD7"/>
    <w:rsid w:val="00EB4F8B"/>
    <w:rsid w:val="00EB504F"/>
    <w:rsid w:val="00EB6164"/>
    <w:rsid w:val="00EC2F56"/>
    <w:rsid w:val="00ED0911"/>
    <w:rsid w:val="00ED3355"/>
    <w:rsid w:val="00ED5D98"/>
    <w:rsid w:val="00ED6C08"/>
    <w:rsid w:val="00ED7A2A"/>
    <w:rsid w:val="00EE1340"/>
    <w:rsid w:val="00EE2B75"/>
    <w:rsid w:val="00EE2D0F"/>
    <w:rsid w:val="00EE6953"/>
    <w:rsid w:val="00EF1D7F"/>
    <w:rsid w:val="00EF558D"/>
    <w:rsid w:val="00EF5E84"/>
    <w:rsid w:val="00F01D5F"/>
    <w:rsid w:val="00F03020"/>
    <w:rsid w:val="00F057DC"/>
    <w:rsid w:val="00F07C40"/>
    <w:rsid w:val="00F12E6B"/>
    <w:rsid w:val="00F1366A"/>
    <w:rsid w:val="00F1561E"/>
    <w:rsid w:val="00F168BE"/>
    <w:rsid w:val="00F20E92"/>
    <w:rsid w:val="00F2154F"/>
    <w:rsid w:val="00F27A70"/>
    <w:rsid w:val="00F3378C"/>
    <w:rsid w:val="00F34786"/>
    <w:rsid w:val="00F36BD3"/>
    <w:rsid w:val="00F406CB"/>
    <w:rsid w:val="00F4111B"/>
    <w:rsid w:val="00F425EB"/>
    <w:rsid w:val="00F427C8"/>
    <w:rsid w:val="00F44197"/>
    <w:rsid w:val="00F45770"/>
    <w:rsid w:val="00F52154"/>
    <w:rsid w:val="00F53EDA"/>
    <w:rsid w:val="00F60219"/>
    <w:rsid w:val="00F6109F"/>
    <w:rsid w:val="00F636E3"/>
    <w:rsid w:val="00F64133"/>
    <w:rsid w:val="00F65E0E"/>
    <w:rsid w:val="00F7199D"/>
    <w:rsid w:val="00F743B2"/>
    <w:rsid w:val="00F7753D"/>
    <w:rsid w:val="00F81B73"/>
    <w:rsid w:val="00F85F34"/>
    <w:rsid w:val="00F9011D"/>
    <w:rsid w:val="00F91D3D"/>
    <w:rsid w:val="00F95AAE"/>
    <w:rsid w:val="00FA0622"/>
    <w:rsid w:val="00FA06F7"/>
    <w:rsid w:val="00FA07D1"/>
    <w:rsid w:val="00FA1595"/>
    <w:rsid w:val="00FA1BD2"/>
    <w:rsid w:val="00FA3854"/>
    <w:rsid w:val="00FA6BD0"/>
    <w:rsid w:val="00FB171A"/>
    <w:rsid w:val="00FB4B23"/>
    <w:rsid w:val="00FB4E48"/>
    <w:rsid w:val="00FB68DB"/>
    <w:rsid w:val="00FB782A"/>
    <w:rsid w:val="00FC68B7"/>
    <w:rsid w:val="00FD0E31"/>
    <w:rsid w:val="00FD45C9"/>
    <w:rsid w:val="00FD5A5B"/>
    <w:rsid w:val="00FD5ECB"/>
    <w:rsid w:val="00FD7BF6"/>
    <w:rsid w:val="00FE1700"/>
    <w:rsid w:val="00FE33D2"/>
    <w:rsid w:val="00FF2020"/>
    <w:rsid w:val="00FF2C2F"/>
    <w:rsid w:val="00FF57B6"/>
    <w:rsid w:val="00FF6FEE"/>
    <w:rsid w:val="00FF7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link w:val="Footer"/>
    <w:uiPriority w:val="99"/>
    <w:rsid w:val="005E79BC"/>
    <w:rPr>
      <w:sz w:val="16"/>
      <w:lang w:val="en-GB" w:eastAsia="en-US"/>
    </w:rPr>
  </w:style>
  <w:style w:type="paragraph" w:customStyle="1" w:styleId="RIVMStandaard">
    <w:name w:val="RIVM_Standaard"/>
    <w:basedOn w:val="Normal"/>
    <w:qFormat/>
    <w:rsid w:val="00335E30"/>
    <w:pPr>
      <w:suppressAutoHyphens w:val="0"/>
      <w:overflowPunct w:val="0"/>
      <w:autoSpaceDE w:val="0"/>
      <w:autoSpaceDN w:val="0"/>
      <w:adjustRightInd w:val="0"/>
      <w:textAlignment w:val="baseline"/>
    </w:pPr>
    <w:rPr>
      <w:rFonts w:ascii="Verdana" w:eastAsia="MS Mincho" w:hAnsi="Verdana"/>
      <w:lang w:eastAsia="nl-NL"/>
    </w:rPr>
  </w:style>
  <w:style w:type="character" w:customStyle="1" w:styleId="FootnoteTextChar">
    <w:name w:val="Footnote Text Char"/>
    <w:aliases w:val="5_G Char"/>
    <w:basedOn w:val="DefaultParagraphFont"/>
    <w:link w:val="FootnoteText"/>
    <w:uiPriority w:val="99"/>
    <w:rsid w:val="00335E30"/>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link w:val="Footer"/>
    <w:uiPriority w:val="99"/>
    <w:rsid w:val="005E79BC"/>
    <w:rPr>
      <w:sz w:val="16"/>
      <w:lang w:val="en-GB" w:eastAsia="en-US"/>
    </w:rPr>
  </w:style>
  <w:style w:type="paragraph" w:customStyle="1" w:styleId="RIVMStandaard">
    <w:name w:val="RIVM_Standaard"/>
    <w:basedOn w:val="Normal"/>
    <w:qFormat/>
    <w:rsid w:val="00335E30"/>
    <w:pPr>
      <w:suppressAutoHyphens w:val="0"/>
      <w:overflowPunct w:val="0"/>
      <w:autoSpaceDE w:val="0"/>
      <w:autoSpaceDN w:val="0"/>
      <w:adjustRightInd w:val="0"/>
      <w:textAlignment w:val="baseline"/>
    </w:pPr>
    <w:rPr>
      <w:rFonts w:ascii="Verdana" w:eastAsia="MS Mincho" w:hAnsi="Verdana"/>
      <w:lang w:eastAsia="nl-NL"/>
    </w:rPr>
  </w:style>
  <w:style w:type="character" w:customStyle="1" w:styleId="FootnoteTextChar">
    <w:name w:val="Footnote Text Char"/>
    <w:aliases w:val="5_G Char"/>
    <w:basedOn w:val="DefaultParagraphFont"/>
    <w:link w:val="FootnoteText"/>
    <w:uiPriority w:val="99"/>
    <w:rsid w:val="00335E30"/>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E3B4-EE92-4D14-B9B0-D10BC4E9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21</TotalTime>
  <Pages>6</Pages>
  <Words>2338</Words>
  <Characters>13331</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Caillot</cp:lastModifiedBy>
  <cp:revision>8</cp:revision>
  <cp:lastPrinted>2013-08-12T09:01:00Z</cp:lastPrinted>
  <dcterms:created xsi:type="dcterms:W3CDTF">2016-01-19T10:17:00Z</dcterms:created>
  <dcterms:modified xsi:type="dcterms:W3CDTF">2016-01-19T10:52:00Z</dcterms:modified>
</cp:coreProperties>
</file>