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0286F" w:rsidRPr="00B771A3" w:rsidTr="00264890">
        <w:trPr>
          <w:cantSplit/>
          <w:trHeight w:hRule="exact" w:val="851"/>
        </w:trPr>
        <w:tc>
          <w:tcPr>
            <w:tcW w:w="1276" w:type="dxa"/>
            <w:tcBorders>
              <w:bottom w:val="single" w:sz="4" w:space="0" w:color="auto"/>
            </w:tcBorders>
            <w:vAlign w:val="bottom"/>
          </w:tcPr>
          <w:p w:rsidR="0030286F" w:rsidRPr="00B771A3" w:rsidRDefault="0030286F" w:rsidP="0030286F">
            <w:pPr>
              <w:suppressAutoHyphens/>
              <w:spacing w:line="240" w:lineRule="atLeast"/>
              <w:rPr>
                <w:rFonts w:ascii="Times New Roman" w:hAnsi="Times New Roman"/>
                <w:sz w:val="20"/>
                <w:szCs w:val="20"/>
                <w:lang w:eastAsia="en-US" w:bidi="ar-SA"/>
              </w:rPr>
            </w:pPr>
          </w:p>
        </w:tc>
        <w:tc>
          <w:tcPr>
            <w:tcW w:w="8363" w:type="dxa"/>
            <w:gridSpan w:val="2"/>
            <w:tcBorders>
              <w:bottom w:val="single" w:sz="4" w:space="0" w:color="auto"/>
            </w:tcBorders>
            <w:vAlign w:val="bottom"/>
          </w:tcPr>
          <w:p w:rsidR="0030286F" w:rsidRPr="00B771A3" w:rsidRDefault="0030286F" w:rsidP="0030286F">
            <w:pPr>
              <w:suppressAutoHyphens/>
              <w:spacing w:line="240" w:lineRule="atLeast"/>
              <w:ind w:left="6095"/>
              <w:rPr>
                <w:rFonts w:ascii="Times New Roman" w:hAnsi="Times New Roman"/>
                <w:sz w:val="20"/>
                <w:szCs w:val="20"/>
                <w:lang w:eastAsia="en-US" w:bidi="ar-SA"/>
              </w:rPr>
            </w:pPr>
            <w:r w:rsidRPr="00B771A3">
              <w:rPr>
                <w:rFonts w:ascii="Times New Roman" w:hAnsi="Times New Roman"/>
                <w:b/>
                <w:sz w:val="40"/>
                <w:szCs w:val="40"/>
                <w:lang w:eastAsia="en-US" w:bidi="ar-SA"/>
              </w:rPr>
              <w:t xml:space="preserve"> INF.</w:t>
            </w:r>
            <w:r>
              <w:rPr>
                <w:rFonts w:ascii="Times New Roman" w:hAnsi="Times New Roman"/>
                <w:b/>
                <w:sz w:val="40"/>
                <w:szCs w:val="40"/>
                <w:lang w:eastAsia="en-US" w:bidi="ar-SA"/>
              </w:rPr>
              <w:t>1</w:t>
            </w:r>
            <w:r>
              <w:rPr>
                <w:rFonts w:ascii="Times New Roman" w:hAnsi="Times New Roman"/>
                <w:b/>
                <w:sz w:val="40"/>
                <w:szCs w:val="40"/>
                <w:lang w:eastAsia="en-US" w:bidi="ar-SA"/>
              </w:rPr>
              <w:t>1</w:t>
            </w:r>
          </w:p>
        </w:tc>
      </w:tr>
      <w:tr w:rsidR="0030286F" w:rsidRPr="00B771A3" w:rsidTr="00264890">
        <w:trPr>
          <w:cantSplit/>
          <w:trHeight w:hRule="exact" w:val="3972"/>
        </w:trPr>
        <w:tc>
          <w:tcPr>
            <w:tcW w:w="6804" w:type="dxa"/>
            <w:gridSpan w:val="2"/>
            <w:tcBorders>
              <w:top w:val="single" w:sz="4" w:space="0" w:color="auto"/>
              <w:bottom w:val="single" w:sz="12" w:space="0" w:color="auto"/>
            </w:tcBorders>
          </w:tcPr>
          <w:p w:rsidR="0030286F" w:rsidRPr="00B771A3" w:rsidRDefault="0030286F" w:rsidP="0030286F">
            <w:pPr>
              <w:suppressAutoHyphens/>
              <w:spacing w:before="120" w:after="120" w:line="240" w:lineRule="atLeast"/>
              <w:rPr>
                <w:rFonts w:ascii="Times New Roman" w:hAnsi="Times New Roman"/>
                <w:b/>
                <w:sz w:val="28"/>
                <w:szCs w:val="28"/>
                <w:lang w:eastAsia="en-US" w:bidi="ar-SA"/>
              </w:rPr>
            </w:pPr>
            <w:r w:rsidRPr="00B771A3">
              <w:rPr>
                <w:rFonts w:ascii="Times New Roman" w:hAnsi="Times New Roman"/>
                <w:b/>
                <w:sz w:val="28"/>
                <w:szCs w:val="28"/>
                <w:lang w:eastAsia="en-US" w:bidi="ar-SA"/>
              </w:rPr>
              <w:t>Economic Commission for Europe</w:t>
            </w:r>
          </w:p>
          <w:p w:rsidR="0030286F" w:rsidRPr="00B771A3" w:rsidRDefault="0030286F" w:rsidP="0030286F">
            <w:pPr>
              <w:suppressAutoHyphens/>
              <w:spacing w:before="120" w:line="240" w:lineRule="atLeast"/>
              <w:rPr>
                <w:rFonts w:ascii="Times New Roman" w:hAnsi="Times New Roman"/>
                <w:sz w:val="28"/>
                <w:szCs w:val="28"/>
                <w:lang w:eastAsia="en-US" w:bidi="ar-SA"/>
              </w:rPr>
            </w:pPr>
            <w:r w:rsidRPr="00B771A3">
              <w:rPr>
                <w:rFonts w:ascii="Times New Roman" w:hAnsi="Times New Roman"/>
                <w:sz w:val="28"/>
                <w:szCs w:val="28"/>
                <w:lang w:eastAsia="en-US" w:bidi="ar-SA"/>
              </w:rPr>
              <w:t>Inland Transport Committee</w:t>
            </w:r>
          </w:p>
          <w:p w:rsidR="0030286F" w:rsidRPr="00B771A3" w:rsidRDefault="0030286F" w:rsidP="0030286F">
            <w:pPr>
              <w:suppressAutoHyphens/>
              <w:spacing w:before="120"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Working Party on the Transport of Dangerous Goods</w:t>
            </w:r>
          </w:p>
          <w:p w:rsidR="0030286F" w:rsidRPr="00B771A3" w:rsidRDefault="0030286F" w:rsidP="0030286F">
            <w:pPr>
              <w:suppressAutoHyphens/>
              <w:spacing w:before="120"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Joint Meeting of Experts on the Regulations annexed to the</w:t>
            </w:r>
            <w:r w:rsidRPr="00B771A3">
              <w:rPr>
                <w:rFonts w:ascii="Times New Roman" w:hAnsi="Times New Roman"/>
                <w:b/>
                <w:sz w:val="20"/>
                <w:szCs w:val="20"/>
                <w:lang w:eastAsia="en-US" w:bidi="ar-SA"/>
              </w:rPr>
              <w:br/>
              <w:t>European Agreement concerning the International Carriage</w:t>
            </w:r>
            <w:r w:rsidRPr="00B771A3">
              <w:rPr>
                <w:rFonts w:ascii="Times New Roman" w:hAnsi="Times New Roman"/>
                <w:b/>
                <w:sz w:val="20"/>
                <w:szCs w:val="20"/>
                <w:lang w:eastAsia="en-US" w:bidi="ar-SA"/>
              </w:rPr>
              <w:br/>
              <w:t>of Dangerous Goods by Inland Waterways (ADN)</w:t>
            </w:r>
            <w:r w:rsidRPr="00B771A3">
              <w:rPr>
                <w:rFonts w:ascii="Times New Roman" w:hAnsi="Times New Roman"/>
                <w:b/>
                <w:sz w:val="20"/>
                <w:szCs w:val="20"/>
                <w:lang w:eastAsia="en-US" w:bidi="ar-SA"/>
              </w:rPr>
              <w:br/>
              <w:t>(ADN Safety Committee)</w:t>
            </w:r>
          </w:p>
          <w:p w:rsidR="0030286F" w:rsidRPr="00B771A3" w:rsidRDefault="0030286F" w:rsidP="0030286F">
            <w:pPr>
              <w:suppressAutoHyphens/>
              <w:spacing w:before="120"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Twenty-eighth session</w:t>
            </w:r>
          </w:p>
          <w:p w:rsidR="0030286F" w:rsidRPr="00B771A3" w:rsidRDefault="0030286F" w:rsidP="0030286F">
            <w:pPr>
              <w:suppressAutoHyphens/>
              <w:spacing w:line="240" w:lineRule="atLeast"/>
              <w:rPr>
                <w:rFonts w:ascii="Times New Roman" w:hAnsi="Times New Roman"/>
                <w:sz w:val="20"/>
                <w:szCs w:val="20"/>
                <w:lang w:eastAsia="en-US" w:bidi="ar-SA"/>
              </w:rPr>
            </w:pPr>
            <w:r w:rsidRPr="00B771A3">
              <w:rPr>
                <w:rFonts w:ascii="Times New Roman" w:hAnsi="Times New Roman"/>
                <w:sz w:val="20"/>
                <w:szCs w:val="20"/>
                <w:lang w:eastAsia="en-US" w:bidi="ar-SA"/>
              </w:rPr>
              <w:t>Geneva, 25 - 29 January 2016</w:t>
            </w:r>
            <w:r w:rsidRPr="00B771A3">
              <w:rPr>
                <w:rFonts w:ascii="Times New Roman" w:hAnsi="Times New Roman"/>
                <w:sz w:val="20"/>
                <w:szCs w:val="20"/>
                <w:lang w:eastAsia="en-US" w:bidi="ar-SA"/>
              </w:rPr>
              <w:br/>
              <w:t>Item 5 (b) of the provisional agenda</w:t>
            </w:r>
          </w:p>
          <w:p w:rsidR="0030286F" w:rsidRPr="00B771A3" w:rsidRDefault="0030286F" w:rsidP="0030286F">
            <w:pPr>
              <w:suppressAutoHyphens/>
              <w:spacing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Proposals for amendments to the Regulations annexed to ADN</w:t>
            </w:r>
          </w:p>
          <w:p w:rsidR="0030286F" w:rsidRPr="00B771A3" w:rsidRDefault="0030286F" w:rsidP="0030286F">
            <w:pPr>
              <w:suppressAutoHyphens/>
              <w:spacing w:line="240" w:lineRule="atLeast"/>
              <w:rPr>
                <w:rFonts w:ascii="Times New Roman" w:hAnsi="Times New Roman"/>
                <w:b/>
                <w:sz w:val="20"/>
                <w:szCs w:val="20"/>
                <w:lang w:eastAsia="en-US" w:bidi="ar-SA"/>
              </w:rPr>
            </w:pPr>
            <w:r w:rsidRPr="00B771A3">
              <w:rPr>
                <w:rFonts w:ascii="Times New Roman" w:hAnsi="Times New Roman"/>
                <w:b/>
                <w:sz w:val="20"/>
                <w:szCs w:val="20"/>
                <w:lang w:eastAsia="en-US" w:bidi="ar-SA"/>
              </w:rPr>
              <w:t>Other proposals</w:t>
            </w:r>
            <w:r w:rsidRPr="00B771A3">
              <w:rPr>
                <w:rFonts w:ascii="Times New Roman" w:hAnsi="Times New Roman"/>
                <w:b/>
                <w:sz w:val="20"/>
                <w:szCs w:val="20"/>
                <w:lang w:eastAsia="en-US" w:bidi="ar-SA"/>
              </w:rPr>
              <w:br/>
            </w:r>
            <w:r w:rsidRPr="00B771A3">
              <w:rPr>
                <w:rFonts w:ascii="Times New Roman" w:hAnsi="Times New Roman"/>
                <w:b/>
                <w:sz w:val="20"/>
                <w:szCs w:val="20"/>
                <w:lang w:eastAsia="en-US" w:bidi="ar-SA"/>
              </w:rPr>
              <w:br/>
            </w:r>
          </w:p>
        </w:tc>
        <w:tc>
          <w:tcPr>
            <w:tcW w:w="2835" w:type="dxa"/>
            <w:tcBorders>
              <w:top w:val="single" w:sz="4" w:space="0" w:color="auto"/>
              <w:bottom w:val="single" w:sz="12" w:space="0" w:color="auto"/>
            </w:tcBorders>
          </w:tcPr>
          <w:p w:rsidR="0030286F" w:rsidRPr="00B771A3" w:rsidRDefault="0030286F" w:rsidP="0030286F">
            <w:pPr>
              <w:suppressAutoHyphens/>
              <w:spacing w:before="120" w:line="240" w:lineRule="atLeast"/>
              <w:rPr>
                <w:rFonts w:ascii="Times New Roman" w:hAnsi="Times New Roman"/>
                <w:sz w:val="20"/>
                <w:szCs w:val="20"/>
                <w:lang w:eastAsia="en-US" w:bidi="ar-SA"/>
              </w:rPr>
            </w:pPr>
          </w:p>
          <w:p w:rsidR="0030286F" w:rsidRPr="00B771A3" w:rsidRDefault="0030286F" w:rsidP="0030286F">
            <w:pPr>
              <w:suppressAutoHyphens/>
              <w:spacing w:before="120" w:line="240" w:lineRule="atLeast"/>
              <w:rPr>
                <w:rFonts w:ascii="Times New Roman" w:hAnsi="Times New Roman"/>
                <w:sz w:val="20"/>
                <w:szCs w:val="20"/>
                <w:lang w:eastAsia="en-US" w:bidi="ar-SA"/>
              </w:rPr>
            </w:pPr>
            <w:r>
              <w:rPr>
                <w:rFonts w:ascii="Times New Roman" w:hAnsi="Times New Roman"/>
                <w:sz w:val="20"/>
                <w:szCs w:val="20"/>
                <w:lang w:eastAsia="en-US" w:bidi="ar-SA"/>
              </w:rPr>
              <w:t>29</w:t>
            </w:r>
            <w:r w:rsidRPr="00B771A3">
              <w:rPr>
                <w:rFonts w:ascii="Times New Roman" w:hAnsi="Times New Roman"/>
                <w:sz w:val="20"/>
                <w:szCs w:val="20"/>
                <w:lang w:eastAsia="en-US" w:bidi="ar-SA"/>
              </w:rPr>
              <w:t xml:space="preserve"> December 2015</w:t>
            </w:r>
          </w:p>
        </w:tc>
      </w:tr>
    </w:tbl>
    <w:p w:rsidR="00A52A4D" w:rsidRPr="00E8037C" w:rsidRDefault="00A52A4D" w:rsidP="0030286F">
      <w:pPr>
        <w:pStyle w:val="HChG"/>
        <w:rPr>
          <w:bCs/>
          <w:szCs w:val="24"/>
        </w:rPr>
      </w:pPr>
      <w:r>
        <w:tab/>
      </w:r>
      <w:r>
        <w:tab/>
      </w:r>
      <w:r w:rsidR="000861EB">
        <w:t>Berthing</w:t>
      </w:r>
      <w:r w:rsidR="005E281D">
        <w:t xml:space="preserve"> – Subsection</w:t>
      </w:r>
      <w:r w:rsidR="000861EB">
        <w:t>s</w:t>
      </w:r>
      <w:r w:rsidR="005E281D">
        <w:t xml:space="preserve"> </w:t>
      </w:r>
      <w:r w:rsidR="000861EB">
        <w:t>7.1.5.4 and 7.2.5.</w:t>
      </w:r>
      <w:r w:rsidR="00CC1DD3">
        <w:t>4</w:t>
      </w:r>
      <w:r w:rsidR="000722BF">
        <w:t xml:space="preserve"> </w:t>
      </w:r>
      <w:r w:rsidR="00876C15">
        <w:t>ADN - Corrections</w:t>
      </w:r>
    </w:p>
    <w:p w:rsidR="00A52A4D" w:rsidRDefault="00A52A4D" w:rsidP="0030286F">
      <w:pPr>
        <w:pStyle w:val="H1G"/>
      </w:pPr>
      <w:r>
        <w:tab/>
      </w:r>
      <w:r>
        <w:tab/>
        <w:t xml:space="preserve">Transmitted by the </w:t>
      </w:r>
      <w:r w:rsidRPr="0030286F">
        <w:t>Government</w:t>
      </w:r>
      <w:r>
        <w:t xml:space="preserve"> of Germany</w:t>
      </w:r>
    </w:p>
    <w:p w:rsidR="00BA7AF9" w:rsidRDefault="0030286F" w:rsidP="0030286F">
      <w:pPr>
        <w:pStyle w:val="H1G"/>
      </w:pPr>
      <w:r>
        <w:tab/>
      </w:r>
      <w:r>
        <w:tab/>
      </w:r>
      <w:r w:rsidR="00CC1DD3">
        <w:t>Related Documents</w:t>
      </w:r>
    </w:p>
    <w:p w:rsidR="00CC1DD3" w:rsidRPr="00215DB7" w:rsidRDefault="00215DB7" w:rsidP="0030286F">
      <w:pPr>
        <w:pStyle w:val="SingleTxtG"/>
      </w:pPr>
      <w:r w:rsidRPr="00215DB7">
        <w:t>ECE/TRANS/WP.15/AC.2/44 and CCNR-ZKR/ADN/WP.15/AC.2/44, Paragraph 54</w:t>
      </w:r>
    </w:p>
    <w:p w:rsidR="0022538C" w:rsidRDefault="0030286F" w:rsidP="0030286F">
      <w:pPr>
        <w:pStyle w:val="H1G"/>
      </w:pPr>
      <w:r>
        <w:tab/>
      </w:r>
      <w:r>
        <w:tab/>
      </w:r>
      <w:r w:rsidR="0022538C">
        <w:t>Introduction</w:t>
      </w:r>
    </w:p>
    <w:p w:rsidR="0022538C" w:rsidRDefault="00C07B82" w:rsidP="0030286F">
      <w:pPr>
        <w:pStyle w:val="SingleTxtG"/>
      </w:pPr>
      <w:r>
        <w:t>During</w:t>
      </w:r>
      <w:r w:rsidR="0022538C" w:rsidRPr="00D6683B">
        <w:t xml:space="preserve"> its work dealing with the question, which “civil engineering structures” should be </w:t>
      </w:r>
      <w:r w:rsidR="009F06DD" w:rsidRPr="00D6683B">
        <w:t xml:space="preserve">considered for the application of subsections 7.1.5.4 and 7.2.5.4 ADN, the </w:t>
      </w:r>
      <w:proofErr w:type="spellStart"/>
      <w:r w:rsidR="009F06DD" w:rsidRPr="00D6683B">
        <w:t>german</w:t>
      </w:r>
      <w:proofErr w:type="spellEnd"/>
      <w:r w:rsidR="009F06DD" w:rsidRPr="00D6683B">
        <w:t xml:space="preserve"> delegation identified several </w:t>
      </w:r>
      <w:r w:rsidR="00D6683B">
        <w:t>differences</w:t>
      </w:r>
      <w:r w:rsidR="009F06DD" w:rsidRPr="00D6683B">
        <w:t xml:space="preserve"> between the French, English and German version of these subsections. Some of them imply diverging </w:t>
      </w:r>
      <w:r w:rsidR="00D6683B" w:rsidRPr="00D6683B">
        <w:t>provisions.</w:t>
      </w:r>
      <w:r w:rsidR="00876C15" w:rsidRPr="00876C15">
        <w:t xml:space="preserve"> </w:t>
      </w:r>
      <w:r w:rsidR="00876C15">
        <w:t>For the time being, the Russian version could not be checked. Germany likes kindly to ask the Russian speaking delegations for their editorial support.</w:t>
      </w:r>
    </w:p>
    <w:p w:rsidR="009E58AD" w:rsidRDefault="0030286F" w:rsidP="0030286F">
      <w:pPr>
        <w:pStyle w:val="H1G"/>
      </w:pPr>
      <w:r>
        <w:tab/>
      </w:r>
      <w:r>
        <w:tab/>
      </w:r>
      <w:r w:rsidR="009E58AD">
        <w:t>Proposal</w:t>
      </w:r>
    </w:p>
    <w:p w:rsidR="009E58AD" w:rsidRPr="008B0A88" w:rsidRDefault="009E58AD" w:rsidP="0030286F">
      <w:pPr>
        <w:pStyle w:val="SingleTxtG"/>
      </w:pPr>
      <w:r w:rsidRPr="008B0A88">
        <w:t xml:space="preserve">Germany likes to propose the following corrections </w:t>
      </w:r>
      <w:r w:rsidR="00DB7BA3">
        <w:t xml:space="preserve">and alignments </w:t>
      </w:r>
      <w:r w:rsidRPr="008B0A88">
        <w:t>in the several language versions of subsections 7.1.5.4 and 7.2.5.4</w:t>
      </w:r>
      <w:r w:rsidR="008B0A88" w:rsidRPr="008B0A88">
        <w:t>, effective with the ADN 2017</w:t>
      </w:r>
      <w:r w:rsidR="00DB7BA3">
        <w:t xml:space="preserve"> </w:t>
      </w:r>
      <w:r w:rsidR="008B0A88" w:rsidRPr="008B0A88">
        <w:t>(to avoid addition</w:t>
      </w:r>
      <w:r w:rsidR="00622103">
        <w:t>al</w:t>
      </w:r>
      <w:r w:rsidR="008B0A88" w:rsidRPr="008B0A88">
        <w:t xml:space="preserve"> work load by publishing corrections in 2016)</w:t>
      </w:r>
      <w:r w:rsidR="008B0A88">
        <w:t>.</w:t>
      </w:r>
      <w:r w:rsidR="00C07B82">
        <w:t xml:space="preserv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7"/>
        <w:gridCol w:w="2143"/>
        <w:gridCol w:w="2175"/>
        <w:gridCol w:w="2235"/>
      </w:tblGrid>
      <w:tr w:rsidR="009E58AD" w:rsidRPr="0030286F" w:rsidTr="0030286F">
        <w:tc>
          <w:tcPr>
            <w:tcW w:w="1026" w:type="dxa"/>
            <w:tcBorders>
              <w:top w:val="single" w:sz="4" w:space="0" w:color="auto"/>
              <w:bottom w:val="single" w:sz="4" w:space="0" w:color="auto"/>
            </w:tcBorders>
            <w:shd w:val="clear" w:color="auto" w:fill="auto"/>
            <w:vAlign w:val="bottom"/>
          </w:tcPr>
          <w:p w:rsidR="009E58AD" w:rsidRPr="0030286F" w:rsidRDefault="009E58AD" w:rsidP="0030286F">
            <w:pPr>
              <w:spacing w:before="80" w:after="80" w:line="200" w:lineRule="exact"/>
              <w:ind w:right="113"/>
              <w:rPr>
                <w:rFonts w:ascii="Times New Roman" w:hAnsi="Times New Roman"/>
                <w:sz w:val="20"/>
                <w:szCs w:val="20"/>
              </w:rPr>
            </w:pPr>
            <w:r w:rsidRPr="0030286F">
              <w:rPr>
                <w:rFonts w:ascii="Times New Roman" w:hAnsi="Times New Roman"/>
                <w:sz w:val="20"/>
                <w:szCs w:val="20"/>
              </w:rPr>
              <w:t>7.1.5.4.3</w:t>
            </w:r>
          </w:p>
        </w:tc>
        <w:tc>
          <w:tcPr>
            <w:tcW w:w="2702" w:type="dxa"/>
            <w:tcBorders>
              <w:top w:val="single" w:sz="4" w:space="0" w:color="auto"/>
              <w:bottom w:val="single" w:sz="4" w:space="0" w:color="auto"/>
            </w:tcBorders>
            <w:shd w:val="clear" w:color="auto" w:fill="auto"/>
            <w:vAlign w:val="bottom"/>
          </w:tcPr>
          <w:p w:rsidR="009E58AD" w:rsidRDefault="009E58AD" w:rsidP="0030286F">
            <w:pPr>
              <w:spacing w:before="80" w:after="80" w:line="200" w:lineRule="exact"/>
              <w:ind w:right="113"/>
              <w:rPr>
                <w:rFonts w:ascii="Times New Roman" w:hAnsi="Times New Roman"/>
                <w:sz w:val="20"/>
                <w:szCs w:val="20"/>
                <w:lang w:val="en-US"/>
              </w:rPr>
            </w:pPr>
            <w:r w:rsidRPr="0030286F">
              <w:rPr>
                <w:rFonts w:ascii="Times New Roman" w:hAnsi="Times New Roman"/>
                <w:sz w:val="20"/>
                <w:szCs w:val="20"/>
                <w:lang w:val="en-US"/>
              </w:rPr>
              <w:t>Outside the berthing areas specifically designated by the competent authority, the distances to be kept by berthed vessels shall not be less than:</w:t>
            </w:r>
          </w:p>
          <w:p w:rsidR="0030286F" w:rsidRDefault="0030286F" w:rsidP="0030286F">
            <w:pPr>
              <w:spacing w:before="80" w:after="80" w:line="200" w:lineRule="exact"/>
              <w:ind w:right="113"/>
              <w:rPr>
                <w:rFonts w:ascii="Times New Roman" w:hAnsi="Times New Roman"/>
                <w:sz w:val="20"/>
                <w:szCs w:val="20"/>
                <w:lang w:val="en-US"/>
              </w:rPr>
            </w:pPr>
          </w:p>
          <w:p w:rsidR="0030286F" w:rsidRPr="0030286F" w:rsidRDefault="0030286F" w:rsidP="0030286F">
            <w:pPr>
              <w:spacing w:before="80" w:after="80" w:line="200" w:lineRule="exact"/>
              <w:ind w:right="113"/>
              <w:rPr>
                <w:rFonts w:ascii="Times New Roman" w:hAnsi="Times New Roman"/>
                <w:sz w:val="20"/>
                <w:szCs w:val="20"/>
                <w:lang w:val="en-US"/>
              </w:rPr>
            </w:pPr>
          </w:p>
          <w:p w:rsidR="009E58AD" w:rsidRPr="0030286F" w:rsidRDefault="009E58AD" w:rsidP="0030286F">
            <w:pPr>
              <w:spacing w:before="80" w:after="80" w:line="200" w:lineRule="exact"/>
              <w:ind w:right="113"/>
              <w:rPr>
                <w:rFonts w:ascii="Times New Roman" w:hAnsi="Times New Roman"/>
                <w:sz w:val="20"/>
                <w:szCs w:val="20"/>
                <w:lang w:val="en-US"/>
              </w:rPr>
            </w:pPr>
            <w:r w:rsidRPr="0030286F">
              <w:rPr>
                <w:rFonts w:ascii="Times New Roman" w:hAnsi="Times New Roman"/>
                <w:sz w:val="20"/>
                <w:szCs w:val="20"/>
                <w:lang w:val="en-US"/>
              </w:rPr>
              <w:t>–</w:t>
            </w:r>
            <w:r w:rsidRPr="0030286F">
              <w:rPr>
                <w:rFonts w:ascii="Times New Roman" w:hAnsi="Times New Roman"/>
                <w:sz w:val="20"/>
                <w:szCs w:val="20"/>
                <w:lang w:val="en-US"/>
              </w:rPr>
              <w:tab/>
              <w:t xml:space="preserve">100 m from residential areas, civil </w:t>
            </w:r>
            <w:r w:rsidRPr="0030286F">
              <w:rPr>
                <w:rFonts w:ascii="Times New Roman" w:hAnsi="Times New Roman"/>
                <w:sz w:val="20"/>
                <w:szCs w:val="20"/>
                <w:lang w:val="en-US"/>
              </w:rPr>
              <w:lastRenderedPageBreak/>
              <w:t>engineering structures or storage tanks, if the vessel is required to be marked with one blue cone or one blue light in accordance with the requirements of column (12) of Table A of Chapter 3.2;</w:t>
            </w:r>
          </w:p>
          <w:p w:rsidR="009E58AD" w:rsidRPr="0030286F" w:rsidRDefault="009E58AD" w:rsidP="0030286F">
            <w:pPr>
              <w:spacing w:before="80" w:after="80" w:line="200" w:lineRule="exact"/>
              <w:ind w:right="113"/>
              <w:rPr>
                <w:rFonts w:ascii="Times New Roman" w:hAnsi="Times New Roman"/>
                <w:sz w:val="20"/>
                <w:szCs w:val="20"/>
                <w:lang w:val="en-US"/>
              </w:rPr>
            </w:pPr>
          </w:p>
          <w:p w:rsidR="009E58AD" w:rsidRPr="0030286F" w:rsidRDefault="009E58AD" w:rsidP="0030286F">
            <w:pPr>
              <w:spacing w:before="80" w:after="80" w:line="200" w:lineRule="exact"/>
              <w:ind w:right="113"/>
              <w:rPr>
                <w:rFonts w:ascii="Times New Roman" w:hAnsi="Times New Roman"/>
                <w:sz w:val="20"/>
                <w:szCs w:val="20"/>
                <w:lang w:val="en-US"/>
              </w:rPr>
            </w:pPr>
            <w:r w:rsidRPr="0030286F">
              <w:rPr>
                <w:rFonts w:ascii="Times New Roman" w:hAnsi="Times New Roman"/>
                <w:sz w:val="20"/>
                <w:szCs w:val="20"/>
                <w:lang w:val="en-US"/>
              </w:rPr>
              <w:t>–</w:t>
            </w:r>
            <w:r w:rsidRPr="0030286F">
              <w:rPr>
                <w:rFonts w:ascii="Times New Roman" w:hAnsi="Times New Roman"/>
                <w:sz w:val="20"/>
                <w:szCs w:val="20"/>
                <w:lang w:val="en-US"/>
              </w:rPr>
              <w:tab/>
              <w:t>100 m from civil engineering structures and storage tanks and 300 m from residential areas if the vessel is required to be marked with two blue cones or two blue lights in accordance with the requirements of column (12) of Table A of Chapter 3.2;</w:t>
            </w:r>
          </w:p>
          <w:p w:rsidR="009E58AD" w:rsidRPr="0030286F" w:rsidRDefault="009E58AD" w:rsidP="0030286F">
            <w:pPr>
              <w:spacing w:before="80" w:after="80" w:line="200" w:lineRule="exact"/>
              <w:ind w:right="113"/>
              <w:rPr>
                <w:rFonts w:ascii="Times New Roman" w:hAnsi="Times New Roman"/>
                <w:sz w:val="20"/>
                <w:szCs w:val="20"/>
                <w:lang w:val="en-US"/>
              </w:rPr>
            </w:pPr>
          </w:p>
          <w:p w:rsidR="009E58AD" w:rsidRPr="0030286F" w:rsidRDefault="009E58AD" w:rsidP="0030286F">
            <w:pPr>
              <w:pStyle w:val="ListParagraph"/>
              <w:numPr>
                <w:ilvl w:val="0"/>
                <w:numId w:val="5"/>
              </w:numPr>
              <w:spacing w:before="80" w:after="80" w:line="200" w:lineRule="exact"/>
              <w:ind w:left="0" w:right="113" w:firstLine="0"/>
              <w:rPr>
                <w:rFonts w:ascii="Times New Roman" w:hAnsi="Times New Roman"/>
                <w:sz w:val="20"/>
                <w:szCs w:val="20"/>
                <w:lang w:val="en-US"/>
              </w:rPr>
            </w:pPr>
            <w:r w:rsidRPr="0030286F">
              <w:rPr>
                <w:rFonts w:ascii="Times New Roman" w:hAnsi="Times New Roman"/>
                <w:sz w:val="20"/>
                <w:szCs w:val="20"/>
                <w:lang w:val="en-US"/>
              </w:rPr>
              <w:t>500 m from residential areas, civil engineering structures and storage tanks holding gas or flammable liquids if the vessel is required to be marked with three blue cones or three blue lights in accordance with the requirements of column (12) of Table A of Chapter 3.2.</w:t>
            </w:r>
          </w:p>
        </w:tc>
        <w:tc>
          <w:tcPr>
            <w:tcW w:w="2742" w:type="dxa"/>
            <w:tcBorders>
              <w:top w:val="single" w:sz="4" w:space="0" w:color="auto"/>
              <w:bottom w:val="single" w:sz="4" w:space="0" w:color="auto"/>
            </w:tcBorders>
            <w:shd w:val="clear" w:color="auto" w:fill="auto"/>
            <w:vAlign w:val="bottom"/>
          </w:tcPr>
          <w:p w:rsidR="009E58AD" w:rsidRDefault="009E58AD" w:rsidP="0030286F">
            <w:pPr>
              <w:spacing w:before="80" w:after="80" w:line="200" w:lineRule="exact"/>
              <w:ind w:right="113"/>
              <w:rPr>
                <w:rFonts w:ascii="Times New Roman" w:hAnsi="Times New Roman"/>
                <w:sz w:val="20"/>
                <w:szCs w:val="20"/>
                <w:lang w:val="fr-FR"/>
              </w:rPr>
            </w:pPr>
            <w:r w:rsidRPr="0030286F">
              <w:rPr>
                <w:rFonts w:ascii="Times New Roman" w:hAnsi="Times New Roman"/>
                <w:sz w:val="20"/>
                <w:szCs w:val="20"/>
                <w:lang w:val="fr-FR"/>
              </w:rPr>
              <w:lastRenderedPageBreak/>
              <w:t xml:space="preserve">En dehors des zones de stationnement </w:t>
            </w:r>
            <w:proofErr w:type="spellStart"/>
            <w:r w:rsidRPr="0030286F">
              <w:rPr>
                <w:rFonts w:ascii="Times New Roman" w:hAnsi="Times New Roman"/>
                <w:sz w:val="20"/>
                <w:szCs w:val="20"/>
                <w:u w:val="single"/>
                <w:lang w:val="fr-FR"/>
              </w:rPr>
              <w:t>specialement</w:t>
            </w:r>
            <w:proofErr w:type="spellEnd"/>
            <w:r w:rsidRPr="0030286F">
              <w:rPr>
                <w:rFonts w:ascii="Times New Roman" w:hAnsi="Times New Roman"/>
                <w:sz w:val="20"/>
                <w:szCs w:val="20"/>
                <w:lang w:val="fr-FR"/>
              </w:rPr>
              <w:t xml:space="preserve"> indiquées par l'autorité compétente, les bateaux ne doivent pas stationner à moins de :</w:t>
            </w:r>
          </w:p>
          <w:p w:rsidR="0030286F" w:rsidRDefault="0030286F" w:rsidP="0030286F">
            <w:pPr>
              <w:spacing w:before="80" w:after="80" w:line="200" w:lineRule="exact"/>
              <w:ind w:right="113"/>
              <w:rPr>
                <w:rFonts w:ascii="Times New Roman" w:hAnsi="Times New Roman"/>
                <w:sz w:val="20"/>
                <w:szCs w:val="20"/>
                <w:lang w:val="fr-FR"/>
              </w:rPr>
            </w:pPr>
          </w:p>
          <w:p w:rsidR="0030286F" w:rsidRPr="0030286F" w:rsidRDefault="0030286F" w:rsidP="0030286F">
            <w:pPr>
              <w:spacing w:before="80" w:after="80" w:line="200" w:lineRule="exact"/>
              <w:ind w:right="113"/>
              <w:rPr>
                <w:rFonts w:ascii="Times New Roman" w:hAnsi="Times New Roman"/>
                <w:sz w:val="20"/>
                <w:szCs w:val="20"/>
                <w:lang w:val="fr-FR"/>
              </w:rPr>
            </w:pPr>
          </w:p>
          <w:p w:rsidR="009E58AD" w:rsidRPr="0030286F" w:rsidRDefault="009E58AD" w:rsidP="0030286F">
            <w:pPr>
              <w:spacing w:before="80" w:after="80" w:line="200" w:lineRule="exact"/>
              <w:ind w:right="113"/>
              <w:rPr>
                <w:rFonts w:ascii="Times New Roman" w:hAnsi="Times New Roman"/>
                <w:sz w:val="20"/>
                <w:szCs w:val="20"/>
                <w:lang w:val="fr-FR"/>
              </w:rPr>
            </w:pPr>
            <w:r w:rsidRPr="0030286F">
              <w:rPr>
                <w:rFonts w:ascii="Times New Roman" w:hAnsi="Times New Roman"/>
                <w:sz w:val="20"/>
                <w:szCs w:val="20"/>
                <w:lang w:val="fr-FR"/>
              </w:rPr>
              <w:t>–</w:t>
            </w:r>
            <w:r w:rsidRPr="0030286F">
              <w:rPr>
                <w:rFonts w:ascii="Times New Roman" w:hAnsi="Times New Roman"/>
                <w:sz w:val="20"/>
                <w:szCs w:val="20"/>
                <w:lang w:val="fr-FR"/>
              </w:rPr>
              <w:tab/>
              <w:t xml:space="preserve">100 m des zones résidentielles, ouvrages </w:t>
            </w:r>
            <w:r w:rsidRPr="0030286F">
              <w:rPr>
                <w:rFonts w:ascii="Times New Roman" w:hAnsi="Times New Roman"/>
                <w:sz w:val="20"/>
                <w:szCs w:val="20"/>
                <w:lang w:val="fr-FR"/>
              </w:rPr>
              <w:lastRenderedPageBreak/>
              <w:t>d'art ou réservoirs si le bateau doit être signalisé par un cône bleu ou un feu bleu conformément aux prescriptions de la colonne (12) du tableau A du chapitre 3.2 ;</w:t>
            </w:r>
          </w:p>
          <w:p w:rsidR="009E58AD" w:rsidRPr="0030286F" w:rsidRDefault="009E58AD" w:rsidP="0030286F">
            <w:pPr>
              <w:pStyle w:val="N4"/>
              <w:widowControl/>
              <w:tabs>
                <w:tab w:val="clear" w:pos="284"/>
                <w:tab w:val="clear" w:pos="454"/>
                <w:tab w:val="clear" w:pos="680"/>
                <w:tab w:val="clear" w:pos="1418"/>
              </w:tabs>
              <w:spacing w:before="80" w:after="80" w:line="200" w:lineRule="exact"/>
              <w:ind w:right="113"/>
              <w:jc w:val="left"/>
              <w:rPr>
                <w:sz w:val="20"/>
                <w:lang w:val="fr-FR"/>
              </w:rPr>
            </w:pPr>
          </w:p>
          <w:p w:rsidR="009E58AD" w:rsidRPr="0030286F" w:rsidRDefault="009E58AD" w:rsidP="0030286F">
            <w:pPr>
              <w:pStyle w:val="N4"/>
              <w:widowControl/>
              <w:tabs>
                <w:tab w:val="clear" w:pos="284"/>
                <w:tab w:val="clear" w:pos="454"/>
                <w:tab w:val="clear" w:pos="680"/>
                <w:tab w:val="clear" w:pos="1418"/>
              </w:tabs>
              <w:spacing w:before="80" w:after="80" w:line="200" w:lineRule="exact"/>
              <w:ind w:right="113"/>
              <w:jc w:val="left"/>
              <w:rPr>
                <w:sz w:val="20"/>
                <w:lang w:val="fr-FR"/>
              </w:rPr>
            </w:pPr>
          </w:p>
          <w:p w:rsidR="009E58AD" w:rsidRPr="0030286F" w:rsidRDefault="009E58AD" w:rsidP="0030286F">
            <w:pPr>
              <w:spacing w:before="80" w:after="80" w:line="200" w:lineRule="exact"/>
              <w:ind w:right="113"/>
              <w:rPr>
                <w:rFonts w:ascii="Times New Roman" w:hAnsi="Times New Roman"/>
                <w:sz w:val="20"/>
                <w:szCs w:val="20"/>
                <w:lang w:val="fr-FR"/>
              </w:rPr>
            </w:pPr>
            <w:r w:rsidRPr="0030286F">
              <w:rPr>
                <w:rFonts w:ascii="Times New Roman" w:hAnsi="Times New Roman"/>
                <w:sz w:val="20"/>
                <w:szCs w:val="20"/>
                <w:lang w:val="fr-FR"/>
              </w:rPr>
              <w:t>–</w:t>
            </w:r>
            <w:r w:rsidRPr="0030286F">
              <w:rPr>
                <w:rFonts w:ascii="Times New Roman" w:hAnsi="Times New Roman"/>
                <w:sz w:val="20"/>
                <w:szCs w:val="20"/>
                <w:lang w:val="fr-FR"/>
              </w:rPr>
              <w:tab/>
              <w:t>100 m des ouvrages d'art et des réservoirs, et 300 m des zones résidentielles si le bateau doit être signalisé par deux cônes bleus ou deux feux bleus conformément aux prescriptions de la colonne (12) du tableau A du chapitre 3.2 ;</w:t>
            </w:r>
          </w:p>
          <w:p w:rsidR="009E58AD" w:rsidRPr="0030286F" w:rsidRDefault="009E58AD" w:rsidP="0030286F">
            <w:pPr>
              <w:pStyle w:val="N4"/>
              <w:widowControl/>
              <w:tabs>
                <w:tab w:val="clear" w:pos="284"/>
                <w:tab w:val="clear" w:pos="454"/>
                <w:tab w:val="clear" w:pos="680"/>
                <w:tab w:val="clear" w:pos="1418"/>
              </w:tabs>
              <w:spacing w:before="80" w:after="80" w:line="200" w:lineRule="exact"/>
              <w:ind w:right="113"/>
              <w:jc w:val="left"/>
              <w:rPr>
                <w:sz w:val="20"/>
                <w:lang w:val="fr-FR"/>
              </w:rPr>
            </w:pPr>
          </w:p>
          <w:p w:rsidR="009E58AD" w:rsidRPr="0030286F" w:rsidRDefault="009E58AD" w:rsidP="0030286F">
            <w:pPr>
              <w:pStyle w:val="N4"/>
              <w:widowControl/>
              <w:tabs>
                <w:tab w:val="clear" w:pos="284"/>
                <w:tab w:val="clear" w:pos="454"/>
                <w:tab w:val="clear" w:pos="680"/>
                <w:tab w:val="clear" w:pos="1418"/>
              </w:tabs>
              <w:spacing w:before="80" w:after="80" w:line="200" w:lineRule="exact"/>
              <w:ind w:right="113"/>
              <w:jc w:val="left"/>
              <w:rPr>
                <w:sz w:val="20"/>
                <w:lang w:val="fr-FR"/>
              </w:rPr>
            </w:pPr>
          </w:p>
          <w:p w:rsidR="009E58AD" w:rsidRPr="0030286F" w:rsidRDefault="009E58AD" w:rsidP="0030286F">
            <w:pPr>
              <w:spacing w:before="80" w:after="80" w:line="200" w:lineRule="exact"/>
              <w:ind w:right="113"/>
              <w:rPr>
                <w:rFonts w:ascii="Times New Roman" w:hAnsi="Times New Roman"/>
                <w:sz w:val="20"/>
                <w:szCs w:val="20"/>
                <w:lang w:val="fr-FR"/>
              </w:rPr>
            </w:pPr>
            <w:r w:rsidRPr="0030286F">
              <w:rPr>
                <w:rFonts w:ascii="Times New Roman" w:hAnsi="Times New Roman"/>
                <w:sz w:val="20"/>
                <w:szCs w:val="20"/>
                <w:lang w:val="fr-FR"/>
              </w:rPr>
              <w:t>–</w:t>
            </w:r>
            <w:r w:rsidRPr="0030286F">
              <w:rPr>
                <w:rFonts w:ascii="Times New Roman" w:hAnsi="Times New Roman"/>
                <w:sz w:val="20"/>
                <w:szCs w:val="20"/>
                <w:lang w:val="fr-FR"/>
              </w:rPr>
              <w:tab/>
              <w:t>500 m des zones résidentielles, ouvrages d'art et réservoirs de gaz ou de liquides inflammables si le bateau doit être signalisé par trois cônes bleus ou trois feux bleus conformément aux prescriptions de la colonne (12) du tableau A du chapitre 3.2.</w:t>
            </w:r>
          </w:p>
        </w:tc>
        <w:tc>
          <w:tcPr>
            <w:tcW w:w="2818" w:type="dxa"/>
            <w:tcBorders>
              <w:top w:val="single" w:sz="4" w:space="0" w:color="auto"/>
              <w:bottom w:val="single" w:sz="4" w:space="0" w:color="auto"/>
            </w:tcBorders>
            <w:shd w:val="clear" w:color="auto" w:fill="auto"/>
            <w:vAlign w:val="bottom"/>
          </w:tcPr>
          <w:p w:rsidR="009E58AD" w:rsidRDefault="009E58AD" w:rsidP="0030286F">
            <w:pPr>
              <w:spacing w:before="80" w:after="80" w:line="200" w:lineRule="exact"/>
              <w:ind w:right="113"/>
              <w:rPr>
                <w:rFonts w:ascii="Times New Roman" w:hAnsi="Times New Roman"/>
                <w:sz w:val="20"/>
                <w:szCs w:val="20"/>
              </w:rPr>
            </w:pPr>
            <w:r w:rsidRPr="0030286F">
              <w:rPr>
                <w:rFonts w:ascii="Times New Roman" w:hAnsi="Times New Roman"/>
                <w:sz w:val="20"/>
                <w:szCs w:val="20"/>
              </w:rPr>
              <w:lastRenderedPageBreak/>
              <w:t>Außerhalb der von der zuständigen Behörde besonders angegebenen Liegeplätze darf beim Stillliegen der nachstehende Abstand nicht unterschritten werden:</w:t>
            </w:r>
          </w:p>
          <w:p w:rsidR="0030286F" w:rsidRPr="0030286F" w:rsidRDefault="0030286F" w:rsidP="0030286F">
            <w:pPr>
              <w:spacing w:before="80" w:after="80" w:line="200" w:lineRule="exact"/>
              <w:ind w:right="113"/>
              <w:rPr>
                <w:rFonts w:ascii="Times New Roman" w:hAnsi="Times New Roman"/>
                <w:sz w:val="20"/>
                <w:szCs w:val="20"/>
              </w:rPr>
            </w:pPr>
          </w:p>
          <w:p w:rsidR="009E58AD" w:rsidRPr="0030286F" w:rsidRDefault="009E58AD" w:rsidP="0030286F">
            <w:pPr>
              <w:spacing w:before="80" w:after="80" w:line="200" w:lineRule="exact"/>
              <w:ind w:right="113"/>
              <w:rPr>
                <w:rFonts w:ascii="Times New Roman" w:hAnsi="Times New Roman"/>
                <w:sz w:val="20"/>
                <w:szCs w:val="20"/>
              </w:rPr>
            </w:pPr>
            <w:r w:rsidRPr="0030286F">
              <w:rPr>
                <w:rFonts w:ascii="Times New Roman" w:hAnsi="Times New Roman"/>
                <w:sz w:val="20"/>
                <w:szCs w:val="20"/>
              </w:rPr>
              <w:t>-</w:t>
            </w:r>
            <w:r w:rsidRPr="0030286F">
              <w:rPr>
                <w:rFonts w:ascii="Times New Roman" w:hAnsi="Times New Roman"/>
                <w:sz w:val="20"/>
                <w:szCs w:val="20"/>
              </w:rPr>
              <w:tab/>
              <w:t xml:space="preserve">100 m von </w:t>
            </w:r>
            <w:r w:rsidRPr="0030286F">
              <w:rPr>
                <w:rFonts w:ascii="Times New Roman" w:hAnsi="Times New Roman"/>
                <w:strike/>
                <w:sz w:val="20"/>
                <w:szCs w:val="20"/>
              </w:rPr>
              <w:t>geschlossenen</w:t>
            </w:r>
            <w:r w:rsidRPr="0030286F">
              <w:rPr>
                <w:rFonts w:ascii="Times New Roman" w:hAnsi="Times New Roman"/>
                <w:sz w:val="20"/>
                <w:szCs w:val="20"/>
              </w:rPr>
              <w:t xml:space="preserve"> Wohngebieten, </w:t>
            </w:r>
            <w:r w:rsidRPr="0030286F">
              <w:rPr>
                <w:rFonts w:ascii="Times New Roman" w:hAnsi="Times New Roman"/>
                <w:sz w:val="20"/>
                <w:szCs w:val="20"/>
              </w:rPr>
              <w:lastRenderedPageBreak/>
              <w:t>Ingenieurbauwerken und Tanklagern, wenn das Schiff nach Kapitel 3.2 Tabelle A Spalte (12) eine Bezeichnung mit einem blauen Kegel oder einem blauen Licht führen muss,</w:t>
            </w:r>
          </w:p>
          <w:p w:rsidR="009E58AD" w:rsidRPr="0030286F" w:rsidRDefault="009E58AD" w:rsidP="0030286F">
            <w:pPr>
              <w:spacing w:before="80" w:after="80" w:line="200" w:lineRule="exact"/>
              <w:ind w:right="113"/>
              <w:rPr>
                <w:rFonts w:ascii="Times New Roman" w:hAnsi="Times New Roman"/>
                <w:sz w:val="20"/>
                <w:szCs w:val="20"/>
              </w:rPr>
            </w:pPr>
          </w:p>
          <w:p w:rsidR="009E58AD" w:rsidRPr="0030286F" w:rsidRDefault="009E58AD" w:rsidP="0030286F">
            <w:pPr>
              <w:spacing w:before="80" w:after="80" w:line="200" w:lineRule="exact"/>
              <w:ind w:right="113"/>
              <w:rPr>
                <w:rFonts w:ascii="Times New Roman" w:hAnsi="Times New Roman"/>
                <w:sz w:val="20"/>
                <w:szCs w:val="20"/>
              </w:rPr>
            </w:pPr>
            <w:r w:rsidRPr="0030286F">
              <w:rPr>
                <w:rFonts w:ascii="Times New Roman" w:hAnsi="Times New Roman"/>
                <w:sz w:val="20"/>
                <w:szCs w:val="20"/>
              </w:rPr>
              <w:t>-</w:t>
            </w:r>
            <w:r w:rsidRPr="0030286F">
              <w:rPr>
                <w:rFonts w:ascii="Times New Roman" w:hAnsi="Times New Roman"/>
                <w:sz w:val="20"/>
                <w:szCs w:val="20"/>
              </w:rPr>
              <w:tab/>
              <w:t xml:space="preserve">100 m von Ingenieurbauwerken und Tanklagern und 300 m von </w:t>
            </w:r>
            <w:r w:rsidRPr="0030286F">
              <w:rPr>
                <w:rFonts w:ascii="Times New Roman" w:hAnsi="Times New Roman"/>
                <w:strike/>
                <w:sz w:val="20"/>
                <w:szCs w:val="20"/>
              </w:rPr>
              <w:t>geschlossenen</w:t>
            </w:r>
            <w:r w:rsidRPr="0030286F">
              <w:rPr>
                <w:rFonts w:ascii="Times New Roman" w:hAnsi="Times New Roman"/>
                <w:sz w:val="20"/>
                <w:szCs w:val="20"/>
              </w:rPr>
              <w:t xml:space="preserve"> Wohngebieten, wenn das Schiff nach Kapitel 3.2 Tabelle A Spalte (12) eine Bezeichnung mit zwei blauen Kegeln oder zwei blauen Lichtern führen muss,</w:t>
            </w:r>
          </w:p>
          <w:p w:rsidR="009E58AD" w:rsidRDefault="009E58AD" w:rsidP="0030286F">
            <w:pPr>
              <w:spacing w:before="80" w:after="80" w:line="200" w:lineRule="exact"/>
              <w:ind w:right="113"/>
              <w:rPr>
                <w:rFonts w:ascii="Times New Roman" w:hAnsi="Times New Roman"/>
                <w:sz w:val="20"/>
                <w:szCs w:val="20"/>
              </w:rPr>
            </w:pPr>
          </w:p>
          <w:p w:rsidR="0030286F" w:rsidRDefault="0030286F" w:rsidP="0030286F">
            <w:pPr>
              <w:spacing w:before="80" w:after="80" w:line="200" w:lineRule="exact"/>
              <w:ind w:right="113"/>
              <w:rPr>
                <w:rFonts w:ascii="Times New Roman" w:hAnsi="Times New Roman"/>
                <w:sz w:val="20"/>
                <w:szCs w:val="20"/>
              </w:rPr>
            </w:pPr>
          </w:p>
          <w:p w:rsidR="0030286F" w:rsidRPr="0030286F" w:rsidRDefault="0030286F" w:rsidP="0030286F">
            <w:pPr>
              <w:spacing w:before="80" w:after="80" w:line="200" w:lineRule="exact"/>
              <w:ind w:right="113"/>
              <w:rPr>
                <w:rFonts w:ascii="Times New Roman" w:hAnsi="Times New Roman"/>
                <w:sz w:val="20"/>
                <w:szCs w:val="20"/>
              </w:rPr>
            </w:pPr>
          </w:p>
          <w:p w:rsidR="009E58AD" w:rsidRPr="0030286F" w:rsidRDefault="009E58AD" w:rsidP="0030286F">
            <w:pPr>
              <w:spacing w:before="80" w:after="80" w:line="200" w:lineRule="exact"/>
              <w:ind w:right="113"/>
              <w:rPr>
                <w:rFonts w:ascii="Times New Roman" w:hAnsi="Times New Roman"/>
                <w:sz w:val="20"/>
                <w:szCs w:val="20"/>
              </w:rPr>
            </w:pPr>
            <w:r w:rsidRPr="0030286F">
              <w:rPr>
                <w:rFonts w:ascii="Times New Roman" w:hAnsi="Times New Roman"/>
                <w:sz w:val="20"/>
                <w:szCs w:val="20"/>
              </w:rPr>
              <w:t>-</w:t>
            </w:r>
            <w:r w:rsidRPr="0030286F">
              <w:rPr>
                <w:rFonts w:ascii="Times New Roman" w:hAnsi="Times New Roman"/>
                <w:sz w:val="20"/>
                <w:szCs w:val="20"/>
              </w:rPr>
              <w:tab/>
              <w:t xml:space="preserve">500 m von </w:t>
            </w:r>
            <w:r w:rsidRPr="0030286F">
              <w:rPr>
                <w:rFonts w:ascii="Times New Roman" w:hAnsi="Times New Roman"/>
                <w:strike/>
                <w:sz w:val="20"/>
                <w:szCs w:val="20"/>
              </w:rPr>
              <w:t>geschlossenen</w:t>
            </w:r>
            <w:r w:rsidRPr="0030286F">
              <w:rPr>
                <w:rFonts w:ascii="Times New Roman" w:hAnsi="Times New Roman"/>
                <w:sz w:val="20"/>
                <w:szCs w:val="20"/>
              </w:rPr>
              <w:t xml:space="preserve"> Wohngebieten, Ingenieurbauwerken und Tanklagern, wenn das Schiff nach Kapitel 3.2 Tabelle A Spalte (12) eine Bezeichnung mit drei blauen Kegeln oder drei blauen Lichtern führen muss.</w:t>
            </w:r>
          </w:p>
          <w:p w:rsidR="009E58AD" w:rsidRPr="0030286F" w:rsidRDefault="009E58AD" w:rsidP="0030286F">
            <w:pPr>
              <w:spacing w:before="80" w:after="80" w:line="200" w:lineRule="exact"/>
              <w:ind w:right="113"/>
              <w:rPr>
                <w:rFonts w:ascii="Times New Roman" w:hAnsi="Times New Roman"/>
                <w:sz w:val="20"/>
                <w:szCs w:val="20"/>
              </w:rPr>
            </w:pPr>
          </w:p>
        </w:tc>
      </w:tr>
      <w:tr w:rsidR="009E58AD" w:rsidRPr="0030286F" w:rsidTr="0030286F">
        <w:tc>
          <w:tcPr>
            <w:tcW w:w="1026" w:type="dxa"/>
            <w:tcBorders>
              <w:top w:val="single" w:sz="4" w:space="0" w:color="auto"/>
              <w:bottom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p>
        </w:tc>
        <w:tc>
          <w:tcPr>
            <w:tcW w:w="2702" w:type="dxa"/>
            <w:tcBorders>
              <w:top w:val="single" w:sz="4" w:space="0" w:color="auto"/>
              <w:bottom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 xml:space="preserve">While waiting in front of locks or bridges, vessels are allowed to keep distances </w:t>
            </w:r>
            <w:r w:rsidRPr="0030286F">
              <w:rPr>
                <w:rFonts w:ascii="Times New Roman" w:hAnsi="Times New Roman"/>
                <w:strike/>
                <w:sz w:val="20"/>
                <w:szCs w:val="22"/>
                <w:lang w:val="en-US"/>
              </w:rPr>
              <w:t>different from and lower</w:t>
            </w:r>
            <w:r w:rsidRPr="0030286F">
              <w:rPr>
                <w:rFonts w:ascii="Times New Roman" w:hAnsi="Times New Roman"/>
                <w:sz w:val="20"/>
                <w:szCs w:val="22"/>
                <w:lang w:val="en-US"/>
              </w:rPr>
              <w:t xml:space="preserve"> </w:t>
            </w:r>
            <w:r w:rsidRPr="0030286F">
              <w:rPr>
                <w:rFonts w:ascii="Times New Roman" w:hAnsi="Times New Roman"/>
                <w:sz w:val="20"/>
                <w:szCs w:val="22"/>
                <w:u w:val="single"/>
                <w:lang w:val="en-US"/>
              </w:rPr>
              <w:t>less</w:t>
            </w:r>
            <w:r w:rsidRPr="0030286F">
              <w:rPr>
                <w:rFonts w:ascii="Times New Roman" w:hAnsi="Times New Roman"/>
                <w:sz w:val="20"/>
                <w:szCs w:val="22"/>
                <w:lang w:val="en-US"/>
              </w:rPr>
              <w:t xml:space="preserve"> than those given above. </w:t>
            </w:r>
            <w:proofErr w:type="gramStart"/>
            <w:r w:rsidRPr="0030286F">
              <w:rPr>
                <w:rFonts w:ascii="Times New Roman" w:hAnsi="Times New Roman"/>
                <w:sz w:val="20"/>
                <w:szCs w:val="22"/>
                <w:lang w:val="en-US"/>
              </w:rPr>
              <w:t>distances</w:t>
            </w:r>
            <w:proofErr w:type="gramEnd"/>
            <w:r w:rsidRPr="0030286F">
              <w:rPr>
                <w:rFonts w:ascii="Times New Roman" w:hAnsi="Times New Roman"/>
                <w:sz w:val="20"/>
                <w:szCs w:val="22"/>
                <w:lang w:val="en-US"/>
              </w:rPr>
              <w:t xml:space="preserve"> those given above. </w:t>
            </w:r>
          </w:p>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In no case shall the distance be less than 100 m.</w:t>
            </w:r>
          </w:p>
          <w:p w:rsidR="009E58AD" w:rsidRPr="0030286F" w:rsidRDefault="009E58AD" w:rsidP="0030286F">
            <w:pPr>
              <w:spacing w:before="40" w:after="120" w:line="220" w:lineRule="exact"/>
              <w:ind w:right="113"/>
              <w:rPr>
                <w:rFonts w:ascii="Times New Roman" w:hAnsi="Times New Roman"/>
                <w:sz w:val="20"/>
                <w:szCs w:val="22"/>
                <w:lang w:val="en-US"/>
              </w:rPr>
            </w:pPr>
          </w:p>
        </w:tc>
        <w:tc>
          <w:tcPr>
            <w:tcW w:w="2742" w:type="dxa"/>
            <w:tcBorders>
              <w:top w:val="single" w:sz="4" w:space="0" w:color="auto"/>
              <w:bottom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 xml:space="preserve">Des distances inférieures à celles indiquées </w:t>
            </w:r>
            <w:proofErr w:type="spellStart"/>
            <w:r w:rsidRPr="0030286F">
              <w:rPr>
                <w:rFonts w:ascii="Times New Roman" w:hAnsi="Times New Roman"/>
                <w:sz w:val="20"/>
                <w:szCs w:val="22"/>
                <w:lang w:val="fr-FR"/>
              </w:rPr>
              <w:t>ci­dessus</w:t>
            </w:r>
            <w:proofErr w:type="spellEnd"/>
            <w:r w:rsidRPr="0030286F">
              <w:rPr>
                <w:rFonts w:ascii="Times New Roman" w:hAnsi="Times New Roman"/>
                <w:sz w:val="20"/>
                <w:szCs w:val="22"/>
                <w:lang w:val="fr-FR"/>
              </w:rPr>
              <w:t xml:space="preserve"> peuvent être autorisées si les bateaux sont en attente devant des écluses ou des ponts. Cette distance ne doit en aucun cas être inférieure à 100 m.</w:t>
            </w:r>
          </w:p>
          <w:p w:rsidR="009E58AD" w:rsidRPr="0030286F" w:rsidRDefault="009E58AD" w:rsidP="0030286F">
            <w:pPr>
              <w:spacing w:before="40" w:after="120" w:line="220" w:lineRule="exact"/>
              <w:ind w:right="113"/>
              <w:rPr>
                <w:rFonts w:ascii="Times New Roman" w:hAnsi="Times New Roman"/>
                <w:sz w:val="20"/>
                <w:szCs w:val="22"/>
                <w:lang w:val="fr-FR"/>
              </w:rPr>
            </w:pPr>
          </w:p>
        </w:tc>
        <w:tc>
          <w:tcPr>
            <w:tcW w:w="2818" w:type="dxa"/>
            <w:tcBorders>
              <w:top w:val="single" w:sz="4" w:space="0" w:color="auto"/>
              <w:bottom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 xml:space="preserve">Während des Wartens vor Schleusen oder Brücken </w:t>
            </w:r>
            <w:r w:rsidRPr="0030286F">
              <w:rPr>
                <w:rFonts w:ascii="Times New Roman" w:hAnsi="Times New Roman"/>
                <w:strike/>
                <w:sz w:val="20"/>
                <w:szCs w:val="22"/>
              </w:rPr>
              <w:t>können geringere Abstände als die oben genannten zugelassen werden</w:t>
            </w:r>
            <w:r w:rsidRPr="0030286F">
              <w:rPr>
                <w:rFonts w:ascii="Times New Roman" w:hAnsi="Times New Roman"/>
                <w:sz w:val="20"/>
                <w:szCs w:val="22"/>
                <w:u w:val="single"/>
              </w:rPr>
              <w:t xml:space="preserve"> ist es zulässig, geringere Abstände einzuhalten.</w:t>
            </w:r>
          </w:p>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u w:val="single"/>
              </w:rPr>
              <w:t>In diesen Fällen gilt jedoch ein Mindestabstand von 100 m.</w:t>
            </w:r>
          </w:p>
        </w:tc>
      </w:tr>
      <w:tr w:rsidR="009E58AD" w:rsidRPr="0030286F" w:rsidTr="0030286F">
        <w:tc>
          <w:tcPr>
            <w:tcW w:w="1026" w:type="dxa"/>
            <w:tcBorders>
              <w:top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7.1.5.4.4</w:t>
            </w:r>
          </w:p>
        </w:tc>
        <w:tc>
          <w:tcPr>
            <w:tcW w:w="2702" w:type="dxa"/>
            <w:tcBorders>
              <w:top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 xml:space="preserve">The competent authority may </w:t>
            </w:r>
            <w:hyperlink r:id="rId7" w:anchor="/search=in&amp;searchLoc=0&amp;resultOrder=basic&amp;multiwordShowSingle=on" w:history="1">
              <w:r w:rsidRPr="0030286F">
                <w:rPr>
                  <w:rFonts w:ascii="Times New Roman" w:hAnsi="Times New Roman"/>
                  <w:sz w:val="20"/>
                  <w:szCs w:val="22"/>
                  <w:u w:val="single"/>
                  <w:lang w:val="en-US"/>
                </w:rPr>
                <w:t>in</w:t>
              </w:r>
            </w:hyperlink>
            <w:r w:rsidRPr="0030286F">
              <w:rPr>
                <w:rFonts w:ascii="Times New Roman" w:hAnsi="Times New Roman"/>
                <w:sz w:val="20"/>
                <w:szCs w:val="22"/>
                <w:u w:val="single"/>
                <w:lang w:val="en-US"/>
              </w:rPr>
              <w:t xml:space="preserve"> </w:t>
            </w:r>
            <w:hyperlink r:id="rId8" w:anchor="/search=consideration&amp;searchLoc=0&amp;resultOrder=basic&amp;multiwordShowSingle=on" w:history="1">
              <w:r w:rsidRPr="0030286F">
                <w:rPr>
                  <w:rFonts w:ascii="Times New Roman" w:hAnsi="Times New Roman"/>
                  <w:sz w:val="20"/>
                  <w:szCs w:val="22"/>
                  <w:u w:val="single"/>
                  <w:lang w:val="en-US"/>
                </w:rPr>
                <w:t>consideration</w:t>
              </w:r>
            </w:hyperlink>
            <w:r w:rsidRPr="0030286F">
              <w:rPr>
                <w:rFonts w:ascii="Times New Roman" w:hAnsi="Times New Roman"/>
                <w:sz w:val="20"/>
                <w:szCs w:val="22"/>
                <w:u w:val="single"/>
                <w:lang w:val="en-US"/>
              </w:rPr>
              <w:t xml:space="preserve"> </w:t>
            </w:r>
            <w:hyperlink r:id="rId9" w:anchor="/search=of&amp;searchLoc=0&amp;resultOrder=basic&amp;multiwordShowSingle=on" w:history="1">
              <w:r w:rsidRPr="0030286F">
                <w:rPr>
                  <w:rFonts w:ascii="Times New Roman" w:hAnsi="Times New Roman"/>
                  <w:sz w:val="20"/>
                  <w:szCs w:val="22"/>
                  <w:u w:val="single"/>
                  <w:lang w:val="en-US"/>
                </w:rPr>
                <w:t>of</w:t>
              </w:r>
            </w:hyperlink>
            <w:r w:rsidRPr="0030286F">
              <w:rPr>
                <w:rFonts w:ascii="Times New Roman" w:hAnsi="Times New Roman"/>
                <w:sz w:val="20"/>
                <w:szCs w:val="22"/>
                <w:u w:val="single"/>
                <w:lang w:val="en-US"/>
              </w:rPr>
              <w:t xml:space="preserve"> </w:t>
            </w:r>
            <w:hyperlink r:id="rId10" w:anchor="/search=the&amp;searchLoc=0&amp;resultOrder=basic&amp;multiwordShowSingle=on" w:history="1">
              <w:r w:rsidRPr="0030286F">
                <w:rPr>
                  <w:rFonts w:ascii="Times New Roman" w:hAnsi="Times New Roman"/>
                  <w:sz w:val="20"/>
                  <w:szCs w:val="22"/>
                  <w:u w:val="single"/>
                  <w:lang w:val="en-US"/>
                </w:rPr>
                <w:t>the</w:t>
              </w:r>
            </w:hyperlink>
            <w:r w:rsidRPr="0030286F">
              <w:rPr>
                <w:rFonts w:ascii="Times New Roman" w:hAnsi="Times New Roman"/>
                <w:sz w:val="20"/>
                <w:szCs w:val="22"/>
                <w:u w:val="single"/>
                <w:lang w:val="en-US"/>
              </w:rPr>
              <w:t xml:space="preserve"> local </w:t>
            </w:r>
            <w:hyperlink r:id="rId11" w:anchor="/search=circumstances&amp;searchLoc=0&amp;resultOrder=basic&amp;multiwordShowSingle=on" w:history="1">
              <w:r w:rsidRPr="0030286F">
                <w:rPr>
                  <w:rFonts w:ascii="Times New Roman" w:hAnsi="Times New Roman"/>
                  <w:sz w:val="20"/>
                  <w:szCs w:val="22"/>
                  <w:u w:val="single"/>
                  <w:lang w:val="en-US"/>
                </w:rPr>
                <w:t>circumstances</w:t>
              </w:r>
            </w:hyperlink>
            <w:r w:rsidRPr="0030286F">
              <w:rPr>
                <w:rFonts w:ascii="Times New Roman" w:hAnsi="Times New Roman"/>
                <w:sz w:val="20"/>
                <w:szCs w:val="22"/>
                <w:u w:val="single"/>
                <w:lang w:val="en-US"/>
              </w:rPr>
              <w:t xml:space="preserve"> </w:t>
            </w:r>
            <w:r w:rsidRPr="0030286F">
              <w:rPr>
                <w:rFonts w:ascii="Times New Roman" w:hAnsi="Times New Roman"/>
                <w:sz w:val="20"/>
                <w:szCs w:val="22"/>
                <w:lang w:val="en-US"/>
              </w:rPr>
              <w:t>prescribe distances lower than those given in 7.1.5.4.3 above, especially taking local conditions into account.</w:t>
            </w:r>
          </w:p>
        </w:tc>
        <w:tc>
          <w:tcPr>
            <w:tcW w:w="2742" w:type="dxa"/>
            <w:tcBorders>
              <w:top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L'autorité compétente peut, notamment en considération des conditions locales, autoriser des distances inférieures à celles qui sont mentionnées au 7.1.5.4.3 ci-dessus.</w:t>
            </w:r>
          </w:p>
        </w:tc>
        <w:tc>
          <w:tcPr>
            <w:tcW w:w="2818" w:type="dxa"/>
            <w:tcBorders>
              <w:top w:val="nil"/>
            </w:tcBorders>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Die zuständige Behörde kann unter Berücksichtigung der örtlichen Verhältnisse geringere als die in Absatz 7.1.5.4.3 genannten Abstände zulassen.</w:t>
            </w:r>
          </w:p>
        </w:tc>
      </w:tr>
      <w:tr w:rsidR="009E58AD" w:rsidRPr="0030286F" w:rsidTr="0030286F">
        <w:tc>
          <w:tcPr>
            <w:tcW w:w="1026"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lastRenderedPageBreak/>
              <w:t>7.1.5.5</w:t>
            </w:r>
          </w:p>
        </w:tc>
        <w:tc>
          <w:tcPr>
            <w:tcW w:w="270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 xml:space="preserve">If navigation of a vessel carrying substances and articles of Class 1 or substances of Class 4.1 or 5.2 for which marking with three blue cones or three blue lights is prescribed in column (12) of Table A of Chapter 3.2 threatens to become dangerous owing either to: </w:t>
            </w:r>
          </w:p>
          <w:p w:rsidR="009E58AD" w:rsidRPr="0030286F" w:rsidRDefault="009E58AD" w:rsidP="0030286F">
            <w:pPr>
              <w:spacing w:before="40" w:after="120" w:line="220" w:lineRule="exact"/>
              <w:ind w:right="113"/>
              <w:rPr>
                <w:rFonts w:ascii="Times New Roman" w:hAnsi="Times New Roman"/>
                <w:sz w:val="20"/>
                <w:szCs w:val="22"/>
                <w:lang w:val="en-US"/>
              </w:rPr>
            </w:pPr>
          </w:p>
          <w:p w:rsidR="009E58AD" w:rsidRPr="0030286F" w:rsidRDefault="009E58AD" w:rsidP="0030286F">
            <w:pPr>
              <w:pStyle w:val="ListParagraph"/>
              <w:numPr>
                <w:ilvl w:val="0"/>
                <w:numId w:val="6"/>
              </w:numPr>
              <w:spacing w:before="40" w:after="120" w:line="220" w:lineRule="exact"/>
              <w:ind w:left="0" w:right="113" w:firstLine="0"/>
              <w:rPr>
                <w:rFonts w:ascii="Times New Roman" w:hAnsi="Times New Roman"/>
                <w:sz w:val="20"/>
                <w:szCs w:val="22"/>
                <w:lang w:val="en-US"/>
              </w:rPr>
            </w:pPr>
            <w:r w:rsidRPr="0030286F">
              <w:rPr>
                <w:rFonts w:ascii="Times New Roman" w:hAnsi="Times New Roman"/>
                <w:sz w:val="20"/>
                <w:szCs w:val="22"/>
                <w:lang w:val="en-US"/>
              </w:rPr>
              <w:t xml:space="preserve">external factors (bad weather, </w:t>
            </w:r>
            <w:proofErr w:type="spellStart"/>
            <w:r w:rsidRPr="0030286F">
              <w:rPr>
                <w:rFonts w:ascii="Times New Roman" w:hAnsi="Times New Roman"/>
                <w:sz w:val="20"/>
                <w:szCs w:val="22"/>
                <w:lang w:val="en-US"/>
              </w:rPr>
              <w:t>unfavourable</w:t>
            </w:r>
            <w:proofErr w:type="spellEnd"/>
            <w:r w:rsidRPr="0030286F">
              <w:rPr>
                <w:rFonts w:ascii="Times New Roman" w:hAnsi="Times New Roman"/>
                <w:sz w:val="20"/>
                <w:szCs w:val="22"/>
                <w:lang w:val="en-US"/>
              </w:rPr>
              <w:t xml:space="preserve"> conditions of the waterway, etc.), or</w:t>
            </w:r>
          </w:p>
          <w:p w:rsidR="009E58AD" w:rsidRPr="0030286F" w:rsidRDefault="009E58AD" w:rsidP="0030286F">
            <w:pPr>
              <w:spacing w:before="40" w:after="120" w:line="220" w:lineRule="exact"/>
              <w:ind w:right="113"/>
              <w:rPr>
                <w:rFonts w:ascii="Times New Roman" w:hAnsi="Times New Roman"/>
                <w:sz w:val="20"/>
                <w:szCs w:val="22"/>
                <w:lang w:val="en-US"/>
              </w:rPr>
            </w:pPr>
          </w:p>
          <w:p w:rsidR="008F41A0" w:rsidRPr="0030286F" w:rsidRDefault="008F41A0" w:rsidP="0030286F">
            <w:pPr>
              <w:spacing w:before="40" w:after="120" w:line="220" w:lineRule="exact"/>
              <w:ind w:right="113"/>
              <w:rPr>
                <w:rFonts w:ascii="Times New Roman" w:hAnsi="Times New Roman"/>
                <w:sz w:val="20"/>
                <w:szCs w:val="22"/>
                <w:lang w:val="en-US"/>
              </w:rPr>
            </w:pPr>
          </w:p>
          <w:p w:rsidR="008F41A0" w:rsidRPr="0030286F" w:rsidRDefault="008F41A0" w:rsidP="0030286F">
            <w:pPr>
              <w:spacing w:before="40" w:after="120" w:line="220" w:lineRule="exact"/>
              <w:ind w:right="113"/>
              <w:rPr>
                <w:rFonts w:ascii="Times New Roman" w:hAnsi="Times New Roman"/>
                <w:sz w:val="20"/>
                <w:szCs w:val="22"/>
                <w:lang w:val="en-US"/>
              </w:rPr>
            </w:pPr>
          </w:p>
          <w:p w:rsidR="008F41A0" w:rsidRPr="0030286F" w:rsidRDefault="008F41A0" w:rsidP="0030286F">
            <w:pPr>
              <w:spacing w:before="40" w:after="120" w:line="220" w:lineRule="exact"/>
              <w:ind w:right="113"/>
              <w:rPr>
                <w:rFonts w:ascii="Times New Roman" w:hAnsi="Times New Roman"/>
                <w:sz w:val="20"/>
                <w:szCs w:val="22"/>
                <w:lang w:val="en-US"/>
              </w:rPr>
            </w:pPr>
          </w:p>
          <w:p w:rsidR="008F41A0" w:rsidRPr="0030286F" w:rsidRDefault="008F41A0" w:rsidP="0030286F">
            <w:pPr>
              <w:spacing w:before="40" w:after="120" w:line="220" w:lineRule="exact"/>
              <w:ind w:right="113"/>
              <w:rPr>
                <w:rFonts w:ascii="Times New Roman" w:hAnsi="Times New Roman"/>
                <w:sz w:val="20"/>
                <w:szCs w:val="22"/>
                <w:lang w:val="en-US"/>
              </w:rPr>
            </w:pPr>
          </w:p>
          <w:p w:rsidR="008F41A0" w:rsidRPr="0030286F" w:rsidRDefault="008F41A0" w:rsidP="0030286F">
            <w:pPr>
              <w:spacing w:before="40" w:after="120" w:line="220" w:lineRule="exact"/>
              <w:ind w:right="113"/>
              <w:rPr>
                <w:rFonts w:ascii="Times New Roman" w:hAnsi="Times New Roman"/>
                <w:sz w:val="20"/>
                <w:szCs w:val="22"/>
                <w:lang w:val="en-US"/>
              </w:rPr>
            </w:pPr>
          </w:p>
          <w:p w:rsidR="009E58AD" w:rsidRPr="0030286F" w:rsidRDefault="009E58AD" w:rsidP="0030286F">
            <w:pPr>
              <w:pStyle w:val="ListParagraph"/>
              <w:numPr>
                <w:ilvl w:val="0"/>
                <w:numId w:val="6"/>
              </w:numPr>
              <w:spacing w:before="40" w:after="120" w:line="220" w:lineRule="exact"/>
              <w:ind w:left="0" w:right="113" w:firstLine="0"/>
              <w:rPr>
                <w:rFonts w:ascii="Times New Roman" w:hAnsi="Times New Roman"/>
                <w:sz w:val="20"/>
                <w:szCs w:val="22"/>
                <w:lang w:val="en-US"/>
              </w:rPr>
            </w:pPr>
            <w:r w:rsidRPr="0030286F">
              <w:rPr>
                <w:rFonts w:ascii="Times New Roman" w:hAnsi="Times New Roman"/>
                <w:sz w:val="20"/>
                <w:szCs w:val="22"/>
                <w:lang w:val="en-US"/>
              </w:rPr>
              <w:t>the condition of the vessel itself (accident or incident),</w:t>
            </w:r>
          </w:p>
          <w:p w:rsidR="009E58AD" w:rsidRPr="0030286F" w:rsidRDefault="009E58AD" w:rsidP="0030286F">
            <w:pPr>
              <w:spacing w:before="40" w:after="120" w:line="220" w:lineRule="exact"/>
              <w:ind w:right="113"/>
              <w:rPr>
                <w:rFonts w:ascii="Times New Roman" w:hAnsi="Times New Roman"/>
                <w:sz w:val="20"/>
                <w:szCs w:val="22"/>
                <w:lang w:val="en-US"/>
              </w:rPr>
            </w:pPr>
          </w:p>
          <w:p w:rsidR="009E58AD" w:rsidRPr="0030286F" w:rsidRDefault="009E58AD" w:rsidP="0030286F">
            <w:pPr>
              <w:spacing w:before="40" w:after="120" w:line="220" w:lineRule="exact"/>
              <w:ind w:right="113"/>
              <w:rPr>
                <w:rFonts w:ascii="Times New Roman" w:hAnsi="Times New Roman"/>
                <w:sz w:val="20"/>
                <w:szCs w:val="22"/>
                <w:lang w:val="en-US"/>
              </w:rPr>
            </w:pPr>
          </w:p>
          <w:p w:rsidR="009E58AD" w:rsidRPr="0030286F" w:rsidRDefault="009E58AD" w:rsidP="0030286F">
            <w:pPr>
              <w:spacing w:before="40" w:after="120" w:line="220" w:lineRule="exact"/>
              <w:ind w:right="113"/>
              <w:rPr>
                <w:rFonts w:ascii="Times New Roman" w:hAnsi="Times New Roman"/>
                <w:sz w:val="20"/>
                <w:szCs w:val="22"/>
                <w:lang w:val="en-US"/>
              </w:rPr>
            </w:pPr>
            <w:proofErr w:type="gramStart"/>
            <w:r w:rsidRPr="0030286F">
              <w:rPr>
                <w:rFonts w:ascii="Times New Roman" w:hAnsi="Times New Roman"/>
                <w:sz w:val="20"/>
                <w:szCs w:val="22"/>
                <w:lang w:val="en-US"/>
              </w:rPr>
              <w:t>the</w:t>
            </w:r>
            <w:proofErr w:type="gramEnd"/>
            <w:r w:rsidRPr="0030286F">
              <w:rPr>
                <w:rFonts w:ascii="Times New Roman" w:hAnsi="Times New Roman"/>
                <w:sz w:val="20"/>
                <w:szCs w:val="22"/>
                <w:lang w:val="en-US"/>
              </w:rPr>
              <w:t xml:space="preserve"> vessel shall be stopped at a suitable berthing area as far away as possible from </w:t>
            </w:r>
            <w:r w:rsidRPr="0030286F">
              <w:rPr>
                <w:rFonts w:ascii="Times New Roman" w:hAnsi="Times New Roman"/>
                <w:sz w:val="20"/>
                <w:szCs w:val="22"/>
                <w:u w:val="single"/>
                <w:lang w:val="en-US"/>
              </w:rPr>
              <w:t xml:space="preserve">any kind of </w:t>
            </w:r>
            <w:r w:rsidRPr="0030286F">
              <w:rPr>
                <w:rFonts w:ascii="Times New Roman" w:hAnsi="Times New Roman"/>
                <w:sz w:val="20"/>
                <w:szCs w:val="22"/>
                <w:lang w:val="en-US"/>
              </w:rPr>
              <w:t xml:space="preserve">residential </w:t>
            </w:r>
            <w:r w:rsidRPr="0030286F">
              <w:rPr>
                <w:rFonts w:ascii="Times New Roman" w:hAnsi="Times New Roman"/>
                <w:strike/>
                <w:sz w:val="20"/>
                <w:szCs w:val="22"/>
                <w:lang w:val="en-US"/>
              </w:rPr>
              <w:t>areas</w:t>
            </w:r>
            <w:r w:rsidRPr="0030286F">
              <w:rPr>
                <w:rFonts w:ascii="Times New Roman" w:hAnsi="Times New Roman"/>
                <w:sz w:val="20"/>
                <w:szCs w:val="22"/>
                <w:u w:val="single"/>
                <w:lang w:val="en-US"/>
              </w:rPr>
              <w:t xml:space="preserve"> building</w:t>
            </w:r>
            <w:r w:rsidRPr="0030286F">
              <w:rPr>
                <w:rFonts w:ascii="Times New Roman" w:hAnsi="Times New Roman"/>
                <w:sz w:val="20"/>
                <w:szCs w:val="22"/>
                <w:lang w:val="en-US"/>
              </w:rPr>
              <w:t xml:space="preserve">, </w:t>
            </w:r>
            <w:proofErr w:type="spellStart"/>
            <w:r w:rsidRPr="0030286F">
              <w:rPr>
                <w:rFonts w:ascii="Times New Roman" w:hAnsi="Times New Roman"/>
                <w:sz w:val="20"/>
                <w:szCs w:val="22"/>
                <w:lang w:val="en-US"/>
              </w:rPr>
              <w:t>harbours</w:t>
            </w:r>
            <w:proofErr w:type="spellEnd"/>
            <w:r w:rsidRPr="0030286F">
              <w:rPr>
                <w:rFonts w:ascii="Times New Roman" w:hAnsi="Times New Roman"/>
                <w:sz w:val="20"/>
                <w:szCs w:val="22"/>
                <w:lang w:val="en-US"/>
              </w:rPr>
              <w:t>, civil engineering structures or storage tanks for gas or flammable liquids, regardless of the provisions set out in 7.1.5.4.</w:t>
            </w:r>
          </w:p>
          <w:p w:rsidR="009E58AD" w:rsidRPr="0030286F" w:rsidRDefault="009E58AD" w:rsidP="0030286F">
            <w:pPr>
              <w:spacing w:before="40" w:after="120" w:line="220" w:lineRule="exact"/>
              <w:ind w:right="113"/>
              <w:rPr>
                <w:rFonts w:ascii="Times New Roman" w:hAnsi="Times New Roman"/>
                <w:sz w:val="20"/>
                <w:szCs w:val="22"/>
                <w:lang w:val="en-US"/>
              </w:rPr>
            </w:pPr>
          </w:p>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The competent authority shall be notified without delay.</w:t>
            </w:r>
          </w:p>
        </w:tc>
        <w:tc>
          <w:tcPr>
            <w:tcW w:w="274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Si la navigation du bateau qui transporte des matières et objets de la classe 1 ou des matières de la classe 4.1 ou 5.2, pour lesquelles une signalisation avec trois cônes bleus ou trois feux bleus est prescrite à la colonne (12) du tableau A du chapitre 3.2, risque de devenir dangereuse</w:t>
            </w: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pStyle w:val="ListParagraph"/>
              <w:numPr>
                <w:ilvl w:val="0"/>
                <w:numId w:val="6"/>
              </w:numPr>
              <w:spacing w:before="40" w:after="120" w:line="220" w:lineRule="exact"/>
              <w:ind w:left="0" w:right="113" w:firstLine="0"/>
              <w:rPr>
                <w:rFonts w:ascii="Times New Roman" w:hAnsi="Times New Roman"/>
                <w:sz w:val="20"/>
                <w:szCs w:val="22"/>
                <w:lang w:eastAsia="en-US"/>
              </w:rPr>
            </w:pPr>
            <w:r w:rsidRPr="0030286F">
              <w:rPr>
                <w:rFonts w:ascii="Times New Roman" w:hAnsi="Times New Roman"/>
                <w:sz w:val="20"/>
                <w:szCs w:val="22"/>
                <w:lang w:eastAsia="en-US"/>
              </w:rPr>
              <w:t>soit du fait d'éléments extérieurs (conditions météorologiques défavorables, conditions défavorables de la voie navigable, etc.) ;</w:t>
            </w: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pStyle w:val="ListParagraph"/>
              <w:numPr>
                <w:ilvl w:val="0"/>
                <w:numId w:val="6"/>
              </w:numPr>
              <w:spacing w:before="40" w:after="120" w:line="220" w:lineRule="exact"/>
              <w:ind w:left="0" w:right="113" w:firstLine="0"/>
              <w:rPr>
                <w:rFonts w:ascii="Times New Roman" w:hAnsi="Times New Roman"/>
                <w:sz w:val="20"/>
                <w:szCs w:val="22"/>
                <w:lang w:val="fr-FR"/>
              </w:rPr>
            </w:pPr>
            <w:r w:rsidRPr="0030286F">
              <w:rPr>
                <w:rFonts w:ascii="Times New Roman" w:hAnsi="Times New Roman"/>
                <w:sz w:val="20"/>
                <w:szCs w:val="22"/>
                <w:lang w:val="fr-FR"/>
              </w:rPr>
              <w:t>soit du fait du bateau même (accident ou incident) ;</w:t>
            </w: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 xml:space="preserve">le bateau doit s'arrêter à un endroit approprié aussi éloigné que possible de toute habitation, tout port, ouvrage d'art ou </w:t>
            </w:r>
            <w:r w:rsidRPr="0030286F">
              <w:rPr>
                <w:rFonts w:ascii="Times New Roman" w:hAnsi="Times New Roman"/>
                <w:strike/>
                <w:sz w:val="20"/>
                <w:szCs w:val="22"/>
                <w:lang w:val="fr-FR"/>
              </w:rPr>
              <w:t>réservoir</w:t>
            </w:r>
            <w:r w:rsidRPr="0030286F">
              <w:rPr>
                <w:rFonts w:ascii="Times New Roman" w:hAnsi="Times New Roman"/>
                <w:sz w:val="20"/>
                <w:szCs w:val="22"/>
                <w:lang w:val="fr-FR"/>
              </w:rPr>
              <w:t xml:space="preserve"> </w:t>
            </w:r>
            <w:r w:rsidRPr="0030286F">
              <w:rPr>
                <w:rFonts w:ascii="Times New Roman" w:hAnsi="Times New Roman"/>
                <w:sz w:val="20"/>
                <w:szCs w:val="22"/>
                <w:u w:val="single"/>
                <w:lang w:val="fr-FR"/>
              </w:rPr>
              <w:t>des parcs de réservoirs</w:t>
            </w:r>
            <w:r w:rsidRPr="0030286F">
              <w:rPr>
                <w:rFonts w:ascii="Times New Roman" w:hAnsi="Times New Roman"/>
                <w:sz w:val="20"/>
                <w:szCs w:val="22"/>
                <w:lang w:val="fr-FR"/>
              </w:rPr>
              <w:t xml:space="preserve"> de gaz ou de liquides inflammables, nonobstant les dispositions du 7.1.5.4.</w:t>
            </w: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L'autorité compétente doit être prévenue dans les plus brefs délais.</w:t>
            </w:r>
          </w:p>
        </w:tc>
        <w:tc>
          <w:tcPr>
            <w:tcW w:w="2818"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Wenn der Verkehr eines Schiffes, das Stoffe oder Gegenstände der Klasse 1 oder Stoffe der Klasse 4.1 oder 5.2 befördert, für die in Kapitel 3.2 Tabelle A Spalte (12) eine Bezeichnung mit drei blauen Kegeln oder drei blauen Lichtern vorgeschrieben ist, gefährlich zu werden droht,</w:t>
            </w:r>
          </w:p>
          <w:p w:rsidR="009E58AD" w:rsidRPr="0030286F" w:rsidRDefault="009E58AD" w:rsidP="0030286F">
            <w:pPr>
              <w:spacing w:before="40" w:after="120" w:line="220" w:lineRule="exact"/>
              <w:ind w:right="113"/>
              <w:rPr>
                <w:rFonts w:ascii="Times New Roman" w:hAnsi="Times New Roman"/>
                <w:sz w:val="20"/>
                <w:szCs w:val="22"/>
              </w:rPr>
            </w:pPr>
          </w:p>
          <w:p w:rsidR="009E58AD" w:rsidRPr="0030286F" w:rsidRDefault="009E58AD" w:rsidP="0030286F">
            <w:pPr>
              <w:pStyle w:val="N5"/>
              <w:spacing w:before="40" w:after="120" w:line="220" w:lineRule="exact"/>
              <w:ind w:left="0" w:right="113" w:firstLine="0"/>
              <w:jc w:val="left"/>
              <w:rPr>
                <w:rFonts w:ascii="Times New Roman" w:hAnsi="Times New Roman"/>
                <w:szCs w:val="22"/>
                <w:lang w:eastAsia="en-US"/>
              </w:rPr>
            </w:pPr>
            <w:r w:rsidRPr="0030286F">
              <w:rPr>
                <w:rFonts w:ascii="Times New Roman" w:hAnsi="Times New Roman"/>
                <w:szCs w:val="22"/>
                <w:lang w:eastAsia="en-US"/>
              </w:rPr>
              <w:t>-</w:t>
            </w:r>
            <w:r w:rsidRPr="0030286F">
              <w:rPr>
                <w:rFonts w:ascii="Times New Roman" w:hAnsi="Times New Roman"/>
                <w:szCs w:val="22"/>
                <w:lang w:eastAsia="en-US"/>
              </w:rPr>
              <w:tab/>
              <w:t>sei es infolge äußerer Einflüsse (ungünstige Wetterbedingungen, ungünstige Bedingungen der Wasserstraße usw.),</w:t>
            </w:r>
          </w:p>
          <w:p w:rsidR="009E58AD" w:rsidRPr="0030286F" w:rsidRDefault="009E58AD" w:rsidP="0030286F">
            <w:pPr>
              <w:pStyle w:val="N5"/>
              <w:spacing w:before="40" w:after="120" w:line="220" w:lineRule="exact"/>
              <w:ind w:left="0" w:right="113" w:firstLine="0"/>
              <w:jc w:val="left"/>
              <w:rPr>
                <w:rFonts w:ascii="Times New Roman" w:hAnsi="Times New Roman"/>
                <w:szCs w:val="22"/>
                <w:lang w:eastAsia="en-US"/>
              </w:rPr>
            </w:pPr>
          </w:p>
          <w:p w:rsidR="008F41A0" w:rsidRPr="0030286F" w:rsidRDefault="008F41A0" w:rsidP="0030286F">
            <w:pPr>
              <w:pStyle w:val="N5"/>
              <w:spacing w:before="40" w:after="120" w:line="220" w:lineRule="exact"/>
              <w:ind w:left="0" w:right="113" w:firstLine="0"/>
              <w:jc w:val="left"/>
              <w:rPr>
                <w:rFonts w:ascii="Times New Roman" w:hAnsi="Times New Roman"/>
                <w:szCs w:val="22"/>
                <w:lang w:eastAsia="en-US"/>
              </w:rPr>
            </w:pPr>
          </w:p>
          <w:p w:rsidR="008F41A0" w:rsidRPr="0030286F" w:rsidRDefault="008F41A0" w:rsidP="0030286F">
            <w:pPr>
              <w:pStyle w:val="N5"/>
              <w:spacing w:before="40" w:after="120" w:line="220" w:lineRule="exact"/>
              <w:ind w:left="0" w:right="113" w:firstLine="0"/>
              <w:jc w:val="left"/>
              <w:rPr>
                <w:rFonts w:ascii="Times New Roman" w:hAnsi="Times New Roman"/>
                <w:szCs w:val="22"/>
                <w:lang w:eastAsia="en-US"/>
              </w:rPr>
            </w:pPr>
          </w:p>
          <w:p w:rsidR="008F41A0" w:rsidRPr="0030286F" w:rsidRDefault="008F41A0" w:rsidP="0030286F">
            <w:pPr>
              <w:pStyle w:val="N5"/>
              <w:spacing w:before="40" w:after="120" w:line="220" w:lineRule="exact"/>
              <w:ind w:left="0" w:right="113" w:firstLine="0"/>
              <w:jc w:val="left"/>
              <w:rPr>
                <w:rFonts w:ascii="Times New Roman" w:hAnsi="Times New Roman"/>
                <w:szCs w:val="22"/>
                <w:lang w:eastAsia="en-US"/>
              </w:rPr>
            </w:pPr>
          </w:p>
          <w:p w:rsidR="008F41A0" w:rsidRPr="0030286F" w:rsidRDefault="008F41A0" w:rsidP="0030286F">
            <w:pPr>
              <w:pStyle w:val="N5"/>
              <w:spacing w:before="40" w:after="120" w:line="220" w:lineRule="exact"/>
              <w:ind w:left="0" w:right="113" w:firstLine="0"/>
              <w:jc w:val="left"/>
              <w:rPr>
                <w:rFonts w:ascii="Times New Roman" w:hAnsi="Times New Roman"/>
                <w:szCs w:val="22"/>
                <w:lang w:eastAsia="en-US"/>
              </w:rPr>
            </w:pPr>
          </w:p>
          <w:p w:rsidR="008F41A0" w:rsidRPr="0030286F" w:rsidRDefault="008F41A0" w:rsidP="0030286F">
            <w:pPr>
              <w:pStyle w:val="N5"/>
              <w:spacing w:before="40" w:after="120" w:line="220" w:lineRule="exact"/>
              <w:ind w:left="0" w:right="113" w:firstLine="0"/>
              <w:jc w:val="left"/>
              <w:rPr>
                <w:rFonts w:ascii="Times New Roman" w:hAnsi="Times New Roman"/>
                <w:szCs w:val="22"/>
                <w:lang w:eastAsia="en-US"/>
              </w:rPr>
            </w:pPr>
          </w:p>
          <w:p w:rsidR="009E58AD" w:rsidRPr="0030286F" w:rsidRDefault="009E58AD" w:rsidP="0030286F">
            <w:pPr>
              <w:pStyle w:val="N5"/>
              <w:spacing w:before="40" w:after="120" w:line="220" w:lineRule="exact"/>
              <w:ind w:left="0" w:right="113" w:firstLine="0"/>
              <w:jc w:val="left"/>
              <w:rPr>
                <w:rFonts w:ascii="Times New Roman" w:hAnsi="Times New Roman"/>
                <w:szCs w:val="22"/>
                <w:lang w:eastAsia="en-US"/>
              </w:rPr>
            </w:pPr>
            <w:r w:rsidRPr="0030286F">
              <w:rPr>
                <w:rFonts w:ascii="Times New Roman" w:hAnsi="Times New Roman"/>
                <w:szCs w:val="22"/>
                <w:lang w:eastAsia="en-US"/>
              </w:rPr>
              <w:t>-</w:t>
            </w:r>
            <w:r w:rsidRPr="0030286F">
              <w:rPr>
                <w:rFonts w:ascii="Times New Roman" w:hAnsi="Times New Roman"/>
                <w:szCs w:val="22"/>
                <w:lang w:eastAsia="en-US"/>
              </w:rPr>
              <w:tab/>
              <w:t>sei es infolge von Umständen, die mit dem Schiff selbst zusammenhängen (Unfall oder Zwischenfall),</w:t>
            </w:r>
          </w:p>
          <w:p w:rsidR="009E58AD" w:rsidRPr="0030286F" w:rsidRDefault="009E58AD" w:rsidP="0030286F">
            <w:pPr>
              <w:pStyle w:val="N5"/>
              <w:spacing w:before="40" w:after="120" w:line="220" w:lineRule="exact"/>
              <w:ind w:left="0" w:right="113" w:firstLine="0"/>
              <w:jc w:val="left"/>
              <w:rPr>
                <w:rFonts w:ascii="Times New Roman" w:hAnsi="Times New Roman"/>
                <w:szCs w:val="22"/>
                <w:lang w:eastAsia="en-US"/>
              </w:rPr>
            </w:pPr>
          </w:p>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 xml:space="preserve">muss das Schiff, unbeschadet der Vorschriften des Unterabschnitts 7.1.5.4 an einer geeigneten und von </w:t>
            </w:r>
            <w:r w:rsidRPr="0030286F">
              <w:rPr>
                <w:rFonts w:ascii="Times New Roman" w:hAnsi="Times New Roman"/>
                <w:sz w:val="20"/>
                <w:szCs w:val="22"/>
                <w:u w:val="single"/>
              </w:rPr>
              <w:t xml:space="preserve">jeglichen </w:t>
            </w:r>
            <w:r w:rsidRPr="0030286F">
              <w:rPr>
                <w:rFonts w:ascii="Times New Roman" w:hAnsi="Times New Roman"/>
                <w:sz w:val="20"/>
                <w:szCs w:val="22"/>
              </w:rPr>
              <w:t xml:space="preserve">Wohnhäusern, Häfen, Ingenieurbauwerken oder </w:t>
            </w:r>
            <w:r w:rsidRPr="0030286F">
              <w:rPr>
                <w:rFonts w:ascii="Times New Roman" w:hAnsi="Times New Roman"/>
                <w:strike/>
                <w:sz w:val="20"/>
                <w:szCs w:val="22"/>
              </w:rPr>
              <w:t>Lagern</w:t>
            </w:r>
            <w:r w:rsidRPr="0030286F">
              <w:rPr>
                <w:rFonts w:ascii="Times New Roman" w:hAnsi="Times New Roman"/>
                <w:sz w:val="20"/>
                <w:szCs w:val="22"/>
              </w:rPr>
              <w:t xml:space="preserve"> </w:t>
            </w:r>
            <w:r w:rsidRPr="0030286F">
              <w:rPr>
                <w:rFonts w:ascii="Times New Roman" w:hAnsi="Times New Roman"/>
                <w:sz w:val="20"/>
                <w:szCs w:val="22"/>
                <w:u w:val="single"/>
              </w:rPr>
              <w:t xml:space="preserve">Tanklagern </w:t>
            </w:r>
            <w:r w:rsidRPr="0030286F">
              <w:rPr>
                <w:rFonts w:ascii="Times New Roman" w:hAnsi="Times New Roman"/>
                <w:sz w:val="20"/>
                <w:szCs w:val="22"/>
              </w:rPr>
              <w:t>für Gase oder entzündbare Flüssigkeiten möglichst weit entfernten Stelle anhalten.</w:t>
            </w:r>
          </w:p>
          <w:p w:rsidR="009E58AD" w:rsidRPr="0030286F" w:rsidRDefault="009E58AD" w:rsidP="0030286F">
            <w:pPr>
              <w:spacing w:before="40" w:after="120" w:line="220" w:lineRule="exact"/>
              <w:ind w:right="113"/>
              <w:rPr>
                <w:rFonts w:ascii="Times New Roman" w:hAnsi="Times New Roman"/>
                <w:sz w:val="20"/>
                <w:szCs w:val="22"/>
              </w:rPr>
            </w:pPr>
          </w:p>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Die zuständige Behörde muss unverzüglich benachrichtigt werden.</w:t>
            </w:r>
          </w:p>
        </w:tc>
      </w:tr>
      <w:tr w:rsidR="009E58AD" w:rsidRPr="0030286F" w:rsidTr="0030286F">
        <w:tc>
          <w:tcPr>
            <w:tcW w:w="1026"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lastRenderedPageBreak/>
              <w:t>7.2.5.4.3</w:t>
            </w:r>
          </w:p>
        </w:tc>
        <w:tc>
          <w:tcPr>
            <w:tcW w:w="270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Outside the berthing areas specifically designated by the competent authority, the distances to be kept by berthed vessels shall not be less than:</w:t>
            </w:r>
          </w:p>
          <w:p w:rsidR="009E58AD" w:rsidRPr="0030286F" w:rsidRDefault="009E58AD" w:rsidP="0030286F">
            <w:pPr>
              <w:spacing w:before="40" w:after="120" w:line="220" w:lineRule="exact"/>
              <w:ind w:right="113"/>
              <w:rPr>
                <w:rFonts w:ascii="Times New Roman" w:hAnsi="Times New Roman"/>
                <w:sz w:val="20"/>
                <w:szCs w:val="22"/>
                <w:lang w:val="en-US"/>
              </w:rPr>
            </w:pPr>
          </w:p>
          <w:p w:rsidR="008F41A0" w:rsidRPr="0030286F" w:rsidRDefault="008F41A0" w:rsidP="0030286F">
            <w:pPr>
              <w:spacing w:before="40" w:after="120" w:line="220" w:lineRule="exact"/>
              <w:ind w:right="113"/>
              <w:rPr>
                <w:rFonts w:ascii="Times New Roman" w:hAnsi="Times New Roman"/>
                <w:sz w:val="20"/>
                <w:szCs w:val="22"/>
                <w:lang w:val="en-US"/>
              </w:rPr>
            </w:pPr>
          </w:p>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w:t>
            </w:r>
            <w:r w:rsidRPr="0030286F">
              <w:rPr>
                <w:rFonts w:ascii="Times New Roman" w:hAnsi="Times New Roman"/>
                <w:sz w:val="20"/>
                <w:szCs w:val="22"/>
                <w:lang w:val="en-US"/>
              </w:rPr>
              <w:tab/>
              <w:t>100 m from residential areas, civil engineering structures or storage tanks, if the vessel is required to be marked with one blue cone or blue light in accordance with column (19) of Table C of Chapter 3.2;</w:t>
            </w:r>
          </w:p>
          <w:p w:rsidR="009E58AD" w:rsidRPr="0030286F" w:rsidRDefault="009E58AD" w:rsidP="0030286F">
            <w:pPr>
              <w:spacing w:before="40" w:after="120" w:line="220" w:lineRule="exact"/>
              <w:ind w:right="113"/>
              <w:rPr>
                <w:rFonts w:ascii="Times New Roman" w:hAnsi="Times New Roman"/>
                <w:sz w:val="20"/>
                <w:szCs w:val="22"/>
                <w:lang w:val="en-US"/>
              </w:rPr>
            </w:pPr>
          </w:p>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   100 m from civil engineering structures and storage tanks; and 300 m from residential areas if the vessel is required to be marked with two blue cones or two blue lights in accordance with column (19) of Table C of Chapter 3.2.</w:t>
            </w:r>
          </w:p>
        </w:tc>
        <w:tc>
          <w:tcPr>
            <w:tcW w:w="274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 xml:space="preserve">En dehors des zones de stationnement </w:t>
            </w:r>
            <w:proofErr w:type="spellStart"/>
            <w:r w:rsidRPr="0030286F">
              <w:rPr>
                <w:rFonts w:ascii="Times New Roman" w:hAnsi="Times New Roman"/>
                <w:sz w:val="20"/>
                <w:szCs w:val="22"/>
                <w:u w:val="single"/>
                <w:lang w:val="fr-FR"/>
              </w:rPr>
              <w:t>specialement</w:t>
            </w:r>
            <w:proofErr w:type="spellEnd"/>
            <w:r w:rsidRPr="0030286F">
              <w:rPr>
                <w:rFonts w:ascii="Times New Roman" w:hAnsi="Times New Roman"/>
                <w:sz w:val="20"/>
                <w:szCs w:val="22"/>
                <w:lang w:val="fr-FR"/>
              </w:rPr>
              <w:t xml:space="preserve"> indiquées par l'autorité compétente, les bateaux ne doivent pas stationner à moins de :</w:t>
            </w:r>
          </w:p>
          <w:p w:rsidR="009E58AD" w:rsidRPr="0030286F" w:rsidRDefault="009E58AD" w:rsidP="0030286F">
            <w:pPr>
              <w:spacing w:before="40" w:after="120" w:line="220" w:lineRule="exact"/>
              <w:ind w:right="113"/>
              <w:rPr>
                <w:rFonts w:ascii="Times New Roman" w:hAnsi="Times New Roman"/>
                <w:sz w:val="20"/>
                <w:szCs w:val="22"/>
                <w:lang w:val="fr-FR"/>
              </w:rPr>
            </w:pPr>
          </w:p>
          <w:p w:rsidR="008F41A0" w:rsidRPr="0030286F" w:rsidRDefault="008F41A0" w:rsidP="0030286F">
            <w:pPr>
              <w:spacing w:before="40" w:after="120" w:line="220" w:lineRule="exact"/>
              <w:ind w:right="113"/>
              <w:rPr>
                <w:rFonts w:ascii="Times New Roman" w:hAnsi="Times New Roman"/>
                <w:sz w:val="20"/>
                <w:szCs w:val="22"/>
                <w:lang w:val="fr-FR"/>
              </w:rPr>
            </w:pPr>
          </w:p>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w:t>
            </w:r>
            <w:r w:rsidRPr="0030286F">
              <w:rPr>
                <w:rFonts w:ascii="Times New Roman" w:hAnsi="Times New Roman"/>
                <w:sz w:val="20"/>
                <w:szCs w:val="22"/>
                <w:lang w:val="fr-FR"/>
              </w:rPr>
              <w:tab/>
              <w:t>100 m des zones résidentielles, ouvrages d'art ou parcs de réservoirs si le bateau doit être signalé par un cône bleu ou un feu bleu conformément à la colonne (19) du tableau C du chapitre 3.2 ;</w:t>
            </w:r>
          </w:p>
          <w:p w:rsidR="009E58AD" w:rsidRPr="0030286F" w:rsidRDefault="009E58AD" w:rsidP="0030286F">
            <w:pPr>
              <w:spacing w:before="40" w:after="120" w:line="220" w:lineRule="exact"/>
              <w:ind w:right="113"/>
              <w:rPr>
                <w:rFonts w:ascii="Times New Roman" w:hAnsi="Times New Roman"/>
                <w:sz w:val="20"/>
                <w:szCs w:val="22"/>
                <w:lang w:val="fr-FR"/>
              </w:rPr>
            </w:pPr>
          </w:p>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w:t>
            </w:r>
            <w:r w:rsidRPr="0030286F">
              <w:rPr>
                <w:rFonts w:ascii="Times New Roman" w:hAnsi="Times New Roman"/>
                <w:sz w:val="20"/>
                <w:szCs w:val="22"/>
                <w:lang w:val="fr-FR"/>
              </w:rPr>
              <w:tab/>
              <w:t>100 m des ouvrages d'art et des parcs de réservoirs et 300 m des zones résidentielles si le bateau doit être signalé par deux cônes bleus ou deux feux bleus conformément à la colonne (19) du tableau C du chapitre 3.2.</w:t>
            </w:r>
          </w:p>
        </w:tc>
        <w:tc>
          <w:tcPr>
            <w:tcW w:w="2818"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Außerhalb der von der zuständigen Behörde besonders angegebenen Liegeplätze darf beim Stillliegen der nachstehende Abstand nicht unterschritten werden:</w:t>
            </w:r>
          </w:p>
          <w:p w:rsidR="009E58AD" w:rsidRPr="0030286F" w:rsidRDefault="009E58AD" w:rsidP="0030286F">
            <w:pPr>
              <w:spacing w:before="40" w:after="120" w:line="220" w:lineRule="exact"/>
              <w:ind w:right="113"/>
              <w:rPr>
                <w:rFonts w:ascii="Times New Roman" w:hAnsi="Times New Roman"/>
                <w:sz w:val="20"/>
                <w:szCs w:val="22"/>
              </w:rPr>
            </w:pPr>
          </w:p>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w:t>
            </w:r>
            <w:r w:rsidRPr="0030286F">
              <w:rPr>
                <w:rFonts w:ascii="Times New Roman" w:hAnsi="Times New Roman"/>
                <w:sz w:val="20"/>
                <w:szCs w:val="22"/>
              </w:rPr>
              <w:tab/>
              <w:t xml:space="preserve">100 m von </w:t>
            </w:r>
            <w:r w:rsidRPr="0030286F">
              <w:rPr>
                <w:rFonts w:ascii="Times New Roman" w:hAnsi="Times New Roman"/>
                <w:strike/>
                <w:sz w:val="20"/>
                <w:szCs w:val="22"/>
              </w:rPr>
              <w:t>geschlossenen</w:t>
            </w:r>
            <w:r w:rsidRPr="0030286F">
              <w:rPr>
                <w:rFonts w:ascii="Times New Roman" w:hAnsi="Times New Roman"/>
                <w:sz w:val="20"/>
                <w:szCs w:val="22"/>
              </w:rPr>
              <w:t xml:space="preserve"> Wohngebieten, Ingenieurbauwerken und Tanklagern, wenn das Schiff nach Kapitel 3.2 Tabelle C Spalte 19 eine Bezeichnung mit einem blauen Kegel oder einem blauen Licht führen muss;</w:t>
            </w:r>
          </w:p>
          <w:p w:rsidR="009E58AD" w:rsidRPr="0030286F" w:rsidRDefault="009E58AD" w:rsidP="0030286F">
            <w:pPr>
              <w:spacing w:before="40" w:after="120" w:line="220" w:lineRule="exact"/>
              <w:ind w:right="113"/>
              <w:rPr>
                <w:rFonts w:ascii="Times New Roman" w:hAnsi="Times New Roman"/>
                <w:sz w:val="20"/>
                <w:szCs w:val="22"/>
              </w:rPr>
            </w:pPr>
          </w:p>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w:t>
            </w:r>
            <w:r w:rsidRPr="0030286F">
              <w:rPr>
                <w:rFonts w:ascii="Times New Roman" w:hAnsi="Times New Roman"/>
                <w:sz w:val="20"/>
                <w:szCs w:val="22"/>
              </w:rPr>
              <w:tab/>
              <w:t xml:space="preserve">100 m von Ingenieurbauwerken und Tanklagern und 300 m von </w:t>
            </w:r>
            <w:r w:rsidRPr="0030286F">
              <w:rPr>
                <w:rFonts w:ascii="Times New Roman" w:hAnsi="Times New Roman"/>
                <w:strike/>
                <w:sz w:val="20"/>
                <w:szCs w:val="22"/>
              </w:rPr>
              <w:t>geschlossenen</w:t>
            </w:r>
            <w:r w:rsidRPr="0030286F">
              <w:rPr>
                <w:rFonts w:ascii="Times New Roman" w:hAnsi="Times New Roman"/>
                <w:sz w:val="20"/>
                <w:szCs w:val="22"/>
              </w:rPr>
              <w:t xml:space="preserve"> Wohngebieten, wenn das Schiff nach Kapitel 3.2 Tabelle C Spalte 19 eine Bezeichnung mit zwei blauen Kegeln oder zwei blauen Lichtern führen muss.</w:t>
            </w:r>
          </w:p>
        </w:tc>
      </w:tr>
      <w:tr w:rsidR="009E58AD" w:rsidRPr="0030286F" w:rsidTr="0030286F">
        <w:tc>
          <w:tcPr>
            <w:tcW w:w="1026"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p>
        </w:tc>
        <w:tc>
          <w:tcPr>
            <w:tcW w:w="270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 xml:space="preserve">While waiting in front of locks or bridges, vessels are allowed to keep distances less than those given above. </w:t>
            </w:r>
          </w:p>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In no case shall the distance be less than 100 m.</w:t>
            </w:r>
          </w:p>
        </w:tc>
        <w:tc>
          <w:tcPr>
            <w:tcW w:w="274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 xml:space="preserve">Des distances inférieures à celles indiquées </w:t>
            </w:r>
            <w:proofErr w:type="spellStart"/>
            <w:r w:rsidRPr="0030286F">
              <w:rPr>
                <w:rFonts w:ascii="Times New Roman" w:hAnsi="Times New Roman"/>
                <w:sz w:val="20"/>
                <w:szCs w:val="22"/>
                <w:lang w:val="fr-FR"/>
              </w:rPr>
              <w:t>ci­dessus</w:t>
            </w:r>
            <w:proofErr w:type="spellEnd"/>
            <w:r w:rsidRPr="0030286F">
              <w:rPr>
                <w:rFonts w:ascii="Times New Roman" w:hAnsi="Times New Roman"/>
                <w:sz w:val="20"/>
                <w:szCs w:val="22"/>
                <w:lang w:val="fr-FR"/>
              </w:rPr>
              <w:t xml:space="preserve"> peuvent être autorisées si les bateaux attendent devant des écluses ou des ponts. </w:t>
            </w:r>
          </w:p>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Cette distance ne doit en aucun cas être inférieure à 100 m.</w:t>
            </w:r>
          </w:p>
        </w:tc>
        <w:tc>
          <w:tcPr>
            <w:tcW w:w="2818"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 xml:space="preserve">Während des Wartens vor Schleusen oder Brücken </w:t>
            </w:r>
            <w:r w:rsidRPr="0030286F">
              <w:rPr>
                <w:rFonts w:ascii="Times New Roman" w:hAnsi="Times New Roman"/>
                <w:strike/>
                <w:sz w:val="20"/>
                <w:szCs w:val="22"/>
              </w:rPr>
              <w:t>können geringere Abstände als die oben genannten zugelassen werden</w:t>
            </w:r>
            <w:r w:rsidRPr="0030286F">
              <w:rPr>
                <w:rFonts w:ascii="Times New Roman" w:hAnsi="Times New Roman"/>
                <w:sz w:val="20"/>
                <w:szCs w:val="22"/>
                <w:u w:val="single"/>
              </w:rPr>
              <w:t xml:space="preserve"> ist es zulässig, geringere Abstände einzuhalten.</w:t>
            </w:r>
          </w:p>
          <w:p w:rsidR="009E58AD" w:rsidRPr="0030286F" w:rsidRDefault="009E58AD" w:rsidP="0030286F">
            <w:pPr>
              <w:spacing w:before="40" w:after="120" w:line="220" w:lineRule="exact"/>
              <w:ind w:right="113"/>
              <w:rPr>
                <w:rFonts w:ascii="Times New Roman" w:hAnsi="Times New Roman"/>
                <w:b/>
                <w:i/>
                <w:sz w:val="20"/>
                <w:szCs w:val="22"/>
              </w:rPr>
            </w:pPr>
            <w:r w:rsidRPr="0030286F">
              <w:rPr>
                <w:rFonts w:ascii="Times New Roman" w:hAnsi="Times New Roman"/>
                <w:sz w:val="20"/>
                <w:szCs w:val="22"/>
                <w:u w:val="single"/>
              </w:rPr>
              <w:t>In diesen Fällen gilt jedoch ein Mindestabstand von 100 m.</w:t>
            </w:r>
          </w:p>
        </w:tc>
      </w:tr>
      <w:tr w:rsidR="009E58AD" w:rsidRPr="0030286F" w:rsidTr="0030286F">
        <w:tc>
          <w:tcPr>
            <w:tcW w:w="1026"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7.2.5.4.4</w:t>
            </w:r>
          </w:p>
        </w:tc>
        <w:tc>
          <w:tcPr>
            <w:tcW w:w="270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en-US"/>
              </w:rPr>
            </w:pPr>
            <w:r w:rsidRPr="0030286F">
              <w:rPr>
                <w:rFonts w:ascii="Times New Roman" w:hAnsi="Times New Roman"/>
                <w:sz w:val="20"/>
                <w:szCs w:val="22"/>
                <w:lang w:val="en-US"/>
              </w:rPr>
              <w:t>The competent authority may</w:t>
            </w:r>
            <w:r w:rsidRPr="0030286F">
              <w:rPr>
                <w:rFonts w:ascii="Times New Roman" w:hAnsi="Times New Roman"/>
                <w:sz w:val="20"/>
                <w:szCs w:val="22"/>
                <w:u w:val="single"/>
                <w:lang w:val="en-US"/>
              </w:rPr>
              <w:t xml:space="preserve"> </w:t>
            </w:r>
            <w:hyperlink r:id="rId12" w:anchor="/search=in&amp;searchLoc=0&amp;resultOrder=basic&amp;multiwordShowSingle=on" w:history="1">
              <w:r w:rsidRPr="0030286F">
                <w:rPr>
                  <w:rFonts w:ascii="Times New Roman" w:hAnsi="Times New Roman"/>
                  <w:sz w:val="20"/>
                  <w:szCs w:val="22"/>
                  <w:u w:val="single"/>
                  <w:lang w:val="en-US"/>
                </w:rPr>
                <w:t>in</w:t>
              </w:r>
            </w:hyperlink>
            <w:r w:rsidRPr="0030286F">
              <w:rPr>
                <w:rFonts w:ascii="Times New Roman" w:hAnsi="Times New Roman"/>
                <w:sz w:val="20"/>
                <w:szCs w:val="22"/>
                <w:u w:val="single"/>
                <w:lang w:val="en-US"/>
              </w:rPr>
              <w:t xml:space="preserve"> </w:t>
            </w:r>
            <w:hyperlink r:id="rId13" w:anchor="/search=consideration&amp;searchLoc=0&amp;resultOrder=basic&amp;multiwordShowSingle=on" w:history="1">
              <w:r w:rsidRPr="0030286F">
                <w:rPr>
                  <w:rFonts w:ascii="Times New Roman" w:hAnsi="Times New Roman"/>
                  <w:sz w:val="20"/>
                  <w:szCs w:val="22"/>
                  <w:u w:val="single"/>
                  <w:lang w:val="en-US"/>
                </w:rPr>
                <w:t>consideration</w:t>
              </w:r>
            </w:hyperlink>
            <w:r w:rsidRPr="0030286F">
              <w:rPr>
                <w:rFonts w:ascii="Times New Roman" w:hAnsi="Times New Roman"/>
                <w:sz w:val="20"/>
                <w:szCs w:val="22"/>
                <w:u w:val="single"/>
                <w:lang w:val="en-US"/>
              </w:rPr>
              <w:t xml:space="preserve"> </w:t>
            </w:r>
            <w:hyperlink r:id="rId14" w:anchor="/search=of&amp;searchLoc=0&amp;resultOrder=basic&amp;multiwordShowSingle=on" w:history="1">
              <w:r w:rsidRPr="0030286F">
                <w:rPr>
                  <w:rFonts w:ascii="Times New Roman" w:hAnsi="Times New Roman"/>
                  <w:sz w:val="20"/>
                  <w:szCs w:val="22"/>
                  <w:u w:val="single"/>
                  <w:lang w:val="en-US"/>
                </w:rPr>
                <w:t>of</w:t>
              </w:r>
            </w:hyperlink>
            <w:r w:rsidRPr="0030286F">
              <w:rPr>
                <w:rFonts w:ascii="Times New Roman" w:hAnsi="Times New Roman"/>
                <w:sz w:val="20"/>
                <w:szCs w:val="22"/>
                <w:u w:val="single"/>
                <w:lang w:val="en-US"/>
              </w:rPr>
              <w:t xml:space="preserve"> </w:t>
            </w:r>
            <w:hyperlink r:id="rId15" w:anchor="/search=the&amp;searchLoc=0&amp;resultOrder=basic&amp;multiwordShowSingle=on" w:history="1">
              <w:r w:rsidRPr="0030286F">
                <w:rPr>
                  <w:rFonts w:ascii="Times New Roman" w:hAnsi="Times New Roman"/>
                  <w:sz w:val="20"/>
                  <w:szCs w:val="22"/>
                  <w:u w:val="single"/>
                  <w:lang w:val="en-US"/>
                </w:rPr>
                <w:t>the</w:t>
              </w:r>
            </w:hyperlink>
            <w:r w:rsidRPr="0030286F">
              <w:rPr>
                <w:rFonts w:ascii="Times New Roman" w:hAnsi="Times New Roman"/>
                <w:sz w:val="20"/>
                <w:szCs w:val="22"/>
                <w:u w:val="single"/>
                <w:lang w:val="en-US"/>
              </w:rPr>
              <w:t xml:space="preserve"> local </w:t>
            </w:r>
            <w:hyperlink r:id="rId16" w:anchor="/search=circumstances&amp;searchLoc=0&amp;resultOrder=basic&amp;multiwordShowSingle=on" w:history="1">
              <w:r w:rsidRPr="0030286F">
                <w:rPr>
                  <w:rFonts w:ascii="Times New Roman" w:hAnsi="Times New Roman"/>
                  <w:sz w:val="20"/>
                  <w:szCs w:val="22"/>
                  <w:u w:val="single"/>
                  <w:lang w:val="en-US"/>
                </w:rPr>
                <w:t>circumstances</w:t>
              </w:r>
            </w:hyperlink>
            <w:r w:rsidRPr="0030286F">
              <w:rPr>
                <w:rFonts w:ascii="Times New Roman" w:hAnsi="Times New Roman"/>
                <w:sz w:val="20"/>
                <w:szCs w:val="22"/>
                <w:lang w:val="en-US"/>
              </w:rPr>
              <w:t xml:space="preserve"> prescribe distances less than those given in 7.2.5.4.3 above.</w:t>
            </w:r>
          </w:p>
        </w:tc>
        <w:tc>
          <w:tcPr>
            <w:tcW w:w="2742" w:type="dxa"/>
            <w:shd w:val="clear" w:color="auto" w:fill="auto"/>
          </w:tcPr>
          <w:p w:rsidR="009E58AD" w:rsidRPr="0030286F" w:rsidRDefault="009E58AD" w:rsidP="0030286F">
            <w:pPr>
              <w:spacing w:before="40" w:after="120" w:line="220" w:lineRule="exact"/>
              <w:ind w:right="113"/>
              <w:rPr>
                <w:rFonts w:ascii="Times New Roman" w:hAnsi="Times New Roman"/>
                <w:sz w:val="20"/>
                <w:szCs w:val="22"/>
                <w:lang w:val="fr-FR"/>
              </w:rPr>
            </w:pPr>
            <w:r w:rsidRPr="0030286F">
              <w:rPr>
                <w:rFonts w:ascii="Times New Roman" w:hAnsi="Times New Roman"/>
                <w:sz w:val="20"/>
                <w:szCs w:val="22"/>
                <w:lang w:val="fr-FR"/>
              </w:rPr>
              <w:t xml:space="preserve">L'autorité compétente peut, en considération des conditions locales, autoriser des distances inférieures à celles qui sont mentionnées au 7.2.5.4.3 </w:t>
            </w:r>
            <w:proofErr w:type="spellStart"/>
            <w:r w:rsidRPr="0030286F">
              <w:rPr>
                <w:rFonts w:ascii="Times New Roman" w:hAnsi="Times New Roman"/>
                <w:sz w:val="20"/>
                <w:szCs w:val="22"/>
                <w:lang w:val="fr-FR"/>
              </w:rPr>
              <w:t>ci­dessus</w:t>
            </w:r>
            <w:proofErr w:type="spellEnd"/>
            <w:r w:rsidRPr="0030286F">
              <w:rPr>
                <w:rFonts w:ascii="Times New Roman" w:hAnsi="Times New Roman"/>
                <w:sz w:val="20"/>
                <w:szCs w:val="22"/>
                <w:lang w:val="fr-FR"/>
              </w:rPr>
              <w:t>.</w:t>
            </w:r>
          </w:p>
        </w:tc>
        <w:tc>
          <w:tcPr>
            <w:tcW w:w="2818" w:type="dxa"/>
            <w:shd w:val="clear" w:color="auto" w:fill="auto"/>
          </w:tcPr>
          <w:p w:rsidR="009E58AD" w:rsidRPr="0030286F" w:rsidRDefault="009E58AD" w:rsidP="0030286F">
            <w:pPr>
              <w:spacing w:before="40" w:after="120" w:line="220" w:lineRule="exact"/>
              <w:ind w:right="113"/>
              <w:rPr>
                <w:rFonts w:ascii="Times New Roman" w:hAnsi="Times New Roman"/>
                <w:sz w:val="20"/>
                <w:szCs w:val="22"/>
              </w:rPr>
            </w:pPr>
            <w:r w:rsidRPr="0030286F">
              <w:rPr>
                <w:rFonts w:ascii="Times New Roman" w:hAnsi="Times New Roman"/>
                <w:sz w:val="20"/>
                <w:szCs w:val="22"/>
              </w:rPr>
              <w:t>Die zuständige Behörde kann unter Berücksichtigung der örtlichen Verhältnisse geringere als die in Absatz 7.2.5.4.3 genannten Abstände zulassen.</w:t>
            </w:r>
          </w:p>
        </w:tc>
      </w:tr>
    </w:tbl>
    <w:p w:rsidR="00432B9A" w:rsidRPr="00036737" w:rsidRDefault="00036737" w:rsidP="00036737">
      <w:pPr>
        <w:suppressAutoHyphens/>
        <w:spacing w:before="120" w:line="240" w:lineRule="atLeast"/>
        <w:ind w:left="1134" w:right="1134"/>
        <w:jc w:val="center"/>
        <w:rPr>
          <w:rFonts w:ascii="Times New Roman" w:hAnsi="Times New Roman"/>
          <w:sz w:val="22"/>
          <w:szCs w:val="22"/>
          <w:u w:val="single"/>
        </w:rPr>
      </w:pPr>
      <w:bookmarkStart w:id="0" w:name="_GoBack"/>
      <w:bookmarkEnd w:id="0"/>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sectPr w:rsidR="00432B9A" w:rsidRPr="00036737" w:rsidSect="0030286F">
      <w:headerReference w:type="even" r:id="rId17"/>
      <w:headerReference w:type="default" r:id="rId18"/>
      <w:footerReference w:type="even" r:id="rId19"/>
      <w:footerReference w:type="default" r:id="rId20"/>
      <w:footerReference w:type="first" r:id="rId2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35" w:rsidRDefault="00FA6D35" w:rsidP="00657C95">
      <w:r>
        <w:separator/>
      </w:r>
    </w:p>
  </w:endnote>
  <w:endnote w:type="continuationSeparator" w:id="0">
    <w:p w:rsidR="00FA6D35" w:rsidRDefault="00FA6D35" w:rsidP="0065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6F" w:rsidRPr="0030286F" w:rsidRDefault="0030286F" w:rsidP="0030286F">
    <w:pPr>
      <w:suppressAutoHyphens/>
      <w:rPr>
        <w:rFonts w:ascii="Times New Roman" w:hAnsi="Times New Roman"/>
        <w:b/>
        <w:sz w:val="18"/>
        <w:szCs w:val="18"/>
        <w:lang w:eastAsia="en-US" w:bidi="ar-SA"/>
      </w:rPr>
    </w:pPr>
    <w:r w:rsidRPr="002C2FED">
      <w:rPr>
        <w:rFonts w:ascii="Times New Roman" w:hAnsi="Times New Roman"/>
        <w:b/>
        <w:sz w:val="18"/>
        <w:szCs w:val="18"/>
        <w:lang w:eastAsia="en-US" w:bidi="ar-SA"/>
      </w:rPr>
      <w:fldChar w:fldCharType="begin"/>
    </w:r>
    <w:r w:rsidRPr="002C2FED">
      <w:rPr>
        <w:rFonts w:ascii="Times New Roman" w:hAnsi="Times New Roman"/>
        <w:b/>
        <w:sz w:val="18"/>
        <w:szCs w:val="18"/>
        <w:lang w:eastAsia="en-US" w:bidi="ar-SA"/>
      </w:rPr>
      <w:instrText xml:space="preserve"> PAGE   \* MERGEFORMAT </w:instrText>
    </w:r>
    <w:r w:rsidRPr="002C2FED">
      <w:rPr>
        <w:rFonts w:ascii="Times New Roman" w:hAnsi="Times New Roman"/>
        <w:b/>
        <w:sz w:val="18"/>
        <w:szCs w:val="18"/>
        <w:lang w:eastAsia="en-US" w:bidi="ar-SA"/>
      </w:rPr>
      <w:fldChar w:fldCharType="separate"/>
    </w:r>
    <w:r w:rsidR="00036737">
      <w:rPr>
        <w:rFonts w:ascii="Times New Roman" w:hAnsi="Times New Roman"/>
        <w:b/>
        <w:noProof/>
        <w:sz w:val="18"/>
        <w:szCs w:val="18"/>
        <w:lang w:eastAsia="en-US" w:bidi="ar-SA"/>
      </w:rPr>
      <w:t>4</w:t>
    </w:r>
    <w:r w:rsidRPr="002C2FED">
      <w:rPr>
        <w:rFonts w:ascii="Times New Roman" w:hAnsi="Times New Roman"/>
        <w:b/>
        <w:noProof/>
        <w:sz w:val="18"/>
        <w:szCs w:val="18"/>
        <w:lang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6F" w:rsidRPr="0030286F" w:rsidRDefault="0030286F" w:rsidP="0030286F">
    <w:pPr>
      <w:suppressAutoHyphens/>
      <w:jc w:val="right"/>
      <w:rPr>
        <w:rFonts w:ascii="Times New Roman" w:hAnsi="Times New Roman"/>
        <w:b/>
        <w:sz w:val="18"/>
        <w:szCs w:val="18"/>
        <w:lang w:eastAsia="en-US" w:bidi="ar-SA"/>
      </w:rPr>
    </w:pPr>
    <w:r w:rsidRPr="002C2FED">
      <w:rPr>
        <w:rFonts w:ascii="Times New Roman" w:hAnsi="Times New Roman"/>
        <w:b/>
        <w:sz w:val="18"/>
        <w:szCs w:val="18"/>
        <w:lang w:eastAsia="en-US" w:bidi="ar-SA"/>
      </w:rPr>
      <w:fldChar w:fldCharType="begin"/>
    </w:r>
    <w:r w:rsidRPr="002C2FED">
      <w:rPr>
        <w:rFonts w:ascii="Times New Roman" w:hAnsi="Times New Roman"/>
        <w:b/>
        <w:sz w:val="18"/>
        <w:szCs w:val="18"/>
        <w:lang w:eastAsia="en-US" w:bidi="ar-SA"/>
      </w:rPr>
      <w:instrText xml:space="preserve"> PAGE   \* MERGEFORMAT </w:instrText>
    </w:r>
    <w:r w:rsidRPr="002C2FED">
      <w:rPr>
        <w:rFonts w:ascii="Times New Roman" w:hAnsi="Times New Roman"/>
        <w:b/>
        <w:sz w:val="18"/>
        <w:szCs w:val="18"/>
        <w:lang w:eastAsia="en-US" w:bidi="ar-SA"/>
      </w:rPr>
      <w:fldChar w:fldCharType="separate"/>
    </w:r>
    <w:r w:rsidR="00036737">
      <w:rPr>
        <w:rFonts w:ascii="Times New Roman" w:hAnsi="Times New Roman"/>
        <w:b/>
        <w:noProof/>
        <w:sz w:val="18"/>
        <w:szCs w:val="18"/>
        <w:lang w:eastAsia="en-US" w:bidi="ar-SA"/>
      </w:rPr>
      <w:t>3</w:t>
    </w:r>
    <w:r w:rsidRPr="002C2FED">
      <w:rPr>
        <w:rFonts w:ascii="Times New Roman" w:hAnsi="Times New Roman"/>
        <w:b/>
        <w:noProof/>
        <w:sz w:val="18"/>
        <w:szCs w:val="18"/>
        <w:lang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6F" w:rsidRPr="0030286F" w:rsidRDefault="0030286F" w:rsidP="0030286F">
    <w:pPr>
      <w:suppressAutoHyphens/>
      <w:jc w:val="right"/>
      <w:rPr>
        <w:rFonts w:ascii="Times New Roman" w:hAnsi="Times New Roman"/>
        <w:b/>
        <w:sz w:val="18"/>
        <w:szCs w:val="18"/>
        <w:lang w:eastAsia="en-US" w:bidi="ar-SA"/>
      </w:rPr>
    </w:pPr>
    <w:r w:rsidRPr="002C2FED">
      <w:rPr>
        <w:rFonts w:ascii="Times New Roman" w:hAnsi="Times New Roman"/>
        <w:b/>
        <w:sz w:val="18"/>
        <w:szCs w:val="18"/>
        <w:lang w:eastAsia="en-US" w:bidi="ar-SA"/>
      </w:rPr>
      <w:fldChar w:fldCharType="begin"/>
    </w:r>
    <w:r w:rsidRPr="002C2FED">
      <w:rPr>
        <w:rFonts w:ascii="Times New Roman" w:hAnsi="Times New Roman"/>
        <w:b/>
        <w:sz w:val="18"/>
        <w:szCs w:val="18"/>
        <w:lang w:eastAsia="en-US" w:bidi="ar-SA"/>
      </w:rPr>
      <w:instrText xml:space="preserve"> PAGE   \* MERGEFORMAT </w:instrText>
    </w:r>
    <w:r w:rsidRPr="002C2FED">
      <w:rPr>
        <w:rFonts w:ascii="Times New Roman" w:hAnsi="Times New Roman"/>
        <w:b/>
        <w:sz w:val="18"/>
        <w:szCs w:val="18"/>
        <w:lang w:eastAsia="en-US" w:bidi="ar-SA"/>
      </w:rPr>
      <w:fldChar w:fldCharType="separate"/>
    </w:r>
    <w:r w:rsidR="00036737">
      <w:rPr>
        <w:rFonts w:ascii="Times New Roman" w:hAnsi="Times New Roman"/>
        <w:b/>
        <w:noProof/>
        <w:sz w:val="18"/>
        <w:szCs w:val="18"/>
        <w:lang w:eastAsia="en-US" w:bidi="ar-SA"/>
      </w:rPr>
      <w:t>1</w:t>
    </w:r>
    <w:r w:rsidRPr="002C2FED">
      <w:rPr>
        <w:rFonts w:ascii="Times New Roman" w:hAnsi="Times New Roman"/>
        <w:b/>
        <w:noProof/>
        <w:sz w:val="18"/>
        <w:szCs w:val="18"/>
        <w:lang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35" w:rsidRDefault="00FA6D35" w:rsidP="00657C95">
      <w:r>
        <w:separator/>
      </w:r>
    </w:p>
  </w:footnote>
  <w:footnote w:type="continuationSeparator" w:id="0">
    <w:p w:rsidR="00FA6D35" w:rsidRDefault="00FA6D35" w:rsidP="0065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6F" w:rsidRPr="0030286F" w:rsidRDefault="0030286F" w:rsidP="0030286F">
    <w:pPr>
      <w:pBdr>
        <w:bottom w:val="single" w:sz="4" w:space="4" w:color="auto"/>
      </w:pBdr>
      <w:suppressAutoHyphens/>
      <w:rPr>
        <w:rFonts w:ascii="Times New Roman" w:hAnsi="Times New Roman"/>
        <w:b/>
        <w:sz w:val="18"/>
        <w:szCs w:val="20"/>
        <w:lang w:eastAsia="en-US" w:bidi="ar-SA"/>
      </w:rPr>
    </w:pPr>
    <w:r w:rsidRPr="002C2FED">
      <w:rPr>
        <w:rFonts w:ascii="Times New Roman" w:hAnsi="Times New Roman"/>
        <w:b/>
        <w:sz w:val="18"/>
        <w:szCs w:val="20"/>
        <w:lang w:eastAsia="en-US" w:bidi="ar-SA"/>
      </w:rPr>
      <w:t>W</w:t>
    </w:r>
    <w:r>
      <w:rPr>
        <w:rFonts w:ascii="Times New Roman" w:hAnsi="Times New Roman"/>
        <w:b/>
        <w:sz w:val="18"/>
        <w:szCs w:val="20"/>
        <w:lang w:eastAsia="en-US" w:bidi="ar-SA"/>
      </w:rPr>
      <w:t>P.15/AC.2/28/INF.11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95" w:rsidRPr="0030286F" w:rsidRDefault="0030286F" w:rsidP="0030286F">
    <w:pPr>
      <w:pBdr>
        <w:bottom w:val="single" w:sz="4" w:space="4" w:color="auto"/>
      </w:pBdr>
      <w:suppressAutoHyphens/>
      <w:jc w:val="right"/>
      <w:rPr>
        <w:rFonts w:ascii="Times New Roman" w:hAnsi="Times New Roman"/>
        <w:b/>
        <w:sz w:val="18"/>
        <w:szCs w:val="20"/>
        <w:lang w:eastAsia="en-US" w:bidi="ar-SA"/>
      </w:rPr>
    </w:pPr>
    <w:r w:rsidRPr="002C2FED">
      <w:rPr>
        <w:rFonts w:ascii="Times New Roman" w:hAnsi="Times New Roman"/>
        <w:b/>
        <w:sz w:val="18"/>
        <w:szCs w:val="20"/>
        <w:lang w:eastAsia="en-US" w:bidi="ar-SA"/>
      </w:rPr>
      <w:t>W</w:t>
    </w:r>
    <w:r>
      <w:rPr>
        <w:rFonts w:ascii="Times New Roman" w:hAnsi="Times New Roman"/>
        <w:b/>
        <w:sz w:val="18"/>
        <w:szCs w:val="20"/>
        <w:lang w:eastAsia="en-US" w:bidi="ar-SA"/>
      </w:rPr>
      <w:t>P.15/AC.2/28/INF.11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B53"/>
    <w:multiLevelType w:val="multilevel"/>
    <w:tmpl w:val="F3D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84168"/>
    <w:multiLevelType w:val="hybridMultilevel"/>
    <w:tmpl w:val="E67EF818"/>
    <w:lvl w:ilvl="0" w:tplc="FB324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6B27E5"/>
    <w:multiLevelType w:val="hybridMultilevel"/>
    <w:tmpl w:val="09DA3AA8"/>
    <w:lvl w:ilvl="0" w:tplc="812E23CE">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674EBC"/>
    <w:multiLevelType w:val="hybridMultilevel"/>
    <w:tmpl w:val="A9C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8E1B17"/>
    <w:multiLevelType w:val="hybridMultilevel"/>
    <w:tmpl w:val="6E3673F2"/>
    <w:lvl w:ilvl="0" w:tplc="0AA819B4">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C45E6"/>
    <w:multiLevelType w:val="hybridMultilevel"/>
    <w:tmpl w:val="C9A8CE0E"/>
    <w:lvl w:ilvl="0" w:tplc="35988480">
      <w:start w:val="1"/>
      <w:numFmt w:val="bullet"/>
      <w:lvlText w:val="-"/>
      <w:lvlJc w:val="left"/>
      <w:pPr>
        <w:ind w:left="1760" w:hanging="360"/>
      </w:pPr>
      <w:rPr>
        <w:rFonts w:ascii="Times New Roman" w:eastAsia="Times New Roman" w:hAnsi="Times New Roman" w:cs="Times New Roman"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88"/>
    <w:rsid w:val="00036737"/>
    <w:rsid w:val="000722BF"/>
    <w:rsid w:val="000861EB"/>
    <w:rsid w:val="000914D1"/>
    <w:rsid w:val="0009215A"/>
    <w:rsid w:val="000A2312"/>
    <w:rsid w:val="000A28E4"/>
    <w:rsid w:val="000C6E63"/>
    <w:rsid w:val="000D284F"/>
    <w:rsid w:val="000D7326"/>
    <w:rsid w:val="00102142"/>
    <w:rsid w:val="0010341D"/>
    <w:rsid w:val="00120DE8"/>
    <w:rsid w:val="00132DA7"/>
    <w:rsid w:val="001961B7"/>
    <w:rsid w:val="001B0AC1"/>
    <w:rsid w:val="001D6888"/>
    <w:rsid w:val="001F6092"/>
    <w:rsid w:val="00201621"/>
    <w:rsid w:val="00215DB7"/>
    <w:rsid w:val="0022538C"/>
    <w:rsid w:val="00243868"/>
    <w:rsid w:val="002B3246"/>
    <w:rsid w:val="002B3AA3"/>
    <w:rsid w:val="002C14C7"/>
    <w:rsid w:val="0030286F"/>
    <w:rsid w:val="00305E54"/>
    <w:rsid w:val="003A5A3E"/>
    <w:rsid w:val="003A7661"/>
    <w:rsid w:val="003C76C2"/>
    <w:rsid w:val="003F7C6E"/>
    <w:rsid w:val="004011A1"/>
    <w:rsid w:val="00432B9A"/>
    <w:rsid w:val="00456A1E"/>
    <w:rsid w:val="004665E2"/>
    <w:rsid w:val="00481292"/>
    <w:rsid w:val="00511893"/>
    <w:rsid w:val="00552407"/>
    <w:rsid w:val="00591A7D"/>
    <w:rsid w:val="0059318A"/>
    <w:rsid w:val="005C5091"/>
    <w:rsid w:val="005E281D"/>
    <w:rsid w:val="00602120"/>
    <w:rsid w:val="00602950"/>
    <w:rsid w:val="0061628A"/>
    <w:rsid w:val="00622103"/>
    <w:rsid w:val="00643AEA"/>
    <w:rsid w:val="00657C95"/>
    <w:rsid w:val="00683731"/>
    <w:rsid w:val="006938AD"/>
    <w:rsid w:val="006E3AF3"/>
    <w:rsid w:val="007145A8"/>
    <w:rsid w:val="00735F83"/>
    <w:rsid w:val="00751575"/>
    <w:rsid w:val="007A579C"/>
    <w:rsid w:val="00876C15"/>
    <w:rsid w:val="008B0A88"/>
    <w:rsid w:val="008B0E4F"/>
    <w:rsid w:val="008F41A0"/>
    <w:rsid w:val="009027E9"/>
    <w:rsid w:val="0097226F"/>
    <w:rsid w:val="00993F7B"/>
    <w:rsid w:val="009C6116"/>
    <w:rsid w:val="009E58AD"/>
    <w:rsid w:val="009F06DD"/>
    <w:rsid w:val="00A26431"/>
    <w:rsid w:val="00A445B2"/>
    <w:rsid w:val="00A52A4D"/>
    <w:rsid w:val="00AD5DA7"/>
    <w:rsid w:val="00B12839"/>
    <w:rsid w:val="00B4533C"/>
    <w:rsid w:val="00B47726"/>
    <w:rsid w:val="00B74D7C"/>
    <w:rsid w:val="00BA7AF9"/>
    <w:rsid w:val="00C0093E"/>
    <w:rsid w:val="00C07B82"/>
    <w:rsid w:val="00C42E01"/>
    <w:rsid w:val="00C47E50"/>
    <w:rsid w:val="00C90DFA"/>
    <w:rsid w:val="00CB104D"/>
    <w:rsid w:val="00CB5D6C"/>
    <w:rsid w:val="00CB7ED9"/>
    <w:rsid w:val="00CC1DD3"/>
    <w:rsid w:val="00CD032D"/>
    <w:rsid w:val="00CD6F79"/>
    <w:rsid w:val="00CE5BED"/>
    <w:rsid w:val="00CF33DD"/>
    <w:rsid w:val="00D203B6"/>
    <w:rsid w:val="00D60000"/>
    <w:rsid w:val="00D6683B"/>
    <w:rsid w:val="00D94924"/>
    <w:rsid w:val="00D95B8A"/>
    <w:rsid w:val="00DB57E7"/>
    <w:rsid w:val="00DB7BA3"/>
    <w:rsid w:val="00DF3E4C"/>
    <w:rsid w:val="00E172F0"/>
    <w:rsid w:val="00E64F90"/>
    <w:rsid w:val="00EA3E44"/>
    <w:rsid w:val="00EC4E94"/>
    <w:rsid w:val="00ED557F"/>
    <w:rsid w:val="00F26FA3"/>
    <w:rsid w:val="00F5282A"/>
    <w:rsid w:val="00F626BD"/>
    <w:rsid w:val="00FA6D35"/>
    <w:rsid w:val="00FC0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947FD9-517C-4081-BEC4-2C08EF72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5A"/>
    <w:rPr>
      <w:rFonts w:ascii="Arial" w:hAnsi="Arial"/>
      <w:sz w:val="24"/>
      <w:szCs w:val="24"/>
    </w:rPr>
  </w:style>
  <w:style w:type="paragraph" w:styleId="Heading2">
    <w:name w:val="heading 2"/>
    <w:basedOn w:val="Normal"/>
    <w:next w:val="Normal"/>
    <w:link w:val="Heading2Char"/>
    <w:qFormat/>
    <w:rsid w:val="00CF33DD"/>
    <w:pPr>
      <w:keepNext/>
      <w:jc w:val="center"/>
      <w:outlineLvl w:val="1"/>
    </w:pPr>
    <w:rPr>
      <w:rFonts w:ascii="Times New Roman" w:hAnsi="Times New Roman"/>
      <w:b/>
      <w:caps/>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9C6116"/>
    <w:pPr>
      <w:suppressAutoHyphens/>
      <w:spacing w:after="120" w:line="240" w:lineRule="atLeast"/>
      <w:ind w:left="1134" w:right="1134"/>
      <w:jc w:val="both"/>
    </w:pPr>
    <w:rPr>
      <w:rFonts w:ascii="Times New Roman" w:hAnsi="Times New Roman"/>
      <w:sz w:val="20"/>
      <w:szCs w:val="20"/>
    </w:rPr>
  </w:style>
  <w:style w:type="paragraph" w:styleId="ListParagraph">
    <w:name w:val="List Paragraph"/>
    <w:basedOn w:val="Normal"/>
    <w:uiPriority w:val="34"/>
    <w:qFormat/>
    <w:rsid w:val="007145A8"/>
    <w:pPr>
      <w:ind w:left="720"/>
      <w:contextualSpacing/>
    </w:pPr>
  </w:style>
  <w:style w:type="paragraph" w:customStyle="1" w:styleId="N2">
    <w:name w:val="N2"/>
    <w:basedOn w:val="Normal"/>
    <w:rsid w:val="00E172F0"/>
    <w:pPr>
      <w:widowControl w:val="0"/>
      <w:overflowPunct w:val="0"/>
      <w:autoSpaceDE w:val="0"/>
      <w:autoSpaceDN w:val="0"/>
      <w:adjustRightInd w:val="0"/>
      <w:ind w:left="1134" w:hanging="1134"/>
      <w:jc w:val="both"/>
      <w:textAlignment w:val="baseline"/>
    </w:pPr>
    <w:rPr>
      <w:sz w:val="20"/>
      <w:szCs w:val="20"/>
    </w:rPr>
  </w:style>
  <w:style w:type="paragraph" w:customStyle="1" w:styleId="N5">
    <w:name w:val="N5"/>
    <w:basedOn w:val="Normal"/>
    <w:rsid w:val="00E172F0"/>
    <w:pPr>
      <w:overflowPunct w:val="0"/>
      <w:autoSpaceDE w:val="0"/>
      <w:autoSpaceDN w:val="0"/>
      <w:adjustRightInd w:val="0"/>
      <w:ind w:left="1418" w:hanging="284"/>
      <w:jc w:val="both"/>
      <w:textAlignment w:val="baseline"/>
    </w:pPr>
    <w:rPr>
      <w:sz w:val="20"/>
      <w:szCs w:val="20"/>
    </w:rPr>
  </w:style>
  <w:style w:type="paragraph" w:customStyle="1" w:styleId="HChG">
    <w:name w:val="_ H _Ch_G"/>
    <w:basedOn w:val="Normal"/>
    <w:next w:val="Normal"/>
    <w:rsid w:val="00A52A4D"/>
    <w:pPr>
      <w:keepNext/>
      <w:keepLines/>
      <w:tabs>
        <w:tab w:val="right" w:pos="851"/>
      </w:tabs>
      <w:suppressAutoHyphens/>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A52A4D"/>
    <w:pPr>
      <w:keepNext/>
      <w:keepLines/>
      <w:tabs>
        <w:tab w:val="right" w:pos="851"/>
      </w:tabs>
      <w:suppressAutoHyphens/>
      <w:spacing w:before="360" w:after="240" w:line="270" w:lineRule="exact"/>
      <w:ind w:left="1134" w:right="1134" w:hanging="1134"/>
    </w:pPr>
    <w:rPr>
      <w:rFonts w:ascii="Times New Roman" w:hAnsi="Times New Roman"/>
      <w:b/>
      <w:szCs w:val="20"/>
    </w:rPr>
  </w:style>
  <w:style w:type="paragraph" w:styleId="Header">
    <w:name w:val="header"/>
    <w:basedOn w:val="Normal"/>
    <w:link w:val="HeaderChar"/>
    <w:uiPriority w:val="99"/>
    <w:rsid w:val="00A445B2"/>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445B2"/>
    <w:rPr>
      <w:sz w:val="24"/>
      <w:lang w:val="en-GB" w:eastAsia="en-GB"/>
    </w:rPr>
  </w:style>
  <w:style w:type="paragraph" w:styleId="BalloonText">
    <w:name w:val="Balloon Text"/>
    <w:basedOn w:val="Normal"/>
    <w:link w:val="BalloonTextChar"/>
    <w:rsid w:val="00481292"/>
    <w:rPr>
      <w:rFonts w:ascii="Tahoma" w:hAnsi="Tahoma" w:cs="Tahoma"/>
      <w:sz w:val="16"/>
      <w:szCs w:val="16"/>
    </w:rPr>
  </w:style>
  <w:style w:type="character" w:customStyle="1" w:styleId="BalloonTextChar">
    <w:name w:val="Balloon Text Char"/>
    <w:basedOn w:val="DefaultParagraphFont"/>
    <w:link w:val="BalloonText"/>
    <w:rsid w:val="00481292"/>
    <w:rPr>
      <w:rFonts w:ascii="Tahoma" w:hAnsi="Tahoma" w:cs="Tahoma"/>
      <w:sz w:val="16"/>
      <w:szCs w:val="16"/>
    </w:rPr>
  </w:style>
  <w:style w:type="paragraph" w:styleId="CommentText">
    <w:name w:val="annotation text"/>
    <w:link w:val="CommentTextChar"/>
    <w:uiPriority w:val="99"/>
    <w:semiHidden/>
    <w:unhideWhenUsed/>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rsid w:val="002B3246"/>
    <w:rPr>
      <w:rFonts w:ascii="Arial" w:hAnsi="Arial"/>
      <w:b/>
      <w:bCs/>
    </w:rPr>
  </w:style>
  <w:style w:type="character" w:customStyle="1" w:styleId="CommentTextChar">
    <w:name w:val="Comment Text Char"/>
    <w:basedOn w:val="DefaultParagraphFont"/>
    <w:link w:val="CommentText"/>
    <w:uiPriority w:val="99"/>
    <w:semiHidden/>
    <w:rsid w:val="002B3246"/>
  </w:style>
  <w:style w:type="character" w:customStyle="1" w:styleId="CommentSubjectChar">
    <w:name w:val="Comment Subject Char"/>
    <w:basedOn w:val="CommentTextChar"/>
    <w:link w:val="CommentSubject"/>
    <w:rsid w:val="002B3246"/>
    <w:rPr>
      <w:rFonts w:ascii="Arial" w:hAnsi="Arial"/>
      <w:b/>
      <w:bCs/>
    </w:rPr>
  </w:style>
  <w:style w:type="paragraph" w:styleId="Footer">
    <w:name w:val="footer"/>
    <w:basedOn w:val="Normal"/>
    <w:link w:val="FooterChar"/>
    <w:rsid w:val="00657C95"/>
    <w:pPr>
      <w:tabs>
        <w:tab w:val="center" w:pos="4536"/>
        <w:tab w:val="right" w:pos="9072"/>
      </w:tabs>
    </w:pPr>
  </w:style>
  <w:style w:type="character" w:customStyle="1" w:styleId="FooterChar">
    <w:name w:val="Footer Char"/>
    <w:basedOn w:val="DefaultParagraphFont"/>
    <w:link w:val="Footer"/>
    <w:rsid w:val="00657C95"/>
    <w:rPr>
      <w:rFonts w:ascii="Arial" w:hAnsi="Arial"/>
      <w:sz w:val="24"/>
      <w:szCs w:val="24"/>
    </w:rPr>
  </w:style>
  <w:style w:type="character" w:styleId="Hyperlink">
    <w:name w:val="Hyperlink"/>
    <w:basedOn w:val="DefaultParagraphFont"/>
    <w:rsid w:val="00F26FA3"/>
    <w:rPr>
      <w:color w:val="0000FF" w:themeColor="hyperlink"/>
      <w:u w:val="single"/>
    </w:rPr>
  </w:style>
  <w:style w:type="character" w:styleId="Strong">
    <w:name w:val="Strong"/>
    <w:basedOn w:val="DefaultParagraphFont"/>
    <w:uiPriority w:val="22"/>
    <w:qFormat/>
    <w:rsid w:val="00C0093E"/>
    <w:rPr>
      <w:b/>
      <w:bCs/>
    </w:rPr>
  </w:style>
  <w:style w:type="character" w:customStyle="1" w:styleId="Heading2Char">
    <w:name w:val="Heading 2 Char"/>
    <w:basedOn w:val="DefaultParagraphFont"/>
    <w:link w:val="Heading2"/>
    <w:rsid w:val="00CF33DD"/>
    <w:rPr>
      <w:b/>
      <w:caps/>
      <w:sz w:val="24"/>
      <w:lang w:eastAsia="en-US" w:bidi="ar-SA"/>
    </w:rPr>
  </w:style>
  <w:style w:type="table" w:styleId="TableGrid">
    <w:name w:val="Table Grid"/>
    <w:basedOn w:val="TableNormal"/>
    <w:rsid w:val="009E58AD"/>
    <w:rPr>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4">
    <w:name w:val="N4"/>
    <w:basedOn w:val="Normal"/>
    <w:rsid w:val="009E58AD"/>
    <w:pPr>
      <w:widowControl w:val="0"/>
      <w:tabs>
        <w:tab w:val="left" w:pos="284"/>
        <w:tab w:val="left" w:pos="454"/>
        <w:tab w:val="left" w:pos="680"/>
        <w:tab w:val="left" w:pos="1418"/>
      </w:tabs>
      <w:overflowPunct w:val="0"/>
      <w:autoSpaceDE w:val="0"/>
      <w:autoSpaceDN w:val="0"/>
      <w:adjustRightInd w:val="0"/>
      <w:jc w:val="both"/>
      <w:textAlignment w:val="baseline"/>
    </w:pPr>
    <w:rPr>
      <w:rFonts w:ascii="Times New Roman" w:hAnsi="Times New Roman"/>
      <w:sz w:val="22"/>
      <w:szCs w:val="20"/>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9661">
      <w:bodyDiv w:val="1"/>
      <w:marLeft w:val="0"/>
      <w:marRight w:val="0"/>
      <w:marTop w:val="0"/>
      <w:marBottom w:val="0"/>
      <w:divBdr>
        <w:top w:val="none" w:sz="0" w:space="0" w:color="auto"/>
        <w:left w:val="none" w:sz="0" w:space="0" w:color="auto"/>
        <w:bottom w:val="none" w:sz="0" w:space="0" w:color="auto"/>
        <w:right w:val="none" w:sz="0" w:space="0" w:color="auto"/>
      </w:divBdr>
      <w:divsChild>
        <w:div w:id="958611782">
          <w:marLeft w:val="0"/>
          <w:marRight w:val="0"/>
          <w:marTop w:val="0"/>
          <w:marBottom w:val="0"/>
          <w:divBdr>
            <w:top w:val="none" w:sz="0" w:space="0" w:color="auto"/>
            <w:left w:val="none" w:sz="0" w:space="0" w:color="auto"/>
            <w:bottom w:val="none" w:sz="0" w:space="0" w:color="auto"/>
            <w:right w:val="none" w:sz="0" w:space="0" w:color="auto"/>
          </w:divBdr>
          <w:divsChild>
            <w:div w:id="699358553">
              <w:marLeft w:val="0"/>
              <w:marRight w:val="0"/>
              <w:marTop w:val="0"/>
              <w:marBottom w:val="0"/>
              <w:divBdr>
                <w:top w:val="none" w:sz="0" w:space="0" w:color="auto"/>
                <w:left w:val="none" w:sz="0" w:space="0" w:color="auto"/>
                <w:bottom w:val="none" w:sz="0" w:space="0" w:color="auto"/>
                <w:right w:val="none" w:sz="0" w:space="0" w:color="auto"/>
              </w:divBdr>
              <w:divsChild>
                <w:div w:id="1241595125">
                  <w:marLeft w:val="-2925"/>
                  <w:marRight w:val="0"/>
                  <w:marTop w:val="0"/>
                  <w:marBottom w:val="0"/>
                  <w:divBdr>
                    <w:top w:val="none" w:sz="0" w:space="0" w:color="auto"/>
                    <w:left w:val="none" w:sz="0" w:space="0" w:color="auto"/>
                    <w:bottom w:val="none" w:sz="0" w:space="0" w:color="auto"/>
                    <w:right w:val="none" w:sz="0" w:space="0" w:color="auto"/>
                  </w:divBdr>
                  <w:divsChild>
                    <w:div w:id="1947927908">
                      <w:marLeft w:val="0"/>
                      <w:marRight w:val="0"/>
                      <w:marTop w:val="1020"/>
                      <w:marBottom w:val="0"/>
                      <w:divBdr>
                        <w:top w:val="none" w:sz="0" w:space="0" w:color="auto"/>
                        <w:left w:val="none" w:sz="0" w:space="0" w:color="auto"/>
                        <w:bottom w:val="none" w:sz="0" w:space="0" w:color="auto"/>
                        <w:right w:val="none" w:sz="0" w:space="0" w:color="auto"/>
                      </w:divBdr>
                      <w:divsChild>
                        <w:div w:id="486747549">
                          <w:marLeft w:val="225"/>
                          <w:marRight w:val="-53"/>
                          <w:marTop w:val="0"/>
                          <w:marBottom w:val="0"/>
                          <w:divBdr>
                            <w:top w:val="none" w:sz="0" w:space="0" w:color="auto"/>
                            <w:left w:val="none" w:sz="0" w:space="0" w:color="auto"/>
                            <w:bottom w:val="single" w:sz="18" w:space="0" w:color="FFFFFF"/>
                            <w:right w:val="none" w:sz="0" w:space="0" w:color="auto"/>
                          </w:divBdr>
                          <w:divsChild>
                            <w:div w:id="958292452">
                              <w:marLeft w:val="0"/>
                              <w:marRight w:val="6"/>
                              <w:marTop w:val="0"/>
                              <w:marBottom w:val="0"/>
                              <w:divBdr>
                                <w:top w:val="none" w:sz="0" w:space="0" w:color="auto"/>
                                <w:left w:val="none" w:sz="0" w:space="0" w:color="auto"/>
                                <w:bottom w:val="none" w:sz="0" w:space="0" w:color="auto"/>
                                <w:right w:val="none" w:sz="0" w:space="0" w:color="auto"/>
                              </w:divBdr>
                              <w:divsChild>
                                <w:div w:id="798035290">
                                  <w:marLeft w:val="0"/>
                                  <w:marRight w:val="0"/>
                                  <w:marTop w:val="0"/>
                                  <w:marBottom w:val="435"/>
                                  <w:divBdr>
                                    <w:top w:val="none" w:sz="0" w:space="0" w:color="auto"/>
                                    <w:left w:val="none" w:sz="0" w:space="0" w:color="auto"/>
                                    <w:bottom w:val="none" w:sz="0" w:space="0" w:color="auto"/>
                                    <w:right w:val="none" w:sz="0" w:space="0" w:color="auto"/>
                                  </w:divBdr>
                                  <w:divsChild>
                                    <w:div w:id="502817533">
                                      <w:marLeft w:val="165"/>
                                      <w:marRight w:val="165"/>
                                      <w:marTop w:val="0"/>
                                      <w:marBottom w:val="0"/>
                                      <w:divBdr>
                                        <w:top w:val="none" w:sz="0" w:space="0" w:color="auto"/>
                                        <w:left w:val="none" w:sz="0" w:space="0" w:color="auto"/>
                                        <w:bottom w:val="none" w:sz="0" w:space="0" w:color="auto"/>
                                        <w:right w:val="none" w:sz="0" w:space="0" w:color="auto"/>
                                      </w:divBdr>
                                      <w:divsChild>
                                        <w:div w:id="797459328">
                                          <w:marLeft w:val="0"/>
                                          <w:marRight w:val="0"/>
                                          <w:marTop w:val="0"/>
                                          <w:marBottom w:val="0"/>
                                          <w:divBdr>
                                            <w:top w:val="none" w:sz="0" w:space="0" w:color="auto"/>
                                            <w:left w:val="none" w:sz="0" w:space="0" w:color="auto"/>
                                            <w:bottom w:val="none" w:sz="0" w:space="0" w:color="auto"/>
                                            <w:right w:val="none" w:sz="0" w:space="0" w:color="auto"/>
                                          </w:divBdr>
                                          <w:divsChild>
                                            <w:div w:id="1918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leo.org/ende/index_de.html" TargetMode="External"/><Relationship Id="rId13" Type="http://schemas.openxmlformats.org/officeDocument/2006/relationships/hyperlink" Target="http://dict.leo.org/ende/index_de.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dict.leo.org/ende/index_de.html" TargetMode="External"/><Relationship Id="rId12" Type="http://schemas.openxmlformats.org/officeDocument/2006/relationships/hyperlink" Target="http://dict.leo.org/ende/index_d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ct.leo.org/ende/index_de.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leo.org/ende/index_de.html" TargetMode="External"/><Relationship Id="rId5" Type="http://schemas.openxmlformats.org/officeDocument/2006/relationships/footnotes" Target="footnotes.xml"/><Relationship Id="rId15" Type="http://schemas.openxmlformats.org/officeDocument/2006/relationships/hyperlink" Target="http://dict.leo.org/ende/index_de.html" TargetMode="External"/><Relationship Id="rId23" Type="http://schemas.openxmlformats.org/officeDocument/2006/relationships/theme" Target="theme/theme1.xml"/><Relationship Id="rId10" Type="http://schemas.openxmlformats.org/officeDocument/2006/relationships/hyperlink" Target="http://dict.leo.org/ende/index_d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ct.leo.org/ende/index_de.html" TargetMode="External"/><Relationship Id="rId14" Type="http://schemas.openxmlformats.org/officeDocument/2006/relationships/hyperlink" Target="http://dict.leo.org/ende/index_de.htm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1774</Words>
  <Characters>9759</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Caillot</cp:lastModifiedBy>
  <cp:revision>4</cp:revision>
  <cp:lastPrinted>2015-10-29T10:08:00Z</cp:lastPrinted>
  <dcterms:created xsi:type="dcterms:W3CDTF">2015-12-30T16:26:00Z</dcterms:created>
  <dcterms:modified xsi:type="dcterms:W3CDTF">2015-12-30T16:36:00Z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1612309112</vt:i4>
  </property>
  <property fmtid="{D5CDD505-2E9C-101B-9397-08002B2CF9AE}" pid="3" name="_NewReviewCycle">
    <vt:lpwstr/>
  </property>
  <property fmtid="{D5CDD505-2E9C-101B-9397-08002B2CF9AE}" pid="4" name="_ReviewingToolsShownOnce">
    <vt:lpwstr/>
  </property>
</Properties>
</file>