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C0" w:rsidRPr="00975915" w:rsidRDefault="00D20437" w:rsidP="000A4580">
      <w:pPr>
        <w:spacing w:after="0"/>
        <w:ind w:left="5387" w:right="-286"/>
        <w:outlineLvl w:val="0"/>
        <w:rPr>
          <w:rFonts w:ascii="Arial" w:hAnsi="Arial"/>
          <w:snapToGrid w:val="0"/>
          <w:sz w:val="20"/>
          <w:lang w:val="fr-FR" w:eastAsia="fr-FR" w:bidi="fr-FR"/>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007E68C0" w:rsidRPr="00975915">
        <w:rPr>
          <w:rFonts w:ascii="Arial" w:eastAsia="Arial" w:hAnsi="Arial" w:cs="Arial"/>
          <w:bCs/>
          <w:sz w:val="20"/>
          <w:szCs w:val="24"/>
          <w:lang w:val="fr-FR" w:eastAsia="de-DE"/>
        </w:rPr>
        <w:t>CCNR-ZKR/ADN/WP.15/AC.2/201</w:t>
      </w:r>
      <w:r w:rsidR="002E779A" w:rsidRPr="00975915">
        <w:rPr>
          <w:rFonts w:ascii="Arial" w:eastAsia="Arial" w:hAnsi="Arial" w:cs="Arial"/>
          <w:bCs/>
          <w:sz w:val="20"/>
          <w:szCs w:val="24"/>
          <w:lang w:val="fr-FR" w:eastAsia="de-DE"/>
        </w:rPr>
        <w:t>6</w:t>
      </w:r>
      <w:r w:rsidR="007E68C0" w:rsidRPr="00975915">
        <w:rPr>
          <w:rFonts w:ascii="Arial" w:eastAsia="Arial" w:hAnsi="Arial" w:cs="Arial"/>
          <w:bCs/>
          <w:sz w:val="20"/>
          <w:szCs w:val="24"/>
          <w:lang w:val="fr-FR" w:eastAsia="de-DE"/>
        </w:rPr>
        <w:t>/</w:t>
      </w:r>
      <w:r w:rsidR="00A31B36">
        <w:rPr>
          <w:rFonts w:ascii="Arial" w:eastAsia="Arial" w:hAnsi="Arial" w:cs="Arial"/>
          <w:bCs/>
          <w:sz w:val="20"/>
          <w:szCs w:val="24"/>
          <w:lang w:val="fr-FR" w:eastAsia="de-DE"/>
        </w:rPr>
        <w:t>40</w:t>
      </w:r>
    </w:p>
    <w:p w:rsidR="007E68C0" w:rsidRPr="007E68C0" w:rsidRDefault="007E68C0" w:rsidP="007E68C0">
      <w:pPr>
        <w:tabs>
          <w:tab w:val="left" w:pos="5670"/>
        </w:tabs>
        <w:spacing w:after="0"/>
        <w:ind w:left="5387"/>
        <w:rPr>
          <w:rFonts w:ascii="Arial" w:hAnsi="Arial" w:cs="Arial"/>
          <w:sz w:val="16"/>
          <w:szCs w:val="24"/>
          <w:lang w:val="de-DE" w:eastAsia="de-DE"/>
        </w:rPr>
      </w:pPr>
      <w:r w:rsidRPr="007E68C0">
        <w:rPr>
          <w:rFonts w:ascii="Arial" w:hAnsi="Arial" w:cs="Arial"/>
          <w:sz w:val="16"/>
          <w:szCs w:val="24"/>
          <w:lang w:val="de-DE" w:eastAsia="de-DE"/>
        </w:rPr>
        <w:t>Allgemeine Verteilung</w:t>
      </w:r>
    </w:p>
    <w:p w:rsidR="007E68C0" w:rsidRPr="007E68C0" w:rsidRDefault="00A31B36" w:rsidP="007E68C0">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8</w:t>
      </w:r>
      <w:r w:rsidR="007E68C0" w:rsidRPr="007E68C0">
        <w:rPr>
          <w:rFonts w:ascii="Arial" w:eastAsia="Arial" w:hAnsi="Arial" w:cs="Arial"/>
          <w:sz w:val="20"/>
          <w:szCs w:val="24"/>
          <w:lang w:val="de-DE" w:eastAsia="de-DE"/>
        </w:rPr>
        <w:t xml:space="preserve">. </w:t>
      </w:r>
      <w:r>
        <w:rPr>
          <w:rFonts w:ascii="Arial" w:eastAsia="Arial" w:hAnsi="Arial" w:cs="Arial"/>
          <w:sz w:val="20"/>
          <w:szCs w:val="24"/>
          <w:lang w:val="de-DE" w:eastAsia="de-DE"/>
        </w:rPr>
        <w:t>Juni</w:t>
      </w:r>
      <w:r w:rsidR="007E68C0" w:rsidRPr="007E68C0">
        <w:rPr>
          <w:rFonts w:ascii="Arial" w:eastAsia="Arial" w:hAnsi="Arial" w:cs="Arial"/>
          <w:sz w:val="20"/>
          <w:szCs w:val="24"/>
          <w:lang w:val="de-DE" w:eastAsia="de-DE"/>
        </w:rPr>
        <w:t xml:space="preserve"> 201</w:t>
      </w:r>
      <w:r w:rsidR="002E779A">
        <w:rPr>
          <w:rFonts w:ascii="Arial" w:eastAsia="Arial" w:hAnsi="Arial" w:cs="Arial"/>
          <w:sz w:val="20"/>
          <w:szCs w:val="24"/>
          <w:lang w:val="de-DE" w:eastAsia="de-DE"/>
        </w:rPr>
        <w:t>6</w:t>
      </w:r>
    </w:p>
    <w:p w:rsidR="007E68C0" w:rsidRPr="007E68C0"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7E68C0">
        <w:rPr>
          <w:rFonts w:ascii="Arial" w:eastAsia="Arial" w:hAnsi="Arial" w:cs="Arial"/>
          <w:sz w:val="16"/>
          <w:szCs w:val="24"/>
          <w:lang w:val="de-DE" w:eastAsia="de-DE"/>
        </w:rPr>
        <w:t>Or. DEUTSCH</w:t>
      </w:r>
    </w:p>
    <w:p w:rsidR="007E68C0" w:rsidRPr="007E68C0" w:rsidRDefault="007E68C0" w:rsidP="007E68C0">
      <w:pPr>
        <w:spacing w:after="0"/>
        <w:rPr>
          <w:rFonts w:ascii="Arial" w:hAnsi="Arial" w:cs="Arial"/>
          <w:sz w:val="16"/>
          <w:szCs w:val="24"/>
          <w:lang w:val="de-DE" w:eastAsia="de-DE"/>
        </w:rPr>
      </w:pPr>
    </w:p>
    <w:p w:rsidR="007E68C0" w:rsidRPr="007E68C0" w:rsidRDefault="007E68C0" w:rsidP="007E68C0">
      <w:pPr>
        <w:spacing w:after="0"/>
        <w:rPr>
          <w:rFonts w:ascii="Arial" w:hAnsi="Arial" w:cs="Arial"/>
          <w:sz w:val="16"/>
          <w:szCs w:val="24"/>
          <w:lang w:val="de-DE" w:eastAsia="de-DE"/>
        </w:rPr>
      </w:pPr>
    </w:p>
    <w:p w:rsidR="007E68C0" w:rsidRPr="007E68C0"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7E68C0">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7E68C0"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7E68C0">
        <w:rPr>
          <w:rFonts w:ascii="Arial" w:hAnsi="Arial" w:cs="Arial"/>
          <w:snapToGrid w:val="0"/>
          <w:sz w:val="16"/>
          <w:szCs w:val="16"/>
          <w:lang w:val="de-DE" w:eastAsia="fr-FR"/>
        </w:rPr>
        <w:t>BEIGEFÜGTE VERORDNUNG (ADN)</w:t>
      </w:r>
    </w:p>
    <w:p w:rsidR="007E68C0" w:rsidRP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(SICHERHEITSAUSSCHUSS)</w:t>
      </w:r>
    </w:p>
    <w:p w:rsidR="007E68C0" w:rsidRP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(2</w:t>
      </w:r>
      <w:r w:rsidR="002E779A">
        <w:rPr>
          <w:rFonts w:ascii="Arial" w:hAnsi="Arial" w:cs="Arial"/>
          <w:snapToGrid w:val="0"/>
          <w:sz w:val="16"/>
          <w:szCs w:val="16"/>
          <w:lang w:val="de-DE" w:eastAsia="fr-FR"/>
        </w:rPr>
        <w:t>9</w:t>
      </w:r>
      <w:r w:rsidRPr="007E68C0">
        <w:rPr>
          <w:rFonts w:ascii="Arial" w:hAnsi="Arial" w:cs="Arial"/>
          <w:snapToGrid w:val="0"/>
          <w:sz w:val="16"/>
          <w:szCs w:val="16"/>
          <w:lang w:val="de-DE" w:eastAsia="fr-FR"/>
        </w:rPr>
        <w:t>. Tagung, Genf, 2</w:t>
      </w:r>
      <w:r w:rsidR="002E779A">
        <w:rPr>
          <w:rFonts w:ascii="Arial" w:hAnsi="Arial" w:cs="Arial"/>
          <w:snapToGrid w:val="0"/>
          <w:sz w:val="16"/>
          <w:szCs w:val="16"/>
          <w:lang w:val="de-DE" w:eastAsia="fr-FR"/>
        </w:rPr>
        <w:t>2</w:t>
      </w:r>
      <w:r w:rsidRPr="007E68C0">
        <w:rPr>
          <w:rFonts w:ascii="Arial" w:hAnsi="Arial" w:cs="Arial"/>
          <w:snapToGrid w:val="0"/>
          <w:sz w:val="16"/>
          <w:szCs w:val="16"/>
          <w:lang w:val="de-DE" w:eastAsia="fr-FR"/>
        </w:rPr>
        <w:t>. bis 2</w:t>
      </w:r>
      <w:r w:rsidR="00A31B36">
        <w:rPr>
          <w:rFonts w:ascii="Arial" w:hAnsi="Arial" w:cs="Arial"/>
          <w:snapToGrid w:val="0"/>
          <w:sz w:val="16"/>
          <w:szCs w:val="16"/>
          <w:lang w:val="de-DE" w:eastAsia="fr-FR"/>
        </w:rPr>
        <w:t>5</w:t>
      </w:r>
      <w:r w:rsidRPr="007E68C0">
        <w:rPr>
          <w:rFonts w:ascii="Arial" w:hAnsi="Arial" w:cs="Arial"/>
          <w:snapToGrid w:val="0"/>
          <w:sz w:val="16"/>
          <w:szCs w:val="16"/>
          <w:lang w:val="de-DE" w:eastAsia="fr-FR"/>
        </w:rPr>
        <w:t xml:space="preserve">. </w:t>
      </w:r>
      <w:r w:rsidR="00F7234B">
        <w:rPr>
          <w:rFonts w:ascii="Arial" w:hAnsi="Arial" w:cs="Arial"/>
          <w:snapToGrid w:val="0"/>
          <w:sz w:val="16"/>
          <w:szCs w:val="16"/>
          <w:lang w:val="de-DE" w:eastAsia="fr-FR"/>
        </w:rPr>
        <w:t>August</w:t>
      </w:r>
      <w:r w:rsidRPr="007E68C0">
        <w:rPr>
          <w:rFonts w:ascii="Arial" w:hAnsi="Arial" w:cs="Arial"/>
          <w:snapToGrid w:val="0"/>
          <w:sz w:val="16"/>
          <w:szCs w:val="16"/>
          <w:lang w:val="de-DE" w:eastAsia="fr-FR"/>
        </w:rPr>
        <w:t xml:space="preserve"> 201</w:t>
      </w:r>
      <w:r w:rsidR="007C6A8F">
        <w:rPr>
          <w:rFonts w:ascii="Arial" w:hAnsi="Arial" w:cs="Arial"/>
          <w:snapToGrid w:val="0"/>
          <w:sz w:val="16"/>
          <w:szCs w:val="16"/>
          <w:lang w:val="de-DE" w:eastAsia="fr-FR"/>
        </w:rPr>
        <w:t>6</w:t>
      </w:r>
      <w:r w:rsidRPr="007E68C0">
        <w:rPr>
          <w:rFonts w:ascii="Arial" w:hAnsi="Arial" w:cs="Arial"/>
          <w:snapToGrid w:val="0"/>
          <w:sz w:val="16"/>
          <w:szCs w:val="16"/>
          <w:lang w:val="de-DE" w:eastAsia="fr-FR"/>
        </w:rPr>
        <w:t>)</w:t>
      </w:r>
    </w:p>
    <w:p w:rsid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 xml:space="preserve">Punkt </w:t>
      </w:r>
      <w:r w:rsidR="009145E4">
        <w:rPr>
          <w:rFonts w:ascii="Arial" w:hAnsi="Arial" w:cs="Arial"/>
          <w:snapToGrid w:val="0"/>
          <w:sz w:val="16"/>
          <w:szCs w:val="16"/>
          <w:lang w:val="de-DE" w:eastAsia="fr-FR"/>
        </w:rPr>
        <w:t>4 b)</w:t>
      </w:r>
      <w:r w:rsidRPr="007E68C0">
        <w:rPr>
          <w:rFonts w:ascii="Arial" w:hAnsi="Arial" w:cs="Arial"/>
          <w:snapToGrid w:val="0"/>
          <w:sz w:val="16"/>
          <w:szCs w:val="16"/>
          <w:lang w:val="de-DE" w:eastAsia="fr-FR"/>
        </w:rPr>
        <w:t xml:space="preserve"> zur vorläufigen Tagesordnung</w:t>
      </w:r>
    </w:p>
    <w:p w:rsidR="00C80965" w:rsidRPr="00C80965" w:rsidRDefault="00C80965" w:rsidP="00C80965">
      <w:pPr>
        <w:tabs>
          <w:tab w:val="left" w:pos="2977"/>
        </w:tabs>
        <w:spacing w:after="0"/>
        <w:ind w:left="4111" w:right="-2"/>
        <w:rPr>
          <w:rFonts w:ascii="Arial" w:hAnsi="Arial" w:cs="Arial"/>
          <w:b/>
          <w:snapToGrid w:val="0"/>
          <w:sz w:val="16"/>
          <w:szCs w:val="16"/>
          <w:lang w:val="de-DE" w:eastAsia="fr-FR"/>
        </w:rPr>
      </w:pPr>
      <w:r w:rsidRPr="00C80965">
        <w:rPr>
          <w:rFonts w:ascii="Arial" w:hAnsi="Arial" w:cs="Arial"/>
          <w:b/>
          <w:snapToGrid w:val="0"/>
          <w:sz w:val="16"/>
          <w:szCs w:val="16"/>
          <w:lang w:val="de-DE" w:eastAsia="fr-FR"/>
        </w:rPr>
        <w:t xml:space="preserve">Vorschläge </w:t>
      </w:r>
      <w:r>
        <w:rPr>
          <w:rFonts w:ascii="Arial" w:hAnsi="Arial" w:cs="Arial"/>
          <w:b/>
          <w:snapToGrid w:val="0"/>
          <w:sz w:val="16"/>
          <w:szCs w:val="16"/>
          <w:lang w:val="de-DE" w:eastAsia="fr-FR"/>
        </w:rPr>
        <w:t>f</w:t>
      </w:r>
      <w:r w:rsidRPr="00C80965">
        <w:rPr>
          <w:rFonts w:ascii="Arial" w:hAnsi="Arial" w:cs="Arial"/>
          <w:b/>
          <w:snapToGrid w:val="0"/>
          <w:sz w:val="16"/>
          <w:szCs w:val="16"/>
          <w:lang w:val="de-DE" w:eastAsia="fr-FR"/>
        </w:rPr>
        <w:t xml:space="preserve">ür Änderungen </w:t>
      </w:r>
      <w:r>
        <w:rPr>
          <w:rFonts w:ascii="Arial" w:hAnsi="Arial" w:cs="Arial"/>
          <w:b/>
          <w:snapToGrid w:val="0"/>
          <w:sz w:val="16"/>
          <w:szCs w:val="16"/>
          <w:lang w:val="de-DE" w:eastAsia="fr-FR"/>
        </w:rPr>
        <w:t>d</w:t>
      </w:r>
      <w:r w:rsidRPr="00C80965">
        <w:rPr>
          <w:rFonts w:ascii="Arial" w:hAnsi="Arial" w:cs="Arial"/>
          <w:b/>
          <w:snapToGrid w:val="0"/>
          <w:sz w:val="16"/>
          <w:szCs w:val="16"/>
          <w:lang w:val="de-DE" w:eastAsia="fr-FR"/>
        </w:rPr>
        <w:t xml:space="preserve">er </w:t>
      </w:r>
      <w:r>
        <w:rPr>
          <w:rFonts w:ascii="Arial" w:hAnsi="Arial" w:cs="Arial"/>
          <w:b/>
          <w:snapToGrid w:val="0"/>
          <w:sz w:val="16"/>
          <w:szCs w:val="16"/>
          <w:lang w:val="de-DE" w:eastAsia="fr-FR"/>
        </w:rPr>
        <w:t>d</w:t>
      </w:r>
      <w:r w:rsidRPr="00C80965">
        <w:rPr>
          <w:rFonts w:ascii="Arial" w:hAnsi="Arial" w:cs="Arial"/>
          <w:b/>
          <w:snapToGrid w:val="0"/>
          <w:sz w:val="16"/>
          <w:szCs w:val="16"/>
          <w:lang w:val="de-DE" w:eastAsia="fr-FR"/>
        </w:rPr>
        <w:t>em A</w:t>
      </w:r>
      <w:r>
        <w:rPr>
          <w:rFonts w:ascii="Arial" w:hAnsi="Arial" w:cs="Arial"/>
          <w:b/>
          <w:snapToGrid w:val="0"/>
          <w:sz w:val="16"/>
          <w:szCs w:val="16"/>
          <w:lang w:val="de-DE" w:eastAsia="fr-FR"/>
        </w:rPr>
        <w:t>DN</w:t>
      </w:r>
      <w:r w:rsidRPr="00C80965">
        <w:rPr>
          <w:rFonts w:ascii="Arial" w:hAnsi="Arial" w:cs="Arial"/>
          <w:b/>
          <w:snapToGrid w:val="0"/>
          <w:sz w:val="16"/>
          <w:szCs w:val="16"/>
          <w:lang w:val="de-DE" w:eastAsia="fr-FR"/>
        </w:rPr>
        <w:t xml:space="preserve"> </w:t>
      </w:r>
      <w:r>
        <w:rPr>
          <w:rFonts w:ascii="Arial" w:hAnsi="Arial" w:cs="Arial"/>
          <w:b/>
          <w:snapToGrid w:val="0"/>
          <w:sz w:val="16"/>
          <w:szCs w:val="16"/>
          <w:lang w:val="de-DE" w:eastAsia="fr-FR"/>
        </w:rPr>
        <w:t>b</w:t>
      </w:r>
      <w:r w:rsidRPr="00C80965">
        <w:rPr>
          <w:rFonts w:ascii="Arial" w:hAnsi="Arial" w:cs="Arial"/>
          <w:b/>
          <w:snapToGrid w:val="0"/>
          <w:sz w:val="16"/>
          <w:szCs w:val="16"/>
          <w:lang w:val="de-DE" w:eastAsia="fr-FR"/>
        </w:rPr>
        <w:t>eigefügten Verordnung:</w:t>
      </w:r>
    </w:p>
    <w:p w:rsidR="00C80965" w:rsidRPr="00C80965" w:rsidRDefault="00C80965" w:rsidP="00C80965">
      <w:pPr>
        <w:tabs>
          <w:tab w:val="left" w:pos="2977"/>
        </w:tabs>
        <w:spacing w:after="0"/>
        <w:ind w:left="4111" w:right="-2"/>
        <w:rPr>
          <w:rFonts w:ascii="Arial" w:hAnsi="Arial" w:cs="Arial"/>
          <w:snapToGrid w:val="0"/>
          <w:sz w:val="16"/>
          <w:szCs w:val="16"/>
          <w:lang w:val="de-DE" w:eastAsia="fr-FR"/>
        </w:rPr>
      </w:pPr>
      <w:r w:rsidRPr="00C80965">
        <w:rPr>
          <w:rFonts w:ascii="Arial" w:hAnsi="Arial" w:cs="Arial"/>
          <w:b/>
          <w:snapToGrid w:val="0"/>
          <w:sz w:val="16"/>
          <w:szCs w:val="16"/>
          <w:lang w:val="de-DE" w:eastAsia="fr-FR"/>
        </w:rPr>
        <w:t>Weitere Änderungsvorschläge</w:t>
      </w:r>
    </w:p>
    <w:p w:rsidR="00A909D8" w:rsidRPr="00942BC4" w:rsidRDefault="00A909D8" w:rsidP="00942BC4">
      <w:pPr>
        <w:spacing w:after="0"/>
        <w:rPr>
          <w:rFonts w:ascii="Arial" w:hAnsi="Arial" w:cs="Arial"/>
          <w:b/>
          <w:sz w:val="20"/>
          <w:lang w:val="de-DE"/>
        </w:rPr>
      </w:pPr>
    </w:p>
    <w:p w:rsidR="00A909D8" w:rsidRPr="00942BC4" w:rsidRDefault="00A909D8" w:rsidP="00942BC4">
      <w:pPr>
        <w:spacing w:after="0"/>
        <w:rPr>
          <w:rFonts w:ascii="Arial" w:hAnsi="Arial" w:cs="Arial"/>
          <w:sz w:val="20"/>
          <w:lang w:val="de-DE"/>
        </w:rPr>
      </w:pPr>
    </w:p>
    <w:p w:rsidR="009145E4" w:rsidRPr="009145E4" w:rsidRDefault="009145E4" w:rsidP="009145E4">
      <w:pPr>
        <w:snapToGrid w:val="0"/>
        <w:spacing w:after="0"/>
        <w:rPr>
          <w:rFonts w:ascii="Arial" w:hAnsi="Arial"/>
          <w:b/>
          <w:sz w:val="20"/>
          <w:szCs w:val="24"/>
          <w:lang w:val="de-DE" w:eastAsia="fr-FR"/>
        </w:rPr>
      </w:pPr>
    </w:p>
    <w:p w:rsidR="00975915" w:rsidRPr="005930D9" w:rsidRDefault="00975915" w:rsidP="00975915">
      <w:pPr>
        <w:spacing w:after="0" w:line="360" w:lineRule="auto"/>
        <w:ind w:left="1134"/>
        <w:rPr>
          <w:b/>
          <w:sz w:val="28"/>
          <w:szCs w:val="28"/>
          <w:lang w:val="de-DE"/>
        </w:rPr>
      </w:pPr>
      <w:r w:rsidRPr="005930D9">
        <w:rPr>
          <w:b/>
          <w:sz w:val="28"/>
          <w:szCs w:val="28"/>
          <w:lang w:val="de-DE"/>
        </w:rPr>
        <w:t>Nachweis ausreichender Intakt</w:t>
      </w:r>
      <w:r>
        <w:rPr>
          <w:b/>
          <w:sz w:val="28"/>
          <w:szCs w:val="28"/>
          <w:lang w:val="de-DE"/>
        </w:rPr>
        <w:t>s</w:t>
      </w:r>
      <w:r w:rsidRPr="005930D9">
        <w:rPr>
          <w:b/>
          <w:sz w:val="28"/>
          <w:szCs w:val="28"/>
          <w:lang w:val="de-DE"/>
        </w:rPr>
        <w:t>tabilität</w:t>
      </w:r>
    </w:p>
    <w:p w:rsidR="00975915" w:rsidRPr="00975915" w:rsidRDefault="00975915" w:rsidP="00975915">
      <w:pPr>
        <w:spacing w:after="360"/>
        <w:ind w:left="1134"/>
        <w:rPr>
          <w:b/>
          <w:sz w:val="28"/>
          <w:szCs w:val="28"/>
          <w:lang w:val="de-DE"/>
        </w:rPr>
      </w:pPr>
      <w:r w:rsidRPr="00975915">
        <w:rPr>
          <w:b/>
          <w:sz w:val="28"/>
          <w:szCs w:val="28"/>
          <w:lang w:val="de-DE"/>
        </w:rPr>
        <w:t>Erstellung von Stabilitätshandbüchern und Stabilitätsprogrammen</w:t>
      </w:r>
    </w:p>
    <w:p w:rsidR="00062511" w:rsidRPr="00062511" w:rsidRDefault="009F4E31" w:rsidP="00062511">
      <w:pPr>
        <w:suppressAutoHyphens/>
        <w:spacing w:after="0" w:line="240" w:lineRule="atLeast"/>
        <w:ind w:left="1134" w:right="567"/>
        <w:jc w:val="both"/>
        <w:rPr>
          <w:b/>
          <w:snapToGrid w:val="0"/>
          <w:vertAlign w:val="superscript"/>
          <w:lang w:val="de-DE" w:eastAsia="fr-FR"/>
        </w:rPr>
      </w:pPr>
      <w:r w:rsidRPr="000A4580">
        <w:rPr>
          <w:b/>
          <w:snapToGrid w:val="0"/>
          <w:lang w:val="de-DE" w:eastAsia="fr-FR"/>
        </w:rPr>
        <w:t>Gemeinsam e</w:t>
      </w:r>
      <w:r w:rsidR="00905493" w:rsidRPr="000A4580">
        <w:rPr>
          <w:b/>
          <w:snapToGrid w:val="0"/>
          <w:lang w:val="de-DE" w:eastAsia="fr-FR"/>
        </w:rPr>
        <w:t xml:space="preserve">ingereicht </w:t>
      </w:r>
      <w:r w:rsidR="00AF42C7" w:rsidRPr="000A4580">
        <w:rPr>
          <w:b/>
          <w:snapToGrid w:val="0"/>
          <w:lang w:val="de-DE" w:eastAsia="fr-FR"/>
        </w:rPr>
        <w:t xml:space="preserve">durch die </w:t>
      </w:r>
      <w:r w:rsidR="0045718A" w:rsidRPr="000A4580">
        <w:rPr>
          <w:b/>
          <w:snapToGrid w:val="0"/>
          <w:lang w:val="de-DE" w:eastAsia="fr-FR"/>
        </w:rPr>
        <w:t>Europäische Binnenschif</w:t>
      </w:r>
      <w:r w:rsidR="000A1F33" w:rsidRPr="000A4580">
        <w:rPr>
          <w:b/>
          <w:snapToGrid w:val="0"/>
          <w:lang w:val="de-DE" w:eastAsia="fr-FR"/>
        </w:rPr>
        <w:t>f</w:t>
      </w:r>
      <w:r w:rsidR="0045718A" w:rsidRPr="000A4580">
        <w:rPr>
          <w:b/>
          <w:snapToGrid w:val="0"/>
          <w:lang w:val="de-DE" w:eastAsia="fr-FR"/>
        </w:rPr>
        <w:t>fahrts</w:t>
      </w:r>
      <w:r w:rsidR="00CF33C1" w:rsidRPr="000A4580">
        <w:rPr>
          <w:b/>
          <w:snapToGrid w:val="0"/>
          <w:lang w:val="de-DE" w:eastAsia="fr-FR"/>
        </w:rPr>
        <w:t xml:space="preserve"> U</w:t>
      </w:r>
      <w:r w:rsidR="0045718A" w:rsidRPr="000A4580">
        <w:rPr>
          <w:b/>
          <w:snapToGrid w:val="0"/>
          <w:lang w:val="de-DE" w:eastAsia="fr-FR"/>
        </w:rPr>
        <w:t>nion</w:t>
      </w:r>
      <w:r w:rsidRPr="000A4580">
        <w:rPr>
          <w:b/>
          <w:snapToGrid w:val="0"/>
          <w:lang w:val="de-DE" w:eastAsia="fr-FR"/>
        </w:rPr>
        <w:t xml:space="preserve"> (EBU)</w:t>
      </w:r>
      <w:r w:rsidR="00935E15" w:rsidRPr="000A4580">
        <w:rPr>
          <w:b/>
          <w:snapToGrid w:val="0"/>
          <w:lang w:val="de-DE" w:eastAsia="fr-FR"/>
        </w:rPr>
        <w:t xml:space="preserve">, ERSTU (European River Sea Transport Union) </w:t>
      </w:r>
      <w:r w:rsidRPr="000A4580">
        <w:rPr>
          <w:b/>
          <w:snapToGrid w:val="0"/>
          <w:lang w:val="de-DE" w:eastAsia="fr-FR"/>
        </w:rPr>
        <w:t>und die Europäische Schifferorganisation</w:t>
      </w:r>
      <w:r w:rsidR="00AC5A95">
        <w:rPr>
          <w:b/>
          <w:snapToGrid w:val="0"/>
          <w:lang w:val="de-DE" w:eastAsia="fr-FR"/>
        </w:rPr>
        <w:t xml:space="preserve"> </w:t>
      </w:r>
      <w:r w:rsidRPr="000A4580">
        <w:rPr>
          <w:b/>
          <w:snapToGrid w:val="0"/>
          <w:lang w:val="de-DE" w:eastAsia="fr-FR"/>
        </w:rPr>
        <w:t>(ESO)</w:t>
      </w:r>
      <w:r w:rsidR="005B50F9" w:rsidRPr="005B50F9">
        <w:rPr>
          <w:b/>
          <w:noProof/>
          <w:snapToGrid w:val="0"/>
          <w:sz w:val="18"/>
          <w:szCs w:val="24"/>
          <w:vertAlign w:val="superscript"/>
          <w:lang w:val="de-DE" w:eastAsia="fr-FR"/>
        </w:rPr>
        <w:footnoteReference w:id="2"/>
      </w:r>
      <w:r w:rsidR="00062511" w:rsidRPr="00062511">
        <w:rPr>
          <w:b/>
          <w:noProof/>
          <w:snapToGrid w:val="0"/>
          <w:sz w:val="18"/>
          <w:szCs w:val="24"/>
          <w:vertAlign w:val="superscript"/>
          <w:lang w:val="de-DE" w:eastAsia="fr-FR"/>
        </w:rPr>
        <w:t xml:space="preserve">, </w:t>
      </w:r>
      <w:r w:rsidR="00062511" w:rsidRPr="00062511">
        <w:rPr>
          <w:b/>
          <w:noProof/>
          <w:snapToGrid w:val="0"/>
          <w:sz w:val="18"/>
          <w:szCs w:val="24"/>
          <w:vertAlign w:val="superscript"/>
          <w:lang w:val="de-DE" w:eastAsia="fr-FR"/>
        </w:rPr>
        <w:footnoteReference w:id="3"/>
      </w:r>
    </w:p>
    <w:p w:rsidR="00BC51C3" w:rsidRPr="00853BD3" w:rsidRDefault="00BC51C3" w:rsidP="00ED29C5">
      <w:pPr>
        <w:suppressAutoHyphens/>
        <w:spacing w:after="0" w:line="240" w:lineRule="atLeast"/>
        <w:ind w:left="1134" w:right="567"/>
        <w:jc w:val="both"/>
        <w:rPr>
          <w:sz w:val="20"/>
          <w:vertAlign w:val="superscript"/>
          <w:lang w:val="de-DE"/>
        </w:rPr>
      </w:pPr>
    </w:p>
    <w:p w:rsidR="00975915" w:rsidRDefault="00975915" w:rsidP="00975915">
      <w:pPr>
        <w:suppressAutoHyphens/>
        <w:spacing w:after="0"/>
        <w:jc w:val="center"/>
        <w:rPr>
          <w:sz w:val="20"/>
          <w:u w:val="single"/>
          <w:lang w:val="de-DE"/>
        </w:rPr>
      </w:pPr>
    </w:p>
    <w:p w:rsidR="00975915" w:rsidRPr="00853BD3" w:rsidRDefault="00975915" w:rsidP="00975915">
      <w:pPr>
        <w:suppressAutoHyphens/>
        <w:spacing w:after="0"/>
        <w:jc w:val="center"/>
        <w:rPr>
          <w:sz w:val="20"/>
          <w:u w:val="single"/>
          <w:lang w:val="de-DE"/>
        </w:rPr>
      </w:pP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r>
        <w:rPr>
          <w:sz w:val="20"/>
          <w:lang w:val="de-DE"/>
        </w:rPr>
        <w:t>1.</w:t>
      </w:r>
      <w:r w:rsidRPr="000A4580">
        <w:rPr>
          <w:sz w:val="20"/>
          <w:lang w:val="de-DE"/>
        </w:rPr>
        <w:tab/>
      </w:r>
      <w:r>
        <w:rPr>
          <w:sz w:val="20"/>
          <w:lang w:val="de-DE"/>
        </w:rPr>
        <w:t>Das ADN enthält in den Unterabschnitten 9.3.1.13.3, 9.3.2.13.3 und 9.3.3.13.3 die Anforderungen für Stabilitätshandbücher und Ladungsrechner.</w:t>
      </w: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r>
        <w:rPr>
          <w:sz w:val="20"/>
          <w:lang w:val="de-DE"/>
        </w:rPr>
        <w:t>2</w:t>
      </w:r>
      <w:r w:rsidRPr="00B17473">
        <w:rPr>
          <w:sz w:val="20"/>
          <w:lang w:val="de-DE"/>
        </w:rPr>
        <w:t>.</w:t>
      </w:r>
      <w:r w:rsidRPr="00B17473">
        <w:rPr>
          <w:sz w:val="20"/>
          <w:lang w:val="de-DE"/>
        </w:rPr>
        <w:tab/>
      </w:r>
      <w:r>
        <w:rPr>
          <w:sz w:val="20"/>
          <w:lang w:val="de-DE"/>
        </w:rPr>
        <w:t>Abweichend von Unterabschnitt 1.16.1.3 ADN dürfen einmalig vorläufige Zulassungszeugnisse für einen Zeitraum bis zu 6 Monate im Jahre 2015 oder vier Monate in den folgenden Jahren ausgestellt werden, damit der Nachweis der Intaktstabilität nach den Absätzen 9.3.1.13.3, 9.3.2.13.3 und 9.3.3.13.3 ADN zur Erneuerung des Zulassungszeugnisses erbracht werden kann.</w:t>
      </w: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r>
        <w:rPr>
          <w:sz w:val="20"/>
          <w:lang w:val="de-DE"/>
        </w:rPr>
        <w:tab/>
        <w:t>Diese Regelungen sind enthalten in den Multilateralen Vereinbarungen MV 014 und MV 015 und haben eine Gültigkeit bis zum 31. Dezember 2019.</w:t>
      </w: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r>
        <w:rPr>
          <w:sz w:val="20"/>
          <w:lang w:val="de-DE"/>
        </w:rPr>
        <w:t xml:space="preserve">3. </w:t>
      </w:r>
      <w:r>
        <w:rPr>
          <w:sz w:val="20"/>
          <w:lang w:val="de-DE"/>
        </w:rPr>
        <w:tab/>
        <w:t>Es zeigt sich, dass bei der Ausarbeitung dieser Vereinbarungen trotz vielfältiger intensiver Diskussionen und sorgfältiger Überlegungen der Zeitbedarf für die Erstellung von Stabilitätshandbüchern und Stabilitätsprogrammen erheblich unterschätzt worden ist.</w:t>
      </w: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r>
        <w:rPr>
          <w:sz w:val="20"/>
          <w:lang w:val="de-DE"/>
        </w:rPr>
        <w:t xml:space="preserve">4. </w:t>
      </w:r>
      <w:r>
        <w:rPr>
          <w:sz w:val="20"/>
          <w:lang w:val="de-DE"/>
        </w:rPr>
        <w:tab/>
        <w:t xml:space="preserve">Aus diesem Grunde bittet das europäische Binnenschifffahrtsgewerbe darum, die in den Multilateralen Vereinbarungen MV 014 und MV 015 genannten Zeiträume </w:t>
      </w:r>
      <w:r w:rsidRPr="006913CD">
        <w:rPr>
          <w:sz w:val="20"/>
          <w:u w:val="single"/>
          <w:lang w:val="de-DE"/>
        </w:rPr>
        <w:t>auch für 2016 und alle folgenden Jahre</w:t>
      </w:r>
      <w:r>
        <w:rPr>
          <w:sz w:val="20"/>
          <w:lang w:val="de-DE"/>
        </w:rPr>
        <w:t xml:space="preserve"> für die Erstellung einmaliger vorläufiger Zulassungszeugnisse auf</w:t>
      </w:r>
      <w:r w:rsidR="00957B2C">
        <w:rPr>
          <w:sz w:val="20"/>
          <w:lang w:val="de-DE"/>
        </w:rPr>
        <w:t xml:space="preserve"> </w:t>
      </w:r>
      <w:r w:rsidRPr="00A47FBC">
        <w:rPr>
          <w:b/>
          <w:sz w:val="20"/>
          <w:lang w:val="de-DE"/>
        </w:rPr>
        <w:t>6 Monate</w:t>
      </w:r>
      <w:r w:rsidR="00957B2C">
        <w:rPr>
          <w:b/>
          <w:sz w:val="20"/>
          <w:lang w:val="de-DE"/>
        </w:rPr>
        <w:t xml:space="preserve"> </w:t>
      </w:r>
      <w:r>
        <w:rPr>
          <w:sz w:val="20"/>
          <w:lang w:val="de-DE"/>
        </w:rPr>
        <w:t>zu verlängern, damit der Nachweis der Intaktstabilität nach den Absätzen 9.3.1.13.3, 9.3.2.13.3 und 9.3.3.13.3 ADN zur Erneuerung des Zulassungszeugnisses erbracht werden kann.</w:t>
      </w:r>
    </w:p>
    <w:p w:rsidR="00975915" w:rsidRDefault="00975915" w:rsidP="00975915">
      <w:pPr>
        <w:tabs>
          <w:tab w:val="left" w:pos="567"/>
          <w:tab w:val="left" w:pos="1985"/>
          <w:tab w:val="left" w:pos="2552"/>
          <w:tab w:val="left" w:pos="3119"/>
          <w:tab w:val="left" w:pos="3686"/>
        </w:tabs>
        <w:spacing w:after="0" w:line="240" w:lineRule="atLeast"/>
        <w:jc w:val="both"/>
        <w:rPr>
          <w:sz w:val="20"/>
          <w:lang w:val="de-DE"/>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853BD3">
        <w:rPr>
          <w:sz w:val="20"/>
          <w:lang w:val="de-DE"/>
        </w:rPr>
        <w:t>***</w:t>
      </w:r>
    </w:p>
    <w:sectPr w:rsidR="00FF20BF" w:rsidRPr="00853BD3" w:rsidSect="00975915">
      <w:footerReference w:type="first" r:id="rId9"/>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4C" w:rsidRDefault="0060224C">
      <w:pPr>
        <w:pStyle w:val="Footer"/>
      </w:pPr>
    </w:p>
  </w:endnote>
  <w:endnote w:type="continuationSeparator" w:id="0">
    <w:p w:rsidR="0060224C" w:rsidRDefault="0060224C">
      <w:pPr>
        <w:spacing w:after="0"/>
      </w:pPr>
    </w:p>
  </w:endnote>
  <w:endnote w:type="continuationNotice" w:id="1">
    <w:p w:rsidR="0060224C" w:rsidRDefault="006022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A9" w:rsidRPr="000A4580" w:rsidRDefault="00367AA9" w:rsidP="00367AA9">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6</w:t>
    </w:r>
    <w:r w:rsidRPr="000A4580">
      <w:rPr>
        <w:rFonts w:ascii="Arial" w:hAnsi="Arial"/>
        <w:noProof/>
        <w:sz w:val="12"/>
        <w:szCs w:val="24"/>
        <w:lang w:val="en-US" w:eastAsia="fr-FR"/>
      </w:rPr>
      <w:t>_</w:t>
    </w:r>
    <w:r w:rsidR="00A31B36">
      <w:rPr>
        <w:rFonts w:ascii="Arial" w:hAnsi="Arial"/>
        <w:noProof/>
        <w:sz w:val="12"/>
        <w:szCs w:val="24"/>
        <w:lang w:val="en-US" w:eastAsia="fr-FR"/>
      </w:rPr>
      <w:t>40</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4C" w:rsidRDefault="0060224C">
      <w:pPr>
        <w:spacing w:after="0"/>
      </w:pPr>
      <w:r>
        <w:separator/>
      </w:r>
    </w:p>
  </w:footnote>
  <w:footnote w:type="continuationSeparator" w:id="0">
    <w:p w:rsidR="0060224C" w:rsidRDefault="0060224C">
      <w:pPr>
        <w:spacing w:after="0"/>
        <w:rPr>
          <w:u w:val="single"/>
        </w:rPr>
      </w:pPr>
      <w:r>
        <w:rPr>
          <w:u w:val="single"/>
        </w:rPr>
        <w:tab/>
      </w:r>
      <w:r>
        <w:rPr>
          <w:u w:val="single"/>
        </w:rPr>
        <w:tab/>
      </w:r>
      <w:r>
        <w:rPr>
          <w:u w:val="single"/>
        </w:rPr>
        <w:tab/>
      </w:r>
      <w:r>
        <w:rPr>
          <w:u w:val="single"/>
        </w:rPr>
        <w:tab/>
      </w:r>
    </w:p>
  </w:footnote>
  <w:footnote w:type="continuationNotice" w:id="1">
    <w:p w:rsidR="0060224C" w:rsidRDefault="0060224C">
      <w:pPr>
        <w:spacing w:after="0"/>
      </w:pPr>
    </w:p>
  </w:footnote>
  <w:footnote w:id="2">
    <w:p w:rsidR="005B50F9" w:rsidRPr="006F296A" w:rsidRDefault="005B50F9" w:rsidP="00957B2C">
      <w:pPr>
        <w:pStyle w:val="FootnoteText"/>
        <w:tabs>
          <w:tab w:val="left" w:pos="284"/>
        </w:tabs>
        <w:spacing w:after="0"/>
        <w:ind w:left="284" w:hanging="284"/>
        <w:jc w:val="both"/>
        <w:rPr>
          <w:szCs w:val="24"/>
          <w:lang w:val="de-DE"/>
        </w:rPr>
      </w:pPr>
      <w:r w:rsidRPr="00957B2C">
        <w:rPr>
          <w:rStyle w:val="FootnoteReference"/>
          <w:sz w:val="16"/>
          <w:szCs w:val="16"/>
        </w:rPr>
        <w:footnoteRef/>
      </w:r>
      <w:r w:rsidRPr="006F296A">
        <w:rPr>
          <w:szCs w:val="24"/>
          <w:lang w:val="de-DE"/>
        </w:rPr>
        <w:tab/>
      </w:r>
      <w:r w:rsidRPr="006F296A">
        <w:rPr>
          <w:noProof/>
          <w:sz w:val="16"/>
          <w:szCs w:val="24"/>
          <w:lang w:val="de-DE"/>
        </w:rPr>
        <w:t>Von der UN-ECE in Englisch, Französisch und Russisch unter dem Aktenzeichen ECE/TRANS/WP.15/AC.2/201</w:t>
      </w:r>
      <w:r w:rsidR="001A6E17">
        <w:rPr>
          <w:noProof/>
          <w:sz w:val="16"/>
          <w:szCs w:val="24"/>
          <w:lang w:val="de-DE"/>
        </w:rPr>
        <w:t>6</w:t>
      </w:r>
      <w:r w:rsidRPr="006F296A">
        <w:rPr>
          <w:noProof/>
          <w:sz w:val="16"/>
          <w:szCs w:val="24"/>
          <w:lang w:val="de-DE"/>
        </w:rPr>
        <w:t>/</w:t>
      </w:r>
      <w:r w:rsidR="00A31B36">
        <w:rPr>
          <w:noProof/>
          <w:sz w:val="16"/>
          <w:szCs w:val="24"/>
          <w:lang w:val="de-DE"/>
        </w:rPr>
        <w:t>40</w:t>
      </w:r>
      <w:r w:rsidRPr="006F296A">
        <w:rPr>
          <w:noProof/>
          <w:sz w:val="16"/>
          <w:szCs w:val="24"/>
          <w:lang w:val="de-DE"/>
        </w:rPr>
        <w:t xml:space="preserve"> verteilt.</w:t>
      </w:r>
    </w:p>
  </w:footnote>
  <w:footnote w:id="3">
    <w:p w:rsidR="00062511" w:rsidRPr="00447333" w:rsidRDefault="00062511" w:rsidP="00062511">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4"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0"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3663371"/>
    <w:multiLevelType w:val="multilevel"/>
    <w:tmpl w:val="040C001D"/>
    <w:numStyleLink w:val="1ai"/>
  </w:abstractNum>
  <w:abstractNum w:abstractNumId="22"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8"/>
  </w:num>
  <w:num w:numId="2">
    <w:abstractNumId w:val="13"/>
  </w:num>
  <w:num w:numId="3">
    <w:abstractNumId w:val="8"/>
  </w:num>
  <w:num w:numId="4">
    <w:abstractNumId w:val="14"/>
  </w:num>
  <w:num w:numId="5">
    <w:abstractNumId w:val="0"/>
  </w:num>
  <w:num w:numId="6">
    <w:abstractNumId w:val="25"/>
  </w:num>
  <w:num w:numId="7">
    <w:abstractNumId w:val="20"/>
  </w:num>
  <w:num w:numId="8">
    <w:abstractNumId w:val="9"/>
  </w:num>
  <w:num w:numId="9">
    <w:abstractNumId w:val="10"/>
  </w:num>
  <w:num w:numId="10">
    <w:abstractNumId w:val="11"/>
  </w:num>
  <w:num w:numId="11">
    <w:abstractNumId w:val="15"/>
  </w:num>
  <w:num w:numId="12">
    <w:abstractNumId w:val="24"/>
  </w:num>
  <w:num w:numId="13">
    <w:abstractNumId w:val="1"/>
  </w:num>
  <w:num w:numId="14">
    <w:abstractNumId w:val="16"/>
  </w:num>
  <w:num w:numId="15">
    <w:abstractNumId w:val="21"/>
  </w:num>
  <w:num w:numId="16">
    <w:abstractNumId w:val="5"/>
  </w:num>
  <w:num w:numId="17">
    <w:abstractNumId w:val="12"/>
  </w:num>
  <w:num w:numId="18">
    <w:abstractNumId w:val="6"/>
  </w:num>
  <w:num w:numId="19">
    <w:abstractNumId w:val="3"/>
  </w:num>
  <w:num w:numId="20">
    <w:abstractNumId w:val="2"/>
  </w:num>
  <w:num w:numId="21">
    <w:abstractNumId w:val="22"/>
  </w:num>
  <w:num w:numId="22">
    <w:abstractNumId w:val="19"/>
  </w:num>
  <w:num w:numId="23">
    <w:abstractNumId w:val="17"/>
  </w:num>
  <w:num w:numId="24">
    <w:abstractNumId w:val="7"/>
  </w:num>
  <w:num w:numId="25">
    <w:abstractNumId w:val="23"/>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22"/>
    <w:rsid w:val="00001E90"/>
    <w:rsid w:val="0000299C"/>
    <w:rsid w:val="00014411"/>
    <w:rsid w:val="00015247"/>
    <w:rsid w:val="000217BA"/>
    <w:rsid w:val="00023C38"/>
    <w:rsid w:val="000328A4"/>
    <w:rsid w:val="0004300F"/>
    <w:rsid w:val="00043DCD"/>
    <w:rsid w:val="000442E2"/>
    <w:rsid w:val="00044BFC"/>
    <w:rsid w:val="000500BF"/>
    <w:rsid w:val="0005088C"/>
    <w:rsid w:val="000516AA"/>
    <w:rsid w:val="0005197F"/>
    <w:rsid w:val="00054082"/>
    <w:rsid w:val="00054A90"/>
    <w:rsid w:val="000558EB"/>
    <w:rsid w:val="00061AD3"/>
    <w:rsid w:val="00062511"/>
    <w:rsid w:val="000667CE"/>
    <w:rsid w:val="00070E56"/>
    <w:rsid w:val="00077F19"/>
    <w:rsid w:val="00093086"/>
    <w:rsid w:val="000A1F33"/>
    <w:rsid w:val="000A4580"/>
    <w:rsid w:val="000B1CC3"/>
    <w:rsid w:val="000B1DCB"/>
    <w:rsid w:val="000B25D0"/>
    <w:rsid w:val="000B2C67"/>
    <w:rsid w:val="000B2FCE"/>
    <w:rsid w:val="000B360C"/>
    <w:rsid w:val="000B3F5E"/>
    <w:rsid w:val="000B62E4"/>
    <w:rsid w:val="000C100E"/>
    <w:rsid w:val="000C120B"/>
    <w:rsid w:val="000C3D08"/>
    <w:rsid w:val="000C3F0A"/>
    <w:rsid w:val="000C618B"/>
    <w:rsid w:val="000C63F9"/>
    <w:rsid w:val="000D561F"/>
    <w:rsid w:val="000E06E4"/>
    <w:rsid w:val="000E09F2"/>
    <w:rsid w:val="000E5406"/>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C024F"/>
    <w:rsid w:val="001C6029"/>
    <w:rsid w:val="001D2866"/>
    <w:rsid w:val="001D33BE"/>
    <w:rsid w:val="001E50C6"/>
    <w:rsid w:val="001E65B5"/>
    <w:rsid w:val="001F09CC"/>
    <w:rsid w:val="001F1079"/>
    <w:rsid w:val="001F13D4"/>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32B5A"/>
    <w:rsid w:val="00245CD7"/>
    <w:rsid w:val="002471F5"/>
    <w:rsid w:val="00252C35"/>
    <w:rsid w:val="00253F77"/>
    <w:rsid w:val="00256038"/>
    <w:rsid w:val="00256D16"/>
    <w:rsid w:val="002613AC"/>
    <w:rsid w:val="0026451D"/>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34CD"/>
    <w:rsid w:val="002C7555"/>
    <w:rsid w:val="002D007A"/>
    <w:rsid w:val="002D43AB"/>
    <w:rsid w:val="002D48DF"/>
    <w:rsid w:val="002E1922"/>
    <w:rsid w:val="002E274C"/>
    <w:rsid w:val="002E4E6B"/>
    <w:rsid w:val="002E5219"/>
    <w:rsid w:val="002E62E4"/>
    <w:rsid w:val="002E779A"/>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71B3"/>
    <w:rsid w:val="0034481F"/>
    <w:rsid w:val="0035078B"/>
    <w:rsid w:val="00350F80"/>
    <w:rsid w:val="00357395"/>
    <w:rsid w:val="00357FB2"/>
    <w:rsid w:val="00363991"/>
    <w:rsid w:val="0036658D"/>
    <w:rsid w:val="00367AA9"/>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C64"/>
    <w:rsid w:val="00401556"/>
    <w:rsid w:val="004047B2"/>
    <w:rsid w:val="00404F0D"/>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A3E"/>
    <w:rsid w:val="005A7E96"/>
    <w:rsid w:val="005B31A6"/>
    <w:rsid w:val="005B4D67"/>
    <w:rsid w:val="005B50F9"/>
    <w:rsid w:val="005B7895"/>
    <w:rsid w:val="005C042B"/>
    <w:rsid w:val="005C16F4"/>
    <w:rsid w:val="005C4896"/>
    <w:rsid w:val="005C742B"/>
    <w:rsid w:val="005D10B8"/>
    <w:rsid w:val="005D1B6E"/>
    <w:rsid w:val="005D3544"/>
    <w:rsid w:val="005D5010"/>
    <w:rsid w:val="005E0960"/>
    <w:rsid w:val="005E09D8"/>
    <w:rsid w:val="005E4558"/>
    <w:rsid w:val="005F5A66"/>
    <w:rsid w:val="005F6C6E"/>
    <w:rsid w:val="006010D9"/>
    <w:rsid w:val="0060224C"/>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454F"/>
    <w:rsid w:val="0064737B"/>
    <w:rsid w:val="00647AEE"/>
    <w:rsid w:val="006505F6"/>
    <w:rsid w:val="006550C1"/>
    <w:rsid w:val="0065740E"/>
    <w:rsid w:val="00662D1A"/>
    <w:rsid w:val="00670009"/>
    <w:rsid w:val="006710C1"/>
    <w:rsid w:val="00673E42"/>
    <w:rsid w:val="0068283F"/>
    <w:rsid w:val="006853EE"/>
    <w:rsid w:val="00690BDD"/>
    <w:rsid w:val="00695570"/>
    <w:rsid w:val="006A2D07"/>
    <w:rsid w:val="006A37D9"/>
    <w:rsid w:val="006A583B"/>
    <w:rsid w:val="006A64FE"/>
    <w:rsid w:val="006A7803"/>
    <w:rsid w:val="006B409D"/>
    <w:rsid w:val="006B5828"/>
    <w:rsid w:val="006D1C95"/>
    <w:rsid w:val="006D1D2A"/>
    <w:rsid w:val="006D6CC3"/>
    <w:rsid w:val="006E0282"/>
    <w:rsid w:val="006E1D8C"/>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77C93"/>
    <w:rsid w:val="007854E8"/>
    <w:rsid w:val="00790543"/>
    <w:rsid w:val="0079054B"/>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75CB"/>
    <w:rsid w:val="007D7B56"/>
    <w:rsid w:val="007E0DBD"/>
    <w:rsid w:val="007E2631"/>
    <w:rsid w:val="007E5972"/>
    <w:rsid w:val="007E68C0"/>
    <w:rsid w:val="008002E6"/>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5C6A"/>
    <w:rsid w:val="00876E72"/>
    <w:rsid w:val="00886550"/>
    <w:rsid w:val="00896461"/>
    <w:rsid w:val="008966F8"/>
    <w:rsid w:val="008A1E11"/>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45A7"/>
    <w:rsid w:val="009468B6"/>
    <w:rsid w:val="0095070F"/>
    <w:rsid w:val="00956CE2"/>
    <w:rsid w:val="00957B2C"/>
    <w:rsid w:val="00960A55"/>
    <w:rsid w:val="009645EA"/>
    <w:rsid w:val="00964AF5"/>
    <w:rsid w:val="00972D99"/>
    <w:rsid w:val="00975915"/>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D5298"/>
    <w:rsid w:val="009E0D70"/>
    <w:rsid w:val="009F0F05"/>
    <w:rsid w:val="009F1136"/>
    <w:rsid w:val="009F4E31"/>
    <w:rsid w:val="009F5181"/>
    <w:rsid w:val="009F6412"/>
    <w:rsid w:val="00A02C8A"/>
    <w:rsid w:val="00A0702A"/>
    <w:rsid w:val="00A115CD"/>
    <w:rsid w:val="00A12385"/>
    <w:rsid w:val="00A20B30"/>
    <w:rsid w:val="00A24DD5"/>
    <w:rsid w:val="00A25F3A"/>
    <w:rsid w:val="00A27BA8"/>
    <w:rsid w:val="00A30A34"/>
    <w:rsid w:val="00A31582"/>
    <w:rsid w:val="00A31B36"/>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1B28"/>
    <w:rsid w:val="00AA3F46"/>
    <w:rsid w:val="00AB4F31"/>
    <w:rsid w:val="00AC1BD0"/>
    <w:rsid w:val="00AC3915"/>
    <w:rsid w:val="00AC3C04"/>
    <w:rsid w:val="00AC4E86"/>
    <w:rsid w:val="00AC5A95"/>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3143"/>
    <w:rsid w:val="00B25753"/>
    <w:rsid w:val="00B33376"/>
    <w:rsid w:val="00B342FC"/>
    <w:rsid w:val="00B34BCD"/>
    <w:rsid w:val="00B37C96"/>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958E7"/>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0965"/>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0437"/>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B7A77"/>
    <w:rsid w:val="00DC1F07"/>
    <w:rsid w:val="00DC3526"/>
    <w:rsid w:val="00DC6FCA"/>
    <w:rsid w:val="00DD4465"/>
    <w:rsid w:val="00DD5852"/>
    <w:rsid w:val="00DD6A7A"/>
    <w:rsid w:val="00DD6CEF"/>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03E1"/>
    <w:rsid w:val="00E3740A"/>
    <w:rsid w:val="00E43CB2"/>
    <w:rsid w:val="00E46234"/>
    <w:rsid w:val="00E46E69"/>
    <w:rsid w:val="00E510CC"/>
    <w:rsid w:val="00E51DDC"/>
    <w:rsid w:val="00E5797E"/>
    <w:rsid w:val="00E61511"/>
    <w:rsid w:val="00E61C68"/>
    <w:rsid w:val="00E63287"/>
    <w:rsid w:val="00E65629"/>
    <w:rsid w:val="00E65E1D"/>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29C5"/>
    <w:rsid w:val="00ED41E1"/>
    <w:rsid w:val="00ED6D59"/>
    <w:rsid w:val="00EE351C"/>
    <w:rsid w:val="00EF1AA4"/>
    <w:rsid w:val="00EF5115"/>
    <w:rsid w:val="00EF771E"/>
    <w:rsid w:val="00F04031"/>
    <w:rsid w:val="00F046C5"/>
    <w:rsid w:val="00F0659D"/>
    <w:rsid w:val="00F1213F"/>
    <w:rsid w:val="00F122E2"/>
    <w:rsid w:val="00F20225"/>
    <w:rsid w:val="00F233E1"/>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10F7B47-AD04-4C62-9243-25F09401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66D60-419C-4D33-B471-03550342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1</TotalTime>
  <Pages>1</Pages>
  <Words>312</Words>
  <Characters>1782</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02</cp:lastModifiedBy>
  <cp:revision>2</cp:revision>
  <cp:lastPrinted>2016-06-10T07:31:00Z</cp:lastPrinted>
  <dcterms:created xsi:type="dcterms:W3CDTF">2016-06-10T09:03:00Z</dcterms:created>
  <dcterms:modified xsi:type="dcterms:W3CDTF">2016-06-10T09:03:00Z</dcterms:modified>
</cp:coreProperties>
</file>