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F0" w:rsidRPr="002E0EE4" w:rsidRDefault="00E15DF0" w:rsidP="00E15DF0">
      <w:pPr>
        <w:suppressAutoHyphens w:val="0"/>
        <w:spacing w:line="240" w:lineRule="auto"/>
        <w:ind w:left="5387" w:right="-286"/>
        <w:outlineLvl w:val="0"/>
        <w:rPr>
          <w:rFonts w:ascii="Arial" w:hAnsi="Arial"/>
          <w:lang w:val="fr-FR" w:bidi="fr-FR"/>
        </w:rPr>
      </w:pPr>
      <w:bookmarkStart w:id="0" w:name="_GoBack"/>
      <w:bookmarkEnd w:id="0"/>
      <w:r w:rsidRPr="002E0EE4">
        <w:rPr>
          <w:noProof/>
          <w:snapToGrid/>
          <w:lang w:val="en-US" w:eastAsia="en-US"/>
        </w:rPr>
        <w:drawing>
          <wp:anchor distT="0" distB="0" distL="114300" distR="114300" simplePos="0" relativeHeight="251661312" behindDoc="0" locked="0" layoutInCell="1" allowOverlap="1" wp14:anchorId="7D24BE11" wp14:editId="059C832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EE4">
        <w:rPr>
          <w:rFonts w:ascii="Arial" w:eastAsia="Arial" w:hAnsi="Arial" w:cs="Arial"/>
          <w:bCs/>
          <w:snapToGrid/>
          <w:szCs w:val="24"/>
          <w:lang w:val="fr-FR" w:eastAsia="de-DE"/>
        </w:rPr>
        <w:t>CCNR-ZKR/ADN/WP.15/AC.2/2016/</w:t>
      </w:r>
      <w:r w:rsidR="004545E9">
        <w:rPr>
          <w:rFonts w:ascii="Arial" w:eastAsia="Arial" w:hAnsi="Arial" w:cs="Arial"/>
          <w:bCs/>
          <w:snapToGrid/>
          <w:szCs w:val="24"/>
          <w:lang w:val="fr-FR" w:eastAsia="de-DE"/>
        </w:rPr>
        <w:t>34</w:t>
      </w:r>
    </w:p>
    <w:p w:rsidR="00E15DF0" w:rsidRPr="002E0EE4" w:rsidRDefault="00E15DF0" w:rsidP="00E15DF0">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E15DF0" w:rsidRPr="002E0EE4" w:rsidRDefault="004545E9" w:rsidP="00E15DF0">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w:t>
      </w:r>
      <w:r w:rsidR="00E15DF0" w:rsidRPr="002E0EE4">
        <w:rPr>
          <w:rFonts w:ascii="Arial" w:eastAsia="Arial" w:hAnsi="Arial" w:cs="Arial"/>
          <w:snapToGrid/>
          <w:szCs w:val="24"/>
          <w:lang w:val="de-DE" w:eastAsia="de-DE"/>
        </w:rPr>
        <w:t xml:space="preserve">. </w:t>
      </w:r>
      <w:r>
        <w:rPr>
          <w:rFonts w:ascii="Arial" w:eastAsia="Arial" w:hAnsi="Arial" w:cs="Arial"/>
          <w:snapToGrid/>
          <w:szCs w:val="24"/>
          <w:lang w:val="de-DE" w:eastAsia="de-DE"/>
        </w:rPr>
        <w:t>Juni</w:t>
      </w:r>
      <w:r w:rsidR="00E15DF0" w:rsidRPr="002E0EE4">
        <w:rPr>
          <w:rFonts w:ascii="Arial" w:eastAsia="Arial" w:hAnsi="Arial" w:cs="Arial"/>
          <w:snapToGrid/>
          <w:szCs w:val="24"/>
          <w:lang w:val="de-DE" w:eastAsia="de-DE"/>
        </w:rPr>
        <w:t xml:space="preserve"> 201</w:t>
      </w:r>
      <w:r w:rsidR="00E15DF0">
        <w:rPr>
          <w:rFonts w:ascii="Arial" w:eastAsia="Arial" w:hAnsi="Arial" w:cs="Arial"/>
          <w:snapToGrid/>
          <w:szCs w:val="24"/>
          <w:lang w:val="de-DE" w:eastAsia="de-DE"/>
        </w:rPr>
        <w:t>6</w:t>
      </w:r>
    </w:p>
    <w:p w:rsidR="00E15DF0" w:rsidRPr="002E0EE4" w:rsidRDefault="00E15DF0" w:rsidP="00E15DF0">
      <w:pPr>
        <w:tabs>
          <w:tab w:val="right" w:pos="3856"/>
          <w:tab w:val="left" w:pos="5670"/>
        </w:tabs>
        <w:suppressAutoHyphens w:val="0"/>
        <w:spacing w:line="240" w:lineRule="auto"/>
        <w:ind w:left="5387" w:right="565"/>
        <w:rPr>
          <w:rFonts w:ascii="Arial" w:hAnsi="Arial" w:cs="Arial"/>
          <w:kern w:val="1"/>
          <w:lang w:val="de-DE" w:eastAsia="de-DE"/>
        </w:rPr>
      </w:pPr>
      <w:r w:rsidRPr="002E0EE4">
        <w:rPr>
          <w:rFonts w:ascii="Arial" w:eastAsia="Arial" w:hAnsi="Arial" w:cs="Arial"/>
          <w:snapToGrid/>
          <w:sz w:val="16"/>
          <w:szCs w:val="24"/>
          <w:lang w:val="de-DE" w:eastAsia="de-DE"/>
        </w:rPr>
        <w:t>Or. DEUTSCH</w:t>
      </w: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E15DF0" w:rsidRPr="002E0EE4" w:rsidRDefault="00E15DF0" w:rsidP="00E15DF0">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E15DF0" w:rsidRPr="002E0EE4" w:rsidRDefault="00E15DF0" w:rsidP="00E15DF0">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(2</w:t>
      </w:r>
      <w:r>
        <w:rPr>
          <w:rFonts w:ascii="Arial" w:hAnsi="Arial"/>
          <w:sz w:val="16"/>
          <w:szCs w:val="24"/>
          <w:lang w:val="de-DE"/>
        </w:rPr>
        <w:t>9</w:t>
      </w:r>
      <w:r w:rsidRPr="002E0EE4">
        <w:rPr>
          <w:rFonts w:ascii="Arial" w:hAnsi="Arial"/>
          <w:sz w:val="16"/>
          <w:szCs w:val="24"/>
          <w:lang w:val="de-DE"/>
        </w:rPr>
        <w:t xml:space="preserve">. </w:t>
      </w:r>
      <w:r w:rsidRPr="002E0EE4">
        <w:rPr>
          <w:rFonts w:ascii="Arial" w:hAnsi="Arial"/>
          <w:noProof/>
          <w:sz w:val="16"/>
          <w:szCs w:val="24"/>
          <w:lang w:val="de-DE"/>
        </w:rPr>
        <w:t>Tagung, Genf, 2</w:t>
      </w:r>
      <w:r>
        <w:rPr>
          <w:rFonts w:ascii="Arial" w:hAnsi="Arial"/>
          <w:noProof/>
          <w:sz w:val="16"/>
          <w:szCs w:val="24"/>
          <w:lang w:val="de-DE"/>
        </w:rPr>
        <w:t>2</w:t>
      </w:r>
      <w:r w:rsidRPr="002E0EE4">
        <w:rPr>
          <w:rFonts w:ascii="Arial" w:hAnsi="Arial"/>
          <w:noProof/>
          <w:sz w:val="16"/>
          <w:szCs w:val="24"/>
          <w:lang w:val="de-DE"/>
        </w:rPr>
        <w:t>. bis 2</w:t>
      </w:r>
      <w:r w:rsidR="004545E9">
        <w:rPr>
          <w:rFonts w:ascii="Arial" w:hAnsi="Arial"/>
          <w:noProof/>
          <w:sz w:val="16"/>
          <w:szCs w:val="24"/>
          <w:lang w:val="de-DE"/>
        </w:rPr>
        <w:t>5</w:t>
      </w:r>
      <w:r w:rsidRPr="002E0EE4">
        <w:rPr>
          <w:rFonts w:ascii="Arial" w:hAnsi="Arial"/>
          <w:noProof/>
          <w:sz w:val="16"/>
          <w:szCs w:val="24"/>
          <w:lang w:val="de-DE"/>
        </w:rPr>
        <w:t xml:space="preserve">. </w:t>
      </w:r>
      <w:r>
        <w:rPr>
          <w:rFonts w:ascii="Arial" w:hAnsi="Arial"/>
          <w:noProof/>
          <w:sz w:val="16"/>
          <w:szCs w:val="24"/>
          <w:lang w:val="de-DE"/>
        </w:rPr>
        <w:t>August</w:t>
      </w:r>
      <w:r w:rsidRPr="002E0EE4">
        <w:rPr>
          <w:rFonts w:ascii="Arial" w:hAnsi="Arial"/>
          <w:noProof/>
          <w:sz w:val="16"/>
          <w:szCs w:val="24"/>
          <w:lang w:val="de-DE"/>
        </w:rPr>
        <w:t xml:space="preserve"> 2016)</w:t>
      </w:r>
    </w:p>
    <w:p w:rsidR="00E15DF0" w:rsidRPr="002E0EE4" w:rsidRDefault="00E15DF0" w:rsidP="00E15DF0">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4545E9">
        <w:rPr>
          <w:rFonts w:ascii="Arial" w:hAnsi="Arial" w:cs="Arial"/>
          <w:snapToGrid/>
          <w:sz w:val="16"/>
          <w:szCs w:val="16"/>
          <w:lang w:val="de-DE" w:eastAsia="en-US"/>
        </w:rPr>
        <w:t>3 c)</w:t>
      </w:r>
      <w:r w:rsidRPr="002E0EE4">
        <w:rPr>
          <w:rFonts w:ascii="Arial" w:hAnsi="Arial" w:cs="Arial"/>
          <w:snapToGrid/>
          <w:sz w:val="16"/>
          <w:szCs w:val="16"/>
          <w:lang w:val="de-DE" w:eastAsia="en-US"/>
        </w:rPr>
        <w:t xml:space="preserve"> zur vorläufigen Tagesordnung</w:t>
      </w:r>
    </w:p>
    <w:p w:rsidR="00E15DF0" w:rsidRPr="000F2981" w:rsidRDefault="00E15DF0" w:rsidP="00E15DF0">
      <w:pPr>
        <w:tabs>
          <w:tab w:val="left" w:pos="2977"/>
        </w:tabs>
        <w:suppressAutoHyphens w:val="0"/>
        <w:spacing w:line="240" w:lineRule="auto"/>
        <w:ind w:left="3960"/>
        <w:rPr>
          <w:rFonts w:ascii="Arial" w:hAnsi="Arial" w:cs="Arial"/>
          <w:b/>
          <w:snapToGrid/>
          <w:sz w:val="16"/>
          <w:szCs w:val="16"/>
          <w:lang w:val="de-DE" w:eastAsia="en-US"/>
        </w:rPr>
      </w:pPr>
      <w:r w:rsidRPr="009F4C42">
        <w:rPr>
          <w:rFonts w:ascii="Arial" w:hAnsi="Arial" w:cs="Arial"/>
          <w:b/>
          <w:snapToGrid/>
          <w:sz w:val="16"/>
          <w:szCs w:val="16"/>
          <w:lang w:val="de-DE" w:eastAsia="en-US"/>
        </w:rPr>
        <w:t>Durchführung des Europäischen Übereinkommens über die internationale Beförderung von gefährlichen Gütern auf Binnenwasserstraßen (ADN)</w:t>
      </w:r>
      <w:r w:rsidRPr="000F2981">
        <w:rPr>
          <w:rFonts w:ascii="Arial" w:hAnsi="Arial" w:cs="Arial"/>
          <w:b/>
          <w:snapToGrid/>
          <w:sz w:val="16"/>
          <w:szCs w:val="16"/>
          <w:lang w:val="de-DE" w:eastAsia="en-US"/>
        </w:rPr>
        <w:t>:</w:t>
      </w:r>
    </w:p>
    <w:p w:rsidR="00E15DF0" w:rsidRPr="00792806" w:rsidRDefault="00E15DF0" w:rsidP="00E15DF0">
      <w:pPr>
        <w:tabs>
          <w:tab w:val="left" w:pos="2977"/>
        </w:tabs>
        <w:suppressAutoHyphens w:val="0"/>
        <w:spacing w:line="240" w:lineRule="auto"/>
        <w:ind w:left="3960"/>
        <w:rPr>
          <w:rFonts w:ascii="Arial" w:hAnsi="Arial" w:cs="Arial"/>
          <w:b/>
          <w:snapToGrid/>
          <w:sz w:val="16"/>
          <w:szCs w:val="16"/>
          <w:lang w:val="de-DE" w:eastAsia="en-US"/>
        </w:rPr>
      </w:pPr>
      <w:r w:rsidRPr="009F4C42">
        <w:rPr>
          <w:rFonts w:ascii="Arial" w:hAnsi="Arial" w:cs="Arial"/>
          <w:b/>
          <w:snapToGrid/>
          <w:sz w:val="16"/>
          <w:szCs w:val="16"/>
          <w:lang w:val="de-DE" w:eastAsia="en-US"/>
        </w:rPr>
        <w:t>Auslegung der dem ADN beigefügten Verordnung</w:t>
      </w:r>
    </w:p>
    <w:p w:rsidR="009F0D42" w:rsidRDefault="009F0D42"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p>
    <w:p w:rsidR="00932460" w:rsidRPr="004545E9" w:rsidRDefault="00932460"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p>
    <w:p w:rsidR="009F0D42" w:rsidRPr="006353A0" w:rsidRDefault="009F0D42" w:rsidP="009F0D42">
      <w:pPr>
        <w:tabs>
          <w:tab w:val="right" w:pos="851"/>
        </w:tabs>
        <w:snapToGrid w:val="0"/>
        <w:spacing w:line="300" w:lineRule="exact"/>
        <w:ind w:left="1134" w:right="1134" w:hanging="1134"/>
        <w:jc w:val="both"/>
        <w:rPr>
          <w:snapToGrid/>
          <w:sz w:val="28"/>
          <w:lang w:val="de-DE"/>
        </w:rPr>
      </w:pPr>
      <w:r w:rsidRPr="004545E9">
        <w:rPr>
          <w:bCs/>
          <w:snapToGrid/>
          <w:sz w:val="28"/>
          <w:szCs w:val="24"/>
          <w:lang w:val="de-DE"/>
        </w:rPr>
        <w:tab/>
      </w:r>
      <w:r w:rsidRPr="004545E9">
        <w:rPr>
          <w:b/>
          <w:bCs/>
          <w:snapToGrid/>
          <w:sz w:val="28"/>
          <w:szCs w:val="24"/>
          <w:lang w:val="de-DE"/>
        </w:rPr>
        <w:tab/>
      </w:r>
      <w:r w:rsidRPr="00695384">
        <w:rPr>
          <w:b/>
          <w:bCs/>
          <w:snapToGrid/>
          <w:sz w:val="28"/>
          <w:szCs w:val="24"/>
          <w:lang w:val="de-DE"/>
        </w:rPr>
        <w:t>Absatz 7.2.4.1. ADN, Beförderung von Versandstücke mit Tankschiffen</w:t>
      </w:r>
    </w:p>
    <w:p w:rsidR="009F0D42" w:rsidRPr="004545E9" w:rsidRDefault="009F0D42" w:rsidP="009F0D42">
      <w:pPr>
        <w:keepNext/>
        <w:keepLines/>
        <w:tabs>
          <w:tab w:val="right" w:pos="851"/>
        </w:tabs>
        <w:spacing w:before="360" w:after="240" w:line="270" w:lineRule="exact"/>
        <w:ind w:left="1134" w:right="567" w:hanging="1134"/>
        <w:rPr>
          <w:b/>
          <w:snapToGrid/>
          <w:sz w:val="16"/>
          <w:szCs w:val="16"/>
          <w:lang w:val="fr-FR"/>
        </w:rPr>
      </w:pPr>
      <w:r w:rsidRPr="006353A0">
        <w:rPr>
          <w:b/>
          <w:snapToGrid/>
          <w:sz w:val="24"/>
          <w:lang w:val="de-DE"/>
        </w:rPr>
        <w:tab/>
      </w:r>
      <w:r w:rsidRPr="006353A0">
        <w:rPr>
          <w:b/>
          <w:snapToGrid/>
          <w:sz w:val="24"/>
          <w:lang w:val="de-DE"/>
        </w:rPr>
        <w:tab/>
      </w:r>
      <w:r w:rsidR="00E15DF0">
        <w:rPr>
          <w:b/>
          <w:snapToGrid/>
          <w:sz w:val="24"/>
          <w:lang w:val="fr-FR"/>
        </w:rPr>
        <w:t>Vorgelegt von Deutschland</w:t>
      </w:r>
      <w:r w:rsidR="00E15DF0" w:rsidRPr="004545E9">
        <w:rPr>
          <w:b/>
          <w:snapToGrid/>
          <w:sz w:val="16"/>
          <w:szCs w:val="16"/>
          <w:vertAlign w:val="superscript"/>
          <w:lang w:val="de-DE" w:eastAsia="en-US"/>
        </w:rPr>
        <w:footnoteReference w:id="2"/>
      </w:r>
      <w:r w:rsidR="004545E9" w:rsidRPr="004545E9">
        <w:rPr>
          <w:b/>
          <w:snapToGrid/>
          <w:sz w:val="16"/>
          <w:szCs w:val="16"/>
          <w:lang w:val="fr-FR"/>
        </w:rPr>
        <w:t>,</w:t>
      </w:r>
      <w:r w:rsidR="004545E9" w:rsidRPr="004545E9">
        <w:rPr>
          <w:b/>
          <w:snapToGrid/>
          <w:sz w:val="16"/>
          <w:szCs w:val="16"/>
          <w:vertAlign w:val="superscript"/>
          <w:lang w:val="de-DE" w:eastAsia="en-US"/>
        </w:rPr>
        <w:footnoteReference w:id="3"/>
      </w:r>
    </w:p>
    <w:p w:rsidR="009F0D42" w:rsidRPr="006353A0" w:rsidRDefault="009F0D42" w:rsidP="009F0D42">
      <w:pPr>
        <w:widowControl w:val="0"/>
        <w:suppressAutoHyphens w:val="0"/>
        <w:overflowPunct w:val="0"/>
        <w:autoSpaceDE w:val="0"/>
        <w:autoSpaceDN w:val="0"/>
        <w:adjustRightInd w:val="0"/>
        <w:spacing w:before="180" w:line="360" w:lineRule="auto"/>
        <w:ind w:left="1134" w:hanging="1134"/>
        <w:jc w:val="both"/>
        <w:textAlignment w:val="baseline"/>
        <w:rPr>
          <w:rFonts w:ascii="Arial" w:hAnsi="Arial"/>
          <w:b/>
          <w:bCs/>
          <w:snapToGrid/>
          <w:sz w:val="22"/>
          <w:szCs w:val="18"/>
          <w:lang w:val="fr-FR"/>
        </w:rPr>
      </w:pP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32"/>
        <w:gridCol w:w="6307"/>
      </w:tblGrid>
      <w:tr w:rsidR="009F0D42" w:rsidRPr="006353A0" w:rsidTr="00F25F47">
        <w:trPr>
          <w:jc w:val="center"/>
        </w:trPr>
        <w:tc>
          <w:tcPr>
            <w:tcW w:w="3332" w:type="dxa"/>
          </w:tcPr>
          <w:p w:rsidR="009F0D42" w:rsidRPr="006353A0" w:rsidRDefault="006353A0" w:rsidP="009F0D42">
            <w:pPr>
              <w:widowControl w:val="0"/>
              <w:tabs>
                <w:tab w:val="left" w:pos="284"/>
              </w:tabs>
              <w:suppressAutoHyphens w:val="0"/>
              <w:overflowPunct w:val="0"/>
              <w:autoSpaceDE w:val="0"/>
              <w:autoSpaceDN w:val="0"/>
              <w:adjustRightInd w:val="0"/>
              <w:spacing w:before="120" w:after="120" w:line="240" w:lineRule="auto"/>
              <w:ind w:left="72"/>
              <w:jc w:val="both"/>
              <w:textAlignment w:val="baseline"/>
              <w:rPr>
                <w:snapToGrid/>
                <w:color w:val="000000"/>
                <w:lang w:val="de-DE" w:eastAsia="en-US"/>
              </w:rPr>
            </w:pPr>
            <w:r w:rsidRPr="006353A0">
              <w:rPr>
                <w:rFonts w:eastAsia="Arial"/>
                <w:i/>
                <w:snapToGrid/>
                <w:color w:val="000000"/>
                <w:lang w:val="de-DE" w:eastAsia="en-US"/>
              </w:rPr>
              <w:t>Zusammenfassung</w:t>
            </w:r>
          </w:p>
        </w:tc>
        <w:tc>
          <w:tcPr>
            <w:tcW w:w="6307" w:type="dxa"/>
          </w:tcPr>
          <w:p w:rsidR="009F0D42" w:rsidRPr="006353A0" w:rsidRDefault="009F0D42" w:rsidP="009F0D42">
            <w:pPr>
              <w:widowControl w:val="0"/>
              <w:suppressAutoHyphens w:val="0"/>
              <w:overflowPunct w:val="0"/>
              <w:autoSpaceDE w:val="0"/>
              <w:autoSpaceDN w:val="0"/>
              <w:adjustRightInd w:val="0"/>
              <w:spacing w:before="120" w:after="120" w:line="240" w:lineRule="auto"/>
              <w:ind w:left="1134"/>
              <w:jc w:val="both"/>
              <w:textAlignment w:val="baseline"/>
              <w:rPr>
                <w:snapToGrid/>
                <w:color w:val="000000"/>
                <w:lang w:val="de-DE" w:eastAsia="en-US"/>
              </w:rPr>
            </w:pPr>
          </w:p>
        </w:tc>
      </w:tr>
      <w:tr w:rsidR="009F0D42" w:rsidRPr="00AA17DC" w:rsidTr="00F25F47">
        <w:trPr>
          <w:jc w:val="center"/>
        </w:trPr>
        <w:tc>
          <w:tcPr>
            <w:tcW w:w="3332" w:type="dxa"/>
          </w:tcPr>
          <w:p w:rsidR="009F0D42" w:rsidRPr="00695384" w:rsidRDefault="006353A0" w:rsidP="009F0D42">
            <w:pPr>
              <w:widowControl w:val="0"/>
              <w:tabs>
                <w:tab w:val="left" w:pos="284"/>
              </w:tabs>
              <w:suppressAutoHyphens w:val="0"/>
              <w:overflowPunct w:val="0"/>
              <w:autoSpaceDE w:val="0"/>
              <w:autoSpaceDN w:val="0"/>
              <w:adjustRightInd w:val="0"/>
              <w:spacing w:before="120" w:after="120" w:line="240" w:lineRule="auto"/>
              <w:ind w:left="72"/>
              <w:textAlignment w:val="baseline"/>
              <w:rPr>
                <w:snapToGrid/>
                <w:color w:val="000000"/>
                <w:lang w:val="de-DE" w:eastAsia="en-US"/>
              </w:rPr>
            </w:pPr>
            <w:r w:rsidRPr="00695384">
              <w:rPr>
                <w:b/>
                <w:snapToGrid/>
                <w:color w:val="000000"/>
                <w:lang w:val="de-DE" w:eastAsia="en-US"/>
              </w:rPr>
              <w:t>Analytische Zusammenfassung</w:t>
            </w:r>
            <w:r w:rsidR="009F0D42" w:rsidRPr="00695384">
              <w:rPr>
                <w:b/>
                <w:snapToGrid/>
                <w:color w:val="000000"/>
                <w:lang w:val="de-DE" w:eastAsia="en-US"/>
              </w:rPr>
              <w:t>:</w:t>
            </w:r>
          </w:p>
          <w:p w:rsidR="009F0D42" w:rsidRPr="00695384" w:rsidRDefault="009F0D42" w:rsidP="009F0D42">
            <w:pPr>
              <w:widowControl w:val="0"/>
              <w:tabs>
                <w:tab w:val="left" w:pos="284"/>
              </w:tabs>
              <w:suppressAutoHyphens w:val="0"/>
              <w:overflowPunct w:val="0"/>
              <w:autoSpaceDE w:val="0"/>
              <w:autoSpaceDN w:val="0"/>
              <w:adjustRightInd w:val="0"/>
              <w:spacing w:before="120" w:after="120" w:line="240" w:lineRule="auto"/>
              <w:ind w:left="72"/>
              <w:textAlignment w:val="baseline"/>
              <w:rPr>
                <w:snapToGrid/>
                <w:color w:val="000000"/>
                <w:lang w:val="de-DE" w:eastAsia="en-US"/>
              </w:rPr>
            </w:pPr>
          </w:p>
        </w:tc>
        <w:tc>
          <w:tcPr>
            <w:tcW w:w="6307" w:type="dxa"/>
          </w:tcPr>
          <w:p w:rsidR="009F0D42" w:rsidRPr="00695384" w:rsidRDefault="009F0D42" w:rsidP="009F0D42">
            <w:pPr>
              <w:widowControl w:val="0"/>
              <w:suppressAutoHyphens w:val="0"/>
              <w:overflowPunct w:val="0"/>
              <w:autoSpaceDE w:val="0"/>
              <w:autoSpaceDN w:val="0"/>
              <w:adjustRightInd w:val="0"/>
              <w:spacing w:before="120" w:after="120" w:line="240" w:lineRule="auto"/>
              <w:ind w:left="11"/>
              <w:jc w:val="both"/>
              <w:textAlignment w:val="baseline"/>
              <w:rPr>
                <w:bCs/>
                <w:snapToGrid/>
                <w:color w:val="000000"/>
                <w:lang w:val="de-DE"/>
              </w:rPr>
            </w:pPr>
            <w:r w:rsidRPr="00695384">
              <w:rPr>
                <w:bCs/>
                <w:snapToGrid/>
                <w:color w:val="000000"/>
                <w:lang w:val="de-DE"/>
              </w:rPr>
              <w:t>Unterabschnitt 7.2.4.1. ADN lässt es zu, auch auf Tankschiffen bestimmte Versandstücke zu befördern.</w:t>
            </w:r>
          </w:p>
          <w:p w:rsidR="009F0D42" w:rsidRPr="00695384" w:rsidRDefault="009F0D42" w:rsidP="009F0D42">
            <w:pPr>
              <w:widowControl w:val="0"/>
              <w:suppressAutoHyphens w:val="0"/>
              <w:overflowPunct w:val="0"/>
              <w:autoSpaceDE w:val="0"/>
              <w:autoSpaceDN w:val="0"/>
              <w:adjustRightInd w:val="0"/>
              <w:spacing w:before="120" w:after="120" w:line="240" w:lineRule="auto"/>
              <w:ind w:left="11"/>
              <w:jc w:val="both"/>
              <w:textAlignment w:val="baseline"/>
              <w:rPr>
                <w:snapToGrid/>
                <w:color w:val="000000"/>
                <w:lang w:val="de-DE" w:eastAsia="en-US"/>
              </w:rPr>
            </w:pPr>
            <w:r w:rsidRPr="00695384">
              <w:rPr>
                <w:bCs/>
                <w:snapToGrid/>
                <w:color w:val="000000"/>
                <w:lang w:val="de-DE"/>
              </w:rPr>
              <w:t>Es ist unklar, ob nur der Behälter selbst diesen Anforderungen genügen muss, oder ob die Beförderung auf dem Tankschiff insgesamt gemäß den Beförderungsbedingungen für Versandstücke auf Trockengüterschiffen erfolgen muss.</w:t>
            </w:r>
          </w:p>
        </w:tc>
      </w:tr>
      <w:tr w:rsidR="006353A0" w:rsidRPr="00AA17DC" w:rsidTr="00F25F47">
        <w:trPr>
          <w:jc w:val="center"/>
        </w:trPr>
        <w:tc>
          <w:tcPr>
            <w:tcW w:w="3332" w:type="dxa"/>
          </w:tcPr>
          <w:p w:rsidR="006353A0" w:rsidRPr="00695384" w:rsidRDefault="006353A0" w:rsidP="006353A0">
            <w:pPr>
              <w:tabs>
                <w:tab w:val="left" w:pos="284"/>
              </w:tabs>
              <w:spacing w:before="120" w:after="120"/>
              <w:ind w:left="72"/>
              <w:rPr>
                <w:b/>
                <w:lang w:eastAsia="en-US"/>
              </w:rPr>
            </w:pPr>
            <w:r w:rsidRPr="00695384">
              <w:rPr>
                <w:b/>
                <w:sz w:val="22"/>
                <w:lang w:eastAsia="en-US"/>
              </w:rPr>
              <w:t>Zu ergreifende Maßnahme:</w:t>
            </w:r>
          </w:p>
        </w:tc>
        <w:tc>
          <w:tcPr>
            <w:tcW w:w="6307" w:type="dxa"/>
          </w:tcPr>
          <w:p w:rsidR="006353A0" w:rsidRPr="00695384" w:rsidRDefault="006353A0" w:rsidP="009F0D42">
            <w:pPr>
              <w:widowControl w:val="0"/>
              <w:suppressAutoHyphens w:val="0"/>
              <w:overflowPunct w:val="0"/>
              <w:autoSpaceDE w:val="0"/>
              <w:autoSpaceDN w:val="0"/>
              <w:adjustRightInd w:val="0"/>
              <w:spacing w:before="120" w:after="120" w:line="240" w:lineRule="auto"/>
              <w:ind w:left="11"/>
              <w:jc w:val="both"/>
              <w:textAlignment w:val="baseline"/>
              <w:rPr>
                <w:snapToGrid/>
                <w:color w:val="000000"/>
                <w:lang w:val="de-DE" w:eastAsia="en-US"/>
              </w:rPr>
            </w:pPr>
            <w:r w:rsidRPr="00695384">
              <w:rPr>
                <w:bCs/>
                <w:snapToGrid/>
                <w:color w:val="000000"/>
                <w:lang w:val="de-DE"/>
              </w:rPr>
              <w:t>Beratung im ADN-Sicherheitsausschuss. Mitteilung der Interpretation im Sitzungsbericht.</w:t>
            </w:r>
          </w:p>
        </w:tc>
      </w:tr>
      <w:tr w:rsidR="006353A0" w:rsidRPr="00695384" w:rsidTr="00F25F47">
        <w:trPr>
          <w:jc w:val="center"/>
        </w:trPr>
        <w:tc>
          <w:tcPr>
            <w:tcW w:w="3332" w:type="dxa"/>
          </w:tcPr>
          <w:p w:rsidR="006353A0" w:rsidRPr="00695384" w:rsidRDefault="006353A0" w:rsidP="001E7368">
            <w:pPr>
              <w:tabs>
                <w:tab w:val="left" w:pos="284"/>
              </w:tabs>
              <w:spacing w:before="120" w:after="120"/>
              <w:ind w:left="72"/>
              <w:rPr>
                <w:b/>
                <w:lang w:eastAsia="en-US"/>
              </w:rPr>
            </w:pPr>
            <w:r w:rsidRPr="00695384">
              <w:rPr>
                <w:b/>
                <w:sz w:val="22"/>
                <w:lang w:eastAsia="en-US"/>
              </w:rPr>
              <w:t>Verbundene Dokumente:</w:t>
            </w:r>
          </w:p>
        </w:tc>
        <w:tc>
          <w:tcPr>
            <w:tcW w:w="6307" w:type="dxa"/>
          </w:tcPr>
          <w:p w:rsidR="006353A0" w:rsidRPr="00695384" w:rsidRDefault="006353A0" w:rsidP="009F0D42">
            <w:pPr>
              <w:widowControl w:val="0"/>
              <w:suppressAutoHyphens w:val="0"/>
              <w:overflowPunct w:val="0"/>
              <w:autoSpaceDE w:val="0"/>
              <w:autoSpaceDN w:val="0"/>
              <w:adjustRightInd w:val="0"/>
              <w:spacing w:before="120" w:after="120" w:line="240" w:lineRule="auto"/>
              <w:ind w:left="11"/>
              <w:jc w:val="both"/>
              <w:textAlignment w:val="baseline"/>
              <w:rPr>
                <w:snapToGrid/>
                <w:color w:val="000000"/>
                <w:lang w:val="de-DE" w:eastAsia="en-US"/>
              </w:rPr>
            </w:pPr>
            <w:r w:rsidRPr="00695384">
              <w:rPr>
                <w:bCs/>
                <w:snapToGrid/>
                <w:color w:val="000000"/>
                <w:lang w:val="de-DE"/>
              </w:rPr>
              <w:t>keine</w:t>
            </w:r>
          </w:p>
        </w:tc>
      </w:tr>
    </w:tbl>
    <w:p w:rsidR="009F0D42" w:rsidRPr="00695384" w:rsidRDefault="009F0D42" w:rsidP="009F0D42">
      <w:pPr>
        <w:widowControl w:val="0"/>
        <w:suppressAutoHyphens w:val="0"/>
        <w:overflowPunct w:val="0"/>
        <w:autoSpaceDE w:val="0"/>
        <w:autoSpaceDN w:val="0"/>
        <w:adjustRightInd w:val="0"/>
        <w:spacing w:before="180" w:line="360" w:lineRule="auto"/>
        <w:ind w:left="1134" w:hanging="1134"/>
        <w:jc w:val="both"/>
        <w:textAlignment w:val="baseline"/>
        <w:rPr>
          <w:b/>
          <w:bCs/>
          <w:snapToGrid/>
          <w:lang w:val="de-DE"/>
        </w:rPr>
      </w:pPr>
    </w:p>
    <w:p w:rsidR="00932460" w:rsidRDefault="00932460">
      <w:pPr>
        <w:suppressAutoHyphens w:val="0"/>
        <w:spacing w:line="240" w:lineRule="auto"/>
        <w:rPr>
          <w:b/>
          <w:bCs/>
          <w:snapToGrid/>
          <w:sz w:val="28"/>
          <w:szCs w:val="28"/>
          <w:lang w:val="de-DE"/>
        </w:rPr>
      </w:pPr>
      <w:r>
        <w:rPr>
          <w:b/>
          <w:bCs/>
          <w:snapToGrid/>
          <w:sz w:val="28"/>
          <w:szCs w:val="28"/>
          <w:lang w:val="de-DE"/>
        </w:rPr>
        <w:br w:type="page"/>
      </w:r>
    </w:p>
    <w:p w:rsidR="009F0D42" w:rsidRPr="00695384" w:rsidRDefault="009F0D42" w:rsidP="009F0D42">
      <w:pPr>
        <w:keepNext/>
        <w:keepLines/>
        <w:tabs>
          <w:tab w:val="right" w:pos="851"/>
        </w:tabs>
        <w:spacing w:before="360" w:after="240" w:line="300" w:lineRule="exact"/>
        <w:ind w:left="567" w:right="567" w:hanging="567"/>
        <w:rPr>
          <w:b/>
          <w:bCs/>
          <w:snapToGrid/>
          <w:sz w:val="28"/>
          <w:szCs w:val="28"/>
          <w:lang w:val="de-DE"/>
        </w:rPr>
      </w:pPr>
      <w:r w:rsidRPr="00695384">
        <w:rPr>
          <w:b/>
          <w:bCs/>
          <w:snapToGrid/>
          <w:sz w:val="28"/>
          <w:szCs w:val="28"/>
          <w:lang w:val="de-DE"/>
        </w:rPr>
        <w:lastRenderedPageBreak/>
        <w:t>I.</w:t>
      </w:r>
      <w:r w:rsidRPr="00695384">
        <w:rPr>
          <w:b/>
          <w:bCs/>
          <w:snapToGrid/>
          <w:sz w:val="28"/>
          <w:szCs w:val="28"/>
          <w:lang w:val="de-DE"/>
        </w:rPr>
        <w:tab/>
      </w:r>
      <w:r w:rsidR="006353A0" w:rsidRPr="00695384">
        <w:rPr>
          <w:b/>
          <w:bCs/>
          <w:snapToGrid/>
          <w:sz w:val="28"/>
          <w:szCs w:val="28"/>
          <w:lang w:val="de-DE"/>
        </w:rPr>
        <w:t>Einleitung</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1.</w:t>
      </w:r>
      <w:r w:rsidRPr="00695384">
        <w:rPr>
          <w:snapToGrid/>
          <w:lang w:val="de-DE"/>
        </w:rPr>
        <w:tab/>
        <w:t>Unterabschnitt 7.2.4.1 ADN eröffnet die Möglichkeit, auch an Bord von Tankschiffen bestimmte Versandstücke mit oder ohne gefährlichen Gütern zu befördern.</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2.</w:t>
      </w:r>
      <w:r w:rsidRPr="00695384">
        <w:rPr>
          <w:snapToGrid/>
          <w:lang w:val="de-DE"/>
        </w:rPr>
        <w:tab/>
        <w:t>Für Restebehälter bestimmt Absatz 7.2.4.1.1 ADN, dass diese „</w:t>
      </w:r>
      <w:r w:rsidRPr="00695384">
        <w:rPr>
          <w:i/>
          <w:snapToGrid/>
          <w:lang w:val="de-DE"/>
        </w:rPr>
        <w:t>den Anforderungen einer der internationalen Regelungen für den betreffenden Stoff entsprechen“</w:t>
      </w:r>
      <w:r w:rsidRPr="00695384">
        <w:rPr>
          <w:snapToGrid/>
          <w:lang w:val="de-DE"/>
        </w:rPr>
        <w:t xml:space="preserve"> müssen.</w:t>
      </w:r>
    </w:p>
    <w:p w:rsidR="009F0D42" w:rsidRPr="00695384" w:rsidRDefault="009F0D42" w:rsidP="009F0D42">
      <w:pPr>
        <w:keepNext/>
        <w:keepLines/>
        <w:tabs>
          <w:tab w:val="right" w:pos="851"/>
        </w:tabs>
        <w:spacing w:before="360" w:after="240" w:line="300" w:lineRule="exact"/>
        <w:ind w:left="567" w:right="567" w:hanging="567"/>
        <w:rPr>
          <w:b/>
          <w:bCs/>
          <w:snapToGrid/>
          <w:sz w:val="28"/>
          <w:szCs w:val="28"/>
          <w:lang w:val="de-DE"/>
        </w:rPr>
      </w:pPr>
      <w:r w:rsidRPr="00695384">
        <w:rPr>
          <w:b/>
          <w:bCs/>
          <w:snapToGrid/>
          <w:sz w:val="28"/>
          <w:szCs w:val="28"/>
          <w:lang w:val="de-DE"/>
        </w:rPr>
        <w:t>II.</w:t>
      </w:r>
      <w:r w:rsidRPr="00695384">
        <w:rPr>
          <w:b/>
          <w:bCs/>
          <w:snapToGrid/>
          <w:sz w:val="28"/>
          <w:szCs w:val="28"/>
          <w:lang w:val="de-DE"/>
        </w:rPr>
        <w:tab/>
        <w:t>Auslegungsfrage</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3.</w:t>
      </w:r>
      <w:r w:rsidRPr="00695384">
        <w:rPr>
          <w:snapToGrid/>
          <w:lang w:val="de-DE"/>
        </w:rPr>
        <w:tab/>
        <w:t>Müssen die in Unterabschnitt 7.2.4.1 ADN genannten Versandstücke im Übrigen nach den für die Beförderung von Versandstücken auf Trockengüterschiffen geltenden Bedingungen befördert werden? (z.B. Beförderungspapier, Kennzeichnung und Zulassung der Verpackungen, Behälter, Tankcontainer, ortsbeweglichen Tanks)</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4.</w:t>
      </w:r>
      <w:r w:rsidRPr="00695384">
        <w:rPr>
          <w:snapToGrid/>
          <w:lang w:val="de-DE"/>
        </w:rPr>
        <w:tab/>
        <w:t>In diesem Fall könnten für die Beförderung in Großpackmitteln (IBC) die Bestimmungen des Unterabschnittes 1.1.3.6 ADN mit Freistellungen im Zusammenhang mit den an Bord beförderten Mengen Anwendung finden. Insbesondere:</w:t>
      </w:r>
      <w:r w:rsidR="00932460">
        <w:rPr>
          <w:snapToGrid/>
          <w:lang w:val="de-DE"/>
        </w:rPr>
        <w:t xml:space="preserve"> </w:t>
      </w:r>
      <w:r w:rsidRPr="00695384">
        <w:rPr>
          <w:snapToGrid/>
          <w:lang w:val="de-DE"/>
        </w:rPr>
        <w:t>1.1.3.6.2 a), b), c), e)</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5.</w:t>
      </w:r>
      <w:r w:rsidRPr="00695384">
        <w:rPr>
          <w:snapToGrid/>
          <w:lang w:val="de-DE"/>
        </w:rPr>
        <w:tab/>
        <w:t>Nicht anwendbar wäre 1.1.3.6.2 d), weil Tankschiffe keine Laderäume haben. Die Restebehälter stehen an Deck. Es müsste hier lauten „im Bereich der Ladung“.</w:t>
      </w:r>
    </w:p>
    <w:p w:rsidR="009F0D42" w:rsidRPr="00695384" w:rsidRDefault="009F0D42" w:rsidP="009F0D42">
      <w:pPr>
        <w:keepNext/>
        <w:keepLines/>
        <w:tabs>
          <w:tab w:val="right" w:pos="851"/>
        </w:tabs>
        <w:spacing w:before="360" w:after="240" w:line="300" w:lineRule="exact"/>
        <w:ind w:left="567" w:right="567" w:hanging="567"/>
        <w:rPr>
          <w:b/>
          <w:bCs/>
          <w:snapToGrid/>
          <w:sz w:val="28"/>
          <w:szCs w:val="28"/>
          <w:lang w:val="de-DE"/>
        </w:rPr>
      </w:pPr>
      <w:r w:rsidRPr="00695384">
        <w:rPr>
          <w:b/>
          <w:bCs/>
          <w:snapToGrid/>
          <w:sz w:val="28"/>
          <w:szCs w:val="28"/>
          <w:lang w:val="de-DE"/>
        </w:rPr>
        <w:t>III.</w:t>
      </w:r>
      <w:r w:rsidRPr="00695384">
        <w:rPr>
          <w:b/>
          <w:bCs/>
          <w:snapToGrid/>
          <w:sz w:val="28"/>
          <w:szCs w:val="28"/>
          <w:lang w:val="de-DE"/>
        </w:rPr>
        <w:tab/>
        <w:t>Position Deutschlands</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6.</w:t>
      </w:r>
      <w:r w:rsidRPr="00695384">
        <w:rPr>
          <w:snapToGrid/>
          <w:lang w:val="de-DE"/>
        </w:rPr>
        <w:tab/>
        <w:t>Die angesprochenen Restebehälter und Slopbehälter werden nach folgender Einleitung angesprochen:</w:t>
      </w:r>
    </w:p>
    <w:p w:rsidR="006353A0" w:rsidRPr="00695384" w:rsidRDefault="006353A0" w:rsidP="006353A0">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w:t>
      </w:r>
      <w:r w:rsidR="009F0D42" w:rsidRPr="00695384">
        <w:rPr>
          <w:b/>
          <w:snapToGrid/>
          <w:lang w:val="de-DE"/>
        </w:rPr>
        <w:t>7.2.4.1.1</w:t>
      </w:r>
      <w:r w:rsidR="009F0D42" w:rsidRPr="00695384">
        <w:rPr>
          <w:snapToGrid/>
          <w:lang w:val="de-DE"/>
        </w:rPr>
        <w:tab/>
      </w:r>
      <w:r w:rsidRPr="00695384">
        <w:rPr>
          <w:snapToGrid/>
          <w:lang w:val="de-DE"/>
        </w:rPr>
        <w:t>Es ist verboten, im Bereich der Ladung Versandstücke zu befördern, ausgenommen:“.</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 xml:space="preserve">Für Versandstücke gibt es eine Begriffsbestimmung in Abschnitt 1.2.1 ADN. Für die Beförderung von Versandstücken bestehen </w:t>
      </w:r>
      <w:r w:rsidR="00932460" w:rsidRPr="00695384">
        <w:rPr>
          <w:snapToGrid/>
          <w:lang w:val="de-DE"/>
        </w:rPr>
        <w:t>gleichrangige</w:t>
      </w:r>
      <w:r w:rsidRPr="00695384">
        <w:rPr>
          <w:snapToGrid/>
          <w:lang w:val="de-DE"/>
        </w:rPr>
        <w:t xml:space="preserve"> Beförderungsvorschriften neben der Beförderung in Tanks oder in loser Schüttung.</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 xml:space="preserve">Es ist kein besonderer Grund erkennbar, warum Restebehälter und Slopbehälter </w:t>
      </w:r>
      <w:r w:rsidR="000A52E3" w:rsidRPr="00695384">
        <w:rPr>
          <w:snapToGrid/>
          <w:lang w:val="de-DE"/>
        </w:rPr>
        <w:t>außerhalb</w:t>
      </w:r>
      <w:r w:rsidRPr="00695384">
        <w:rPr>
          <w:snapToGrid/>
          <w:lang w:val="de-DE"/>
        </w:rPr>
        <w:t xml:space="preserve"> des Kapitels</w:t>
      </w:r>
      <w:r w:rsidR="00AA17DC">
        <w:rPr>
          <w:snapToGrid/>
          <w:lang w:val="de-DE"/>
        </w:rPr>
        <w:t> </w:t>
      </w:r>
      <w:r w:rsidRPr="00695384">
        <w:rPr>
          <w:snapToGrid/>
          <w:lang w:val="de-DE"/>
        </w:rPr>
        <w:t>1.3 ADN freigestellt werden sollten.</w:t>
      </w: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p>
    <w:p w:rsidR="009F0D42" w:rsidRPr="00695384" w:rsidRDefault="009F0D42" w:rsidP="009F0D42">
      <w:pPr>
        <w:tabs>
          <w:tab w:val="left" w:pos="1134"/>
        </w:tabs>
        <w:suppressAutoHyphens w:val="0"/>
        <w:autoSpaceDE w:val="0"/>
        <w:autoSpaceDN w:val="0"/>
        <w:adjustRightInd w:val="0"/>
        <w:spacing w:line="240" w:lineRule="auto"/>
        <w:ind w:left="567" w:right="567"/>
        <w:jc w:val="both"/>
        <w:rPr>
          <w:snapToGrid/>
          <w:lang w:val="de-DE"/>
        </w:rPr>
      </w:pPr>
      <w:r w:rsidRPr="00695384">
        <w:rPr>
          <w:snapToGrid/>
          <w:lang w:val="de-DE"/>
        </w:rPr>
        <w:t>7.</w:t>
      </w:r>
      <w:r w:rsidRPr="00695384">
        <w:rPr>
          <w:snapToGrid/>
          <w:lang w:val="de-DE"/>
        </w:rPr>
        <w:tab/>
        <w:t>Die Beförderung von IBC und Slopbehältern kann über Unterabschnitt 1.1.3.6 ADN weitgehend von den Bestimmungen des ADN freigestellt werden. Bei Tankcontainern mit einem erheblichen Inhalt an Gefahrgut bis zu 12 m³ besteht ein Sicherheitsinteresse, die übrigen Beförderungsvorschriften für Tankcontainer oder ortsbewegliche Tanks auch bei Restebehältern anzuwenden.</w:t>
      </w:r>
    </w:p>
    <w:p w:rsidR="0004012A" w:rsidRPr="006353A0" w:rsidRDefault="0004012A" w:rsidP="0004012A">
      <w:pPr>
        <w:suppressAutoHyphens w:val="0"/>
        <w:autoSpaceDE w:val="0"/>
        <w:autoSpaceDN w:val="0"/>
        <w:adjustRightInd w:val="0"/>
        <w:spacing w:line="240" w:lineRule="auto"/>
        <w:ind w:left="567" w:right="567"/>
        <w:rPr>
          <w:snapToGrid/>
          <w:lang w:val="de-DE"/>
        </w:rPr>
      </w:pPr>
    </w:p>
    <w:p w:rsidR="00BD7264" w:rsidRPr="006353A0" w:rsidRDefault="0004012A" w:rsidP="0004012A">
      <w:pPr>
        <w:suppressAutoHyphens w:val="0"/>
        <w:autoSpaceDE w:val="0"/>
        <w:autoSpaceDN w:val="0"/>
        <w:adjustRightInd w:val="0"/>
        <w:spacing w:line="240" w:lineRule="auto"/>
        <w:ind w:left="567"/>
        <w:jc w:val="center"/>
        <w:rPr>
          <w:lang w:val="fr-FR"/>
        </w:rPr>
      </w:pPr>
      <w:r w:rsidRPr="006353A0">
        <w:rPr>
          <w:lang w:val="fr-FR"/>
        </w:rPr>
        <w:t>***</w:t>
      </w:r>
    </w:p>
    <w:sectPr w:rsidR="00BD7264" w:rsidRPr="006353A0" w:rsidSect="005F30BB">
      <w:headerReference w:type="even" r:id="rId9"/>
      <w:headerReference w:type="default" r:id="rId10"/>
      <w:footerReference w:type="even" r:id="rId11"/>
      <w:footerReference w:type="default" r:id="rId12"/>
      <w:footerReference w:type="first" r:id="rId13"/>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B7" w:rsidRDefault="004F17B7">
      <w:pPr>
        <w:rPr>
          <w:szCs w:val="24"/>
        </w:rPr>
      </w:pPr>
    </w:p>
  </w:endnote>
  <w:endnote w:type="continuationSeparator" w:id="0">
    <w:p w:rsidR="004F17B7" w:rsidRDefault="004F17B7">
      <w:pPr>
        <w:rPr>
          <w:szCs w:val="24"/>
        </w:rPr>
      </w:pPr>
    </w:p>
  </w:endnote>
  <w:endnote w:type="continuationNotice" w:id="1">
    <w:p w:rsidR="004F17B7" w:rsidRDefault="004F17B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0D" w:rsidRPr="00E345CE" w:rsidRDefault="006353A0" w:rsidP="0004012A">
    <w:pPr>
      <w:pStyle w:val="Footer"/>
      <w:jc w:val="right"/>
      <w:rPr>
        <w:rFonts w:ascii="Arial" w:hAnsi="Arial"/>
        <w:noProof/>
        <w:snapToGrid/>
        <w:sz w:val="12"/>
        <w:szCs w:val="24"/>
        <w:lang w:val="en-US"/>
      </w:rPr>
    </w:pPr>
    <w:r>
      <w:rPr>
        <w:rFonts w:ascii="Arial" w:hAnsi="Arial"/>
        <w:noProof/>
        <w:snapToGrid/>
        <w:sz w:val="12"/>
        <w:szCs w:val="24"/>
        <w:lang w:val="en-US"/>
      </w:rPr>
      <w:t>mm/adn_wp15_ac2_2016_</w:t>
    </w:r>
    <w:r w:rsidR="004545E9">
      <w:rPr>
        <w:rFonts w:ascii="Arial" w:hAnsi="Arial"/>
        <w:noProof/>
        <w:snapToGrid/>
        <w:sz w:val="12"/>
        <w:szCs w:val="24"/>
        <w:lang w:val="en-US"/>
      </w:rPr>
      <w:t>34</w:t>
    </w:r>
    <w:r>
      <w:rPr>
        <w:rFonts w:ascii="Arial" w:hAnsi="Arial"/>
        <w:noProof/>
        <w:snapToGrid/>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951A0F" w:rsidRDefault="003E2153" w:rsidP="00951A0F">
    <w:pPr>
      <w:pStyle w:val="Footer"/>
      <w:jc w:val="right"/>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0D" w:rsidRPr="004545E9" w:rsidRDefault="0008130D" w:rsidP="0004012A">
    <w:pPr>
      <w:pStyle w:val="Footer"/>
      <w:jc w:val="right"/>
      <w:rPr>
        <w:rFonts w:ascii="Arial" w:hAnsi="Arial"/>
        <w:noProof/>
        <w:snapToGrid/>
        <w:sz w:val="12"/>
        <w:szCs w:val="24"/>
        <w:lang w:val="fr-FR"/>
      </w:rPr>
    </w:pPr>
    <w:r w:rsidRPr="004545E9">
      <w:rPr>
        <w:rFonts w:ascii="Arial" w:hAnsi="Arial"/>
        <w:noProof/>
        <w:snapToGrid/>
        <w:sz w:val="12"/>
        <w:szCs w:val="24"/>
        <w:lang w:val="fr-FR"/>
      </w:rPr>
      <w:t>mm/adn_wp15_ac2_2016_</w:t>
    </w:r>
    <w:r w:rsidR="004545E9" w:rsidRPr="004545E9">
      <w:rPr>
        <w:rFonts w:ascii="Arial" w:hAnsi="Arial"/>
        <w:noProof/>
        <w:snapToGrid/>
        <w:sz w:val="12"/>
        <w:szCs w:val="24"/>
        <w:lang w:val="fr-FR"/>
      </w:rPr>
      <w:t>34</w:t>
    </w:r>
    <w:r w:rsidR="006353A0" w:rsidRPr="004545E9">
      <w:rPr>
        <w:rFonts w:ascii="Arial" w:hAnsi="Arial"/>
        <w:noProof/>
        <w:snapToGrid/>
        <w:sz w:val="12"/>
        <w:szCs w:val="24"/>
        <w:lang w:val="fr-FR"/>
      </w:rPr>
      <w:t>de</w:t>
    </w:r>
  </w:p>
  <w:p w:rsidR="0008130D" w:rsidRPr="004545E9" w:rsidRDefault="0008130D" w:rsidP="0004012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B7" w:rsidRDefault="004F17B7">
      <w:pPr>
        <w:tabs>
          <w:tab w:val="right" w:pos="2155"/>
        </w:tabs>
        <w:spacing w:after="80"/>
        <w:ind w:left="680"/>
        <w:rPr>
          <w:szCs w:val="24"/>
          <w:u w:val="single"/>
        </w:rPr>
      </w:pPr>
      <w:r>
        <w:rPr>
          <w:szCs w:val="24"/>
          <w:u w:val="single"/>
        </w:rPr>
        <w:tab/>
      </w:r>
    </w:p>
  </w:footnote>
  <w:footnote w:type="continuationSeparator" w:id="0">
    <w:p w:rsidR="004F17B7" w:rsidRDefault="004F17B7">
      <w:pPr>
        <w:tabs>
          <w:tab w:val="left" w:pos="2155"/>
        </w:tabs>
        <w:spacing w:after="80"/>
        <w:ind w:left="680"/>
        <w:rPr>
          <w:szCs w:val="24"/>
          <w:u w:val="single"/>
        </w:rPr>
      </w:pPr>
      <w:r>
        <w:rPr>
          <w:szCs w:val="24"/>
          <w:u w:val="single"/>
        </w:rPr>
        <w:tab/>
      </w:r>
    </w:p>
  </w:footnote>
  <w:footnote w:type="continuationNotice" w:id="1">
    <w:p w:rsidR="004F17B7" w:rsidRDefault="004F17B7">
      <w:pPr>
        <w:rPr>
          <w:szCs w:val="24"/>
        </w:rPr>
      </w:pPr>
    </w:p>
  </w:footnote>
  <w:footnote w:id="2">
    <w:p w:rsidR="00E15DF0" w:rsidRPr="005F667A" w:rsidRDefault="00E15DF0" w:rsidP="00E15DF0">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2016</w:t>
      </w:r>
      <w:r w:rsidRPr="005F667A">
        <w:rPr>
          <w:sz w:val="16"/>
          <w:szCs w:val="16"/>
          <w:lang w:val="de-DE"/>
        </w:rPr>
        <w:t>/</w:t>
      </w:r>
      <w:r w:rsidR="004545E9">
        <w:rPr>
          <w:sz w:val="16"/>
          <w:szCs w:val="16"/>
          <w:lang w:val="de-DE"/>
        </w:rPr>
        <w:t>34</w:t>
      </w:r>
      <w:r>
        <w:rPr>
          <w:sz w:val="16"/>
          <w:szCs w:val="16"/>
          <w:lang w:val="de-DE"/>
        </w:rPr>
        <w:t xml:space="preserve"> </w:t>
      </w:r>
      <w:r w:rsidRPr="005F667A">
        <w:rPr>
          <w:sz w:val="16"/>
          <w:szCs w:val="16"/>
          <w:lang w:val="de-DE"/>
        </w:rPr>
        <w:t>verteilt.</w:t>
      </w:r>
    </w:p>
  </w:footnote>
  <w:footnote w:id="3">
    <w:p w:rsidR="004545E9" w:rsidRPr="00447333" w:rsidRDefault="004545E9" w:rsidP="004545E9">
      <w:pPr>
        <w:pStyle w:val="FootnoteText"/>
        <w:tabs>
          <w:tab w:val="clear" w:pos="1021"/>
          <w:tab w:val="left" w:pos="284"/>
        </w:tabs>
        <w:ind w:left="284" w:hanging="284"/>
        <w:rPr>
          <w:sz w:val="16"/>
          <w:szCs w:val="16"/>
          <w:lang w:val="de-DE"/>
        </w:rPr>
      </w:pPr>
      <w:r>
        <w:rPr>
          <w:rStyle w:val="FootnoteReference"/>
        </w:rPr>
        <w:footnoteRef/>
      </w:r>
      <w:r w:rsidRPr="00447333">
        <w:rPr>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8F1455" w:rsidRDefault="008D49F6" w:rsidP="0004012A">
    <w:pPr>
      <w:pStyle w:val="Header"/>
      <w:pBdr>
        <w:bottom w:val="none" w:sz="0" w:space="0" w:color="auto"/>
      </w:pBdr>
      <w:rPr>
        <w:rFonts w:ascii="Arial" w:hAnsi="Arial"/>
        <w:b w:val="0"/>
        <w:sz w:val="16"/>
        <w:szCs w:val="16"/>
        <w:lang w:val="fr-FR"/>
      </w:rPr>
    </w:pPr>
    <w:r>
      <w:rPr>
        <w:rFonts w:ascii="Arial" w:hAnsi="Arial"/>
        <w:b w:val="0"/>
        <w:sz w:val="16"/>
        <w:szCs w:val="16"/>
        <w:lang w:val="fr-FR"/>
      </w:rPr>
      <w:t>CCNR-ZKR/ADN/WP.15/AC.2/2016/</w:t>
    </w:r>
    <w:r w:rsidR="004545E9">
      <w:rPr>
        <w:rFonts w:ascii="Arial" w:hAnsi="Arial"/>
        <w:b w:val="0"/>
        <w:sz w:val="16"/>
        <w:szCs w:val="16"/>
        <w:lang w:val="fr-FR"/>
      </w:rPr>
      <w:t>34</w:t>
    </w:r>
  </w:p>
  <w:p w:rsidR="003E2153" w:rsidRPr="008F1455" w:rsidRDefault="006353A0" w:rsidP="0004012A">
    <w:pPr>
      <w:pStyle w:val="Header"/>
      <w:pBdr>
        <w:bottom w:val="none" w:sz="0" w:space="0" w:color="auto"/>
      </w:pBdr>
      <w:rPr>
        <w:rFonts w:ascii="Arial" w:hAnsi="Arial"/>
        <w:b w:val="0"/>
        <w:sz w:val="16"/>
        <w:szCs w:val="16"/>
      </w:rPr>
    </w:pPr>
    <w:r>
      <w:rPr>
        <w:rFonts w:ascii="Arial" w:hAnsi="Arial"/>
        <w:b w:val="0"/>
        <w:sz w:val="16"/>
        <w:szCs w:val="16"/>
      </w:rPr>
      <w:t>Seite</w:t>
    </w:r>
    <w:r w:rsidR="003E2153" w:rsidRPr="008F1455">
      <w:rPr>
        <w:rFonts w:ascii="Arial" w:hAnsi="Arial"/>
        <w:b w:val="0"/>
        <w:sz w:val="16"/>
        <w:szCs w:val="16"/>
      </w:rPr>
      <w:t xml:space="preserve"> 2</w:t>
    </w:r>
    <w:r w:rsidR="003E2153" w:rsidRPr="008F1455">
      <w:rPr>
        <w:rFonts w:ascii="Arial" w:hAnsi="Arial"/>
        <w:b w:val="0"/>
        <w:sz w:val="16"/>
        <w:szCs w:val="16"/>
      </w:rPr>
      <w:fldChar w:fldCharType="begin"/>
    </w:r>
    <w:r w:rsidR="003E2153" w:rsidRPr="008F1455">
      <w:rPr>
        <w:rFonts w:ascii="Arial" w:hAnsi="Arial"/>
        <w:b w:val="0"/>
        <w:sz w:val="16"/>
        <w:szCs w:val="16"/>
      </w:rPr>
      <w:instrText xml:space="preserve"> PAGE  \* MERGEFORMAT </w:instrText>
    </w:r>
    <w:r w:rsidR="003E2153" w:rsidRPr="008F1455">
      <w:rPr>
        <w:rFonts w:ascii="Arial" w:hAnsi="Arial"/>
        <w:b w:val="0"/>
        <w:sz w:val="16"/>
        <w:szCs w:val="16"/>
      </w:rPr>
      <w:fldChar w:fldCharType="separate"/>
    </w:r>
    <w:r w:rsidR="000355BD">
      <w:rPr>
        <w:rFonts w:ascii="Arial" w:hAnsi="Arial"/>
        <w:b w:val="0"/>
        <w:noProof/>
        <w:sz w:val="16"/>
        <w:szCs w:val="16"/>
      </w:rPr>
      <w:t>2</w:t>
    </w:r>
    <w:r w:rsidR="003E2153"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8F1455" w:rsidRDefault="003E2153" w:rsidP="0004012A">
    <w:pPr>
      <w:pStyle w:val="Header"/>
      <w:pBdr>
        <w:bottom w:val="none" w:sz="0" w:space="0" w:color="auto"/>
      </w:pBdr>
      <w:jc w:val="right"/>
      <w:rPr>
        <w:rFonts w:ascii="Arial" w:hAnsi="Arial"/>
        <w:b w:val="0"/>
        <w:sz w:val="16"/>
        <w:szCs w:val="16"/>
        <w:lang w:val="fr-FR"/>
      </w:rPr>
    </w:pPr>
    <w:r w:rsidRPr="008F1455">
      <w:rPr>
        <w:rFonts w:ascii="Arial" w:hAnsi="Arial"/>
        <w:b w:val="0"/>
        <w:sz w:val="16"/>
        <w:szCs w:val="16"/>
        <w:lang w:val="fr-FR"/>
      </w:rPr>
      <w:t>CCNR-ZKR/ADN/WP.15/AC.2/2016/Y7</w:t>
    </w:r>
  </w:p>
  <w:p w:rsidR="003E2153" w:rsidRPr="008F1455" w:rsidRDefault="003E2153" w:rsidP="0004012A">
    <w:pPr>
      <w:pStyle w:val="Header"/>
      <w:pBdr>
        <w:bottom w:val="none" w:sz="0" w:space="0" w:color="auto"/>
      </w:pBdr>
      <w:jc w:val="right"/>
      <w:rPr>
        <w:rFonts w:ascii="Arial" w:hAnsi="Arial"/>
        <w:b w:val="0"/>
        <w:sz w:val="16"/>
        <w:szCs w:val="16"/>
      </w:rPr>
    </w:pPr>
    <w:r w:rsidRPr="008F1455">
      <w:rPr>
        <w:rFonts w:ascii="Arial" w:hAnsi="Arial"/>
        <w:b w:val="0"/>
        <w:sz w:val="16"/>
        <w:szCs w:val="16"/>
      </w:rPr>
      <w:t>Page 3</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932460">
      <w:rPr>
        <w:rFonts w:ascii="Arial" w:hAnsi="Arial"/>
        <w:b w:val="0"/>
        <w:noProof/>
        <w:sz w:val="16"/>
        <w:szCs w:val="16"/>
      </w:rPr>
      <w:t>3</w:t>
    </w:r>
    <w:r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86"/>
    <w:rsid w:val="0039277A"/>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5017B"/>
    <w:rsid w:val="00452BB4"/>
    <w:rsid w:val="004535E7"/>
    <w:rsid w:val="0045394D"/>
    <w:rsid w:val="004545E9"/>
    <w:rsid w:val="0045575E"/>
    <w:rsid w:val="004578CF"/>
    <w:rsid w:val="004644C6"/>
    <w:rsid w:val="00466C98"/>
    <w:rsid w:val="004743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53A0"/>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5384"/>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632A"/>
    <w:rsid w:val="00726CBE"/>
    <w:rsid w:val="0072750B"/>
    <w:rsid w:val="007309DE"/>
    <w:rsid w:val="0073465B"/>
    <w:rsid w:val="00734C2D"/>
    <w:rsid w:val="00737E85"/>
    <w:rsid w:val="00740176"/>
    <w:rsid w:val="007425B4"/>
    <w:rsid w:val="007431FB"/>
    <w:rsid w:val="00743AA0"/>
    <w:rsid w:val="0074429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1A3F"/>
    <w:rsid w:val="007A3C01"/>
    <w:rsid w:val="007A3C0B"/>
    <w:rsid w:val="007B64F2"/>
    <w:rsid w:val="007B6BA5"/>
    <w:rsid w:val="007B7B1E"/>
    <w:rsid w:val="007C169B"/>
    <w:rsid w:val="007C3390"/>
    <w:rsid w:val="007C4F4B"/>
    <w:rsid w:val="007C7A4E"/>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37A3F"/>
    <w:rsid w:val="0084125D"/>
    <w:rsid w:val="00842AFA"/>
    <w:rsid w:val="00842B7B"/>
    <w:rsid w:val="00844584"/>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7AD2"/>
    <w:rsid w:val="009124F2"/>
    <w:rsid w:val="00915860"/>
    <w:rsid w:val="00917C0E"/>
    <w:rsid w:val="00925B30"/>
    <w:rsid w:val="0092768B"/>
    <w:rsid w:val="009316CC"/>
    <w:rsid w:val="00932460"/>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73EE"/>
    <w:rsid w:val="00BC74E9"/>
    <w:rsid w:val="00BC775C"/>
    <w:rsid w:val="00BD1D9F"/>
    <w:rsid w:val="00BD2146"/>
    <w:rsid w:val="00BD2427"/>
    <w:rsid w:val="00BD7264"/>
    <w:rsid w:val="00BE07FE"/>
    <w:rsid w:val="00BE2319"/>
    <w:rsid w:val="00BE2713"/>
    <w:rsid w:val="00BE4F74"/>
    <w:rsid w:val="00BE618E"/>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3C6C"/>
    <w:rsid w:val="00DA5A0F"/>
    <w:rsid w:val="00DA67AD"/>
    <w:rsid w:val="00DB06D2"/>
    <w:rsid w:val="00DB2042"/>
    <w:rsid w:val="00DB2A63"/>
    <w:rsid w:val="00DB4C2A"/>
    <w:rsid w:val="00DB5D0F"/>
    <w:rsid w:val="00DC59B0"/>
    <w:rsid w:val="00DC6021"/>
    <w:rsid w:val="00DD415F"/>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A8E824-8042-427D-99C6-913748D7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ECDB-CAF3-4099-92EF-6DBB92A4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2</Pages>
  <Words>475</Words>
  <Characters>2713</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02</cp:lastModifiedBy>
  <cp:revision>2</cp:revision>
  <cp:lastPrinted>2016-06-09T14:11:00Z</cp:lastPrinted>
  <dcterms:created xsi:type="dcterms:W3CDTF">2016-06-10T08:58:00Z</dcterms:created>
  <dcterms:modified xsi:type="dcterms:W3CDTF">2016-06-10T08:58:00Z</dcterms:modified>
</cp:coreProperties>
</file>