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A8674A">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B30CFB">
              <w:rPr>
                <w:lang w:val="en-GB"/>
              </w:rPr>
              <w:t>2</w:t>
            </w:r>
            <w:r w:rsidR="00A8674A">
              <w:rPr>
                <w:lang w:val="en-GB"/>
              </w:rPr>
              <w:t>8</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A8674A" w:rsidP="00C4302B">
            <w:pPr>
              <w:spacing w:line="240" w:lineRule="exact"/>
              <w:rPr>
                <w:lang w:val="fr-FR"/>
              </w:rPr>
            </w:pPr>
            <w:r>
              <w:rPr>
                <w:lang w:val="fr-FR"/>
              </w:rPr>
              <w:t>9</w:t>
            </w:r>
            <w:r w:rsidR="00143574">
              <w:rPr>
                <w:lang w:val="fr-FR"/>
              </w:rPr>
              <w:t xml:space="preserve"> juin</w:t>
            </w:r>
            <w:r w:rsidR="00B30CFB">
              <w:rPr>
                <w:lang w:val="fr-FR"/>
              </w:rPr>
              <w:t xml:space="preserve"> 2016</w:t>
            </w:r>
          </w:p>
          <w:p w:rsidR="00C4302B" w:rsidRDefault="002575AC" w:rsidP="00C4302B">
            <w:pPr>
              <w:spacing w:line="240" w:lineRule="exact"/>
              <w:rPr>
                <w:lang w:val="fr-FR"/>
              </w:rPr>
            </w:pPr>
            <w:r>
              <w:rPr>
                <w:lang w:val="fr-FR"/>
              </w:rPr>
              <w:t>Français</w:t>
            </w:r>
            <w:bookmarkStart w:id="0" w:name="_GoBack"/>
            <w:bookmarkEnd w:id="0"/>
          </w:p>
          <w:p w:rsidR="00C4302B" w:rsidRPr="00367E6A" w:rsidRDefault="00C4302B" w:rsidP="00B30CFB">
            <w:pPr>
              <w:spacing w:line="240" w:lineRule="exact"/>
              <w:rPr>
                <w:lang w:val="fr-FR"/>
              </w:rPr>
            </w:pPr>
            <w:r>
              <w:rPr>
                <w:lang w:val="fr-FR"/>
              </w:rPr>
              <w:t xml:space="preserve">Original: </w:t>
            </w:r>
            <w:r w:rsidR="00A8674A">
              <w:rPr>
                <w:lang w:val="fr-FR"/>
              </w:rPr>
              <w:t>anglais et français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8901C1">
        <w:t>6</w:t>
      </w:r>
      <w:r>
        <w:t xml:space="preserve"> </w:t>
      </w:r>
      <w:r w:rsidR="00B30CFB">
        <w:t>août</w:t>
      </w:r>
      <w:r>
        <w:t xml:space="preserve"> 2016</w:t>
      </w:r>
    </w:p>
    <w:p w:rsidR="0049374F" w:rsidRDefault="0049374F" w:rsidP="0049374F">
      <w:r w:rsidRPr="00B93E72">
        <w:t xml:space="preserve">Point </w:t>
      </w:r>
      <w:r w:rsidR="0013653F" w:rsidRPr="0013653F">
        <w:t>4</w:t>
      </w:r>
      <w:r w:rsidRPr="0013653F">
        <w:t xml:space="preserve"> </w:t>
      </w:r>
      <w:r w:rsidR="00B44F0F">
        <w:t>a</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008901C1">
        <w:rPr>
          <w:b/>
          <w:lang w:val="fr-FR"/>
        </w:rPr>
        <w:t>èglement annexé à l'ADN</w:t>
      </w:r>
      <w:r w:rsidRPr="00B30CFB">
        <w:rPr>
          <w:b/>
          <w:lang w:val="fr-FR"/>
        </w:rPr>
        <w:t>:</w:t>
      </w:r>
    </w:p>
    <w:p w:rsidR="0049374F" w:rsidRPr="00091D54" w:rsidRDefault="00091D54" w:rsidP="00B30CFB">
      <w:pPr>
        <w:rPr>
          <w:b/>
        </w:rPr>
      </w:pPr>
      <w:r w:rsidRPr="00091D54">
        <w:rPr>
          <w:b/>
          <w:lang w:val="fr-FR"/>
        </w:rPr>
        <w:t>travaux de la Réunion commune RID/ADR/ADN</w:t>
      </w:r>
    </w:p>
    <w:p w:rsidR="00A86837" w:rsidRPr="00EA0C87" w:rsidRDefault="0049374F" w:rsidP="002B61F2">
      <w:pPr>
        <w:pStyle w:val="HChG"/>
      </w:pPr>
      <w:r w:rsidRPr="00C63AC1">
        <w:tab/>
      </w:r>
      <w:r w:rsidR="00A86837" w:rsidRPr="00C63AC1">
        <w:tab/>
      </w:r>
      <w:r w:rsidR="00502CA8">
        <w:rPr>
          <w:lang w:val="fr-FR"/>
        </w:rPr>
        <w:t xml:space="preserve">Accord européen relatif au transport </w:t>
      </w:r>
      <w:r w:rsidR="00502CA8" w:rsidRPr="002B61F2">
        <w:t>international</w:t>
      </w:r>
      <w:r w:rsidR="00502CA8">
        <w:rPr>
          <w:lang w:val="fr-FR"/>
        </w:rPr>
        <w:t xml:space="preserve"> des marchandises dangereuses par voies de navigation intérieures </w:t>
      </w:r>
      <w:r w:rsidR="00502CA8" w:rsidRPr="00502CA8">
        <w:t>(ADN)</w:t>
      </w:r>
      <w:r w:rsidR="00502CA8" w:rsidRPr="002B61F2">
        <w:rPr>
          <w:sz w:val="24"/>
          <w:szCs w:val="24"/>
          <w:vertAlign w:val="superscript"/>
          <w:lang w:val="en-GB"/>
        </w:rPr>
        <w:footnoteReference w:id="2"/>
      </w:r>
      <w:r w:rsidR="00502CA8" w:rsidRPr="002B61F2">
        <w:rPr>
          <w:sz w:val="24"/>
          <w:szCs w:val="24"/>
          <w:vertAlign w:val="superscript"/>
        </w:rPr>
        <w:t xml:space="preserve">, </w:t>
      </w:r>
      <w:r w:rsidR="00502CA8" w:rsidRPr="002B61F2">
        <w:rPr>
          <w:sz w:val="24"/>
          <w:szCs w:val="24"/>
          <w:vertAlign w:val="superscript"/>
          <w:lang w:val="en-GB"/>
        </w:rPr>
        <w:footnoteReference w:id="3"/>
      </w:r>
    </w:p>
    <w:p w:rsidR="00502CA8" w:rsidRPr="00502CA8" w:rsidRDefault="00A86837" w:rsidP="002B61F2">
      <w:pPr>
        <w:pStyle w:val="H1G"/>
      </w:pPr>
      <w:r w:rsidRPr="00EA0C87">
        <w:tab/>
      </w:r>
      <w:r w:rsidRPr="00EA0C87">
        <w:tab/>
      </w:r>
      <w:r w:rsidR="00502CA8">
        <w:rPr>
          <w:lang w:val="fr-FR"/>
        </w:rPr>
        <w:t xml:space="preserve">Projet </w:t>
      </w:r>
      <w:r w:rsidR="00502CA8">
        <w:t>d'amendements</w:t>
      </w:r>
      <w:r w:rsidR="00502CA8">
        <w:rPr>
          <w:lang w:val="fr-FR"/>
        </w:rPr>
        <w:t xml:space="preserve"> au </w:t>
      </w:r>
      <w:r w:rsidR="00502CA8" w:rsidRPr="002B61F2">
        <w:t>Règlement</w:t>
      </w:r>
      <w:r w:rsidR="00502CA8">
        <w:rPr>
          <w:lang w:val="fr-FR"/>
        </w:rPr>
        <w:t xml:space="preserve"> annexé à l'ADN</w:t>
      </w:r>
    </w:p>
    <w:p w:rsidR="00A86837" w:rsidRPr="004D0EB7" w:rsidRDefault="00502CA8" w:rsidP="00502CA8">
      <w:pPr>
        <w:pStyle w:val="H1G"/>
      </w:pPr>
      <w:r w:rsidRPr="00502CA8">
        <w:tab/>
      </w:r>
      <w:r w:rsidRPr="00502CA8">
        <w:tab/>
        <w:t xml:space="preserve">Note </w:t>
      </w:r>
      <w:r>
        <w:t>du</w:t>
      </w:r>
      <w:r w:rsidRPr="00502CA8">
        <w:t xml:space="preserve"> secretariat</w:t>
      </w:r>
    </w:p>
    <w:p w:rsidR="00FF1E43" w:rsidRPr="00FF1E43" w:rsidRDefault="00FF1E43" w:rsidP="00FF1E43">
      <w:pPr>
        <w:pStyle w:val="HChG"/>
        <w:rPr>
          <w:lang w:val="fr-FR"/>
        </w:rPr>
      </w:pPr>
      <w:r>
        <w:rPr>
          <w:lang w:val="fr-FR"/>
        </w:rPr>
        <w:tab/>
      </w:r>
      <w:r w:rsidR="000B1105">
        <w:rPr>
          <w:lang w:val="fr-FR"/>
        </w:rPr>
        <w:tab/>
      </w:r>
      <w:r w:rsidR="000B1105" w:rsidRPr="000B1105">
        <w:t>Introduction</w:t>
      </w:r>
    </w:p>
    <w:p w:rsidR="000B1105" w:rsidRPr="0041433B" w:rsidRDefault="000B1105" w:rsidP="002B61F2">
      <w:pPr>
        <w:pStyle w:val="SingleTxtG"/>
      </w:pPr>
      <w:r w:rsidRPr="0041433B">
        <w:t>1.</w:t>
      </w:r>
      <w:r w:rsidRPr="0041433B">
        <w:tab/>
      </w:r>
      <w:r>
        <w:t xml:space="preserve">Le Comité de sécurité souhaitera peut-être examiner les travaux réalisés par la Réunion commune RID/ADR/ADN à sa session de printemps 2016 </w:t>
      </w:r>
      <w:r w:rsidRPr="0041433B">
        <w:t>(ECE/TR</w:t>
      </w:r>
      <w:r>
        <w:t>ANS/WP.15/AC.1/142 et Add.2).</w:t>
      </w:r>
    </w:p>
    <w:p w:rsidR="00FF1E43" w:rsidRPr="000B1105" w:rsidRDefault="000B1105" w:rsidP="002B61F2">
      <w:pPr>
        <w:pStyle w:val="SingleTxtG"/>
      </w:pPr>
      <w:r w:rsidRPr="000B1105">
        <w:t>2.</w:t>
      </w:r>
      <w:r w:rsidRPr="000B1105">
        <w:tab/>
        <w:t>À sa centième</w:t>
      </w:r>
      <w:r>
        <w:rPr>
          <w:lang w:val="fr-FR"/>
        </w:rPr>
        <w:t xml:space="preserve"> session en mai 2016, le Groupe de travail des transports de marchandises dangereuses</w:t>
      </w:r>
      <w:r w:rsidR="00B64B1C">
        <w:rPr>
          <w:lang w:val="fr-FR"/>
        </w:rPr>
        <w:t xml:space="preserve"> (WP.15)</w:t>
      </w:r>
      <w:r>
        <w:rPr>
          <w:lang w:val="fr-FR"/>
        </w:rPr>
        <w:t xml:space="preserve"> a adopté</w:t>
      </w:r>
      <w:r>
        <w:t xml:space="preserve"> </w:t>
      </w:r>
      <w:r>
        <w:rPr>
          <w:lang w:val="fr-FR"/>
        </w:rPr>
        <w:t xml:space="preserve">une liste supplémentaire d'amendements à </w:t>
      </w:r>
      <w:r>
        <w:rPr>
          <w:lang w:val="fr-FR"/>
        </w:rPr>
        <w:lastRenderedPageBreak/>
        <w:t xml:space="preserve">l'ADR </w:t>
      </w:r>
      <w:r>
        <w:t xml:space="preserve">dont l’entrée en vigueur est prévue le 1er janvier 2017 </w:t>
      </w:r>
      <w:r w:rsidRPr="004D630E">
        <w:t>(ECE/TRANS/WP.15/</w:t>
      </w:r>
      <w:r>
        <w:t>231</w:t>
      </w:r>
      <w:r w:rsidRPr="004D630E">
        <w:t>/Add.1)</w:t>
      </w:r>
      <w:r>
        <w:t>.</w:t>
      </w:r>
    </w:p>
    <w:p w:rsidR="00FF1E43" w:rsidRPr="000B1105" w:rsidRDefault="000B1105" w:rsidP="000B1105">
      <w:pPr>
        <w:pStyle w:val="SingleTxtG"/>
      </w:pPr>
      <w:r w:rsidRPr="004D630E">
        <w:t>3.</w:t>
      </w:r>
      <w:r w:rsidRPr="004D630E">
        <w:tab/>
      </w:r>
      <w:r>
        <w:rPr>
          <w:bCs/>
          <w:lang w:val="fr-FR"/>
        </w:rPr>
        <w:t>Le présent document contient les amendements qui sont aussi pertinents pour l'ADN.</w:t>
      </w:r>
    </w:p>
    <w:p w:rsidR="00B64B1C" w:rsidRPr="00B64B1C" w:rsidRDefault="00B64B1C" w:rsidP="002B61F2">
      <w:pPr>
        <w:pStyle w:val="HChG"/>
        <w:rPr>
          <w:lang w:val="en-GB"/>
        </w:rPr>
      </w:pPr>
      <w:r w:rsidRPr="002B61F2">
        <w:tab/>
      </w:r>
      <w:r w:rsidRPr="002B61F2">
        <w:tab/>
      </w:r>
      <w:r w:rsidRPr="00B64B1C">
        <w:rPr>
          <w:lang w:val="en-GB"/>
        </w:rPr>
        <w:t>ECE/TRANS/WP.15/AC.1/142/Add.2</w:t>
      </w:r>
    </w:p>
    <w:p w:rsidR="004A4B22" w:rsidRPr="00D202EA" w:rsidRDefault="00B64B1C" w:rsidP="002B61F2">
      <w:pPr>
        <w:pStyle w:val="H1G"/>
        <w:rPr>
          <w:lang w:val="fr-FR"/>
        </w:rPr>
      </w:pPr>
      <w:r w:rsidRPr="002B61F2">
        <w:rPr>
          <w:lang w:val="en-US"/>
        </w:rPr>
        <w:tab/>
      </w:r>
      <w:r w:rsidRPr="002B61F2">
        <w:rPr>
          <w:lang w:val="en-US"/>
        </w:rPr>
        <w:tab/>
      </w:r>
      <w:r w:rsidRPr="00D202EA">
        <w:rPr>
          <w:lang w:val="fr-FR"/>
        </w:rPr>
        <w:t xml:space="preserve">Nouveaux </w:t>
      </w:r>
      <w:r w:rsidRPr="002B61F2">
        <w:t>amendements</w:t>
      </w:r>
    </w:p>
    <w:p w:rsidR="005E0DC6" w:rsidRPr="007423F7" w:rsidRDefault="005E0DC6" w:rsidP="002B61F2">
      <w:pPr>
        <w:pStyle w:val="H23G"/>
      </w:pPr>
      <w:r w:rsidRPr="007423F7">
        <w:tab/>
      </w:r>
      <w:r w:rsidRPr="007423F7">
        <w:tab/>
        <w:t>Chapitre 1.1</w:t>
      </w:r>
    </w:p>
    <w:p w:rsidR="00B64B1C" w:rsidRPr="005E0DC6" w:rsidRDefault="005E0DC6" w:rsidP="002B61F2">
      <w:pPr>
        <w:spacing w:before="240"/>
        <w:ind w:left="1134" w:right="1134"/>
        <w:rPr>
          <w:u w:val="single"/>
        </w:rPr>
      </w:pPr>
      <w:r w:rsidRPr="007423F7">
        <w:rPr>
          <w:lang w:val="fr-FR"/>
        </w:rPr>
        <w:t>1.1.3.10 (b)</w:t>
      </w:r>
      <w:r w:rsidRPr="007423F7">
        <w:rPr>
          <w:lang w:val="fr-FR"/>
        </w:rPr>
        <w:tab/>
        <w:t>Dans le Nota sous l’alinéa i), remplacer «</w:t>
      </w:r>
      <w:r w:rsidRPr="007423F7">
        <w:rPr>
          <w:snapToGrid w:val="0"/>
          <w:szCs w:val="24"/>
          <w:lang w:val="fr-FR"/>
        </w:rPr>
        <w:t xml:space="preserve">ISO 9001:2008» par </w:t>
      </w:r>
      <w:r w:rsidRPr="007423F7">
        <w:rPr>
          <w:lang w:val="fr-FR"/>
        </w:rPr>
        <w:t>«</w:t>
      </w:r>
      <w:r w:rsidRPr="007423F7">
        <w:rPr>
          <w:snapToGrid w:val="0"/>
          <w:szCs w:val="24"/>
          <w:lang w:val="fr-FR"/>
        </w:rPr>
        <w:t>ISO 9001».</w:t>
      </w:r>
    </w:p>
    <w:p w:rsidR="005E0DC6" w:rsidRPr="007423F7" w:rsidRDefault="005E0DC6" w:rsidP="002B61F2">
      <w:pPr>
        <w:pStyle w:val="H23G"/>
      </w:pPr>
      <w:r w:rsidRPr="007423F7">
        <w:tab/>
      </w:r>
      <w:r w:rsidRPr="007423F7">
        <w:tab/>
        <w:t>Chapitre 1.2</w:t>
      </w:r>
    </w:p>
    <w:p w:rsidR="00B64B1C" w:rsidRPr="00056E8F" w:rsidRDefault="00056E8F" w:rsidP="000F0CDA">
      <w:pPr>
        <w:pStyle w:val="SingleTxtG"/>
        <w:tabs>
          <w:tab w:val="left" w:pos="1985"/>
        </w:tabs>
        <w:rPr>
          <w:lang w:val="fr-FR"/>
        </w:rPr>
      </w:pPr>
      <w:r w:rsidRPr="007423F7">
        <w:rPr>
          <w:lang w:val="fr-FR"/>
        </w:rPr>
        <w:t>1.2.1</w:t>
      </w:r>
      <w:r w:rsidRPr="007423F7">
        <w:rPr>
          <w:lang w:val="fr-FR"/>
        </w:rPr>
        <w:tab/>
        <w:t>Dans la définition de «Matières plastiques recyclée</w:t>
      </w:r>
      <w:r>
        <w:rPr>
          <w:lang w:val="fr-FR"/>
        </w:rPr>
        <w:t>s</w:t>
      </w:r>
      <w:r w:rsidRPr="007423F7">
        <w:rPr>
          <w:lang w:val="fr-FR"/>
        </w:rPr>
        <w:t>», remplacer «des matières récupérées sur des emballages industriels usagés qui ont été nettoyés et traités pour être soumis au recyclage» par «des matières récupérées à partir d'emballages industriels usagés qui ont été nettoyés et préparés pour être transformés en emballages neufs».</w:t>
      </w:r>
    </w:p>
    <w:p w:rsidR="00B64B1C" w:rsidRPr="00056E8F" w:rsidRDefault="000F0CDA" w:rsidP="000F0CDA">
      <w:pPr>
        <w:pStyle w:val="SingleTxtG"/>
        <w:tabs>
          <w:tab w:val="left" w:pos="1843"/>
        </w:tabs>
        <w:rPr>
          <w:lang w:val="fr-FR"/>
        </w:rPr>
      </w:pPr>
      <w:r>
        <w:rPr>
          <w:lang w:val="fr-FR"/>
        </w:rPr>
        <w:t>1.2.1</w:t>
      </w:r>
      <w:r>
        <w:rPr>
          <w:lang w:val="fr-FR"/>
        </w:rPr>
        <w:tab/>
        <w:t>Dans la définition de «</w:t>
      </w:r>
      <w:r>
        <w:rPr>
          <w:i/>
          <w:lang w:val="fr-FR"/>
        </w:rPr>
        <w:t>Types de protection</w:t>
      </w:r>
      <w:r>
        <w:rPr>
          <w:lang w:val="fr-FR"/>
        </w:rPr>
        <w:t>», remplacer «CEI 60079-7:2006» par «CEI 60079-7:2015».</w:t>
      </w:r>
    </w:p>
    <w:p w:rsidR="008749A0" w:rsidRPr="007423F7" w:rsidRDefault="008749A0" w:rsidP="002B61F2">
      <w:pPr>
        <w:pStyle w:val="H23G"/>
      </w:pPr>
      <w:r w:rsidRPr="007423F7">
        <w:tab/>
      </w:r>
      <w:r w:rsidRPr="007423F7">
        <w:tab/>
        <w:t>Chapitre 1.</w:t>
      </w:r>
      <w:r>
        <w:t>6</w:t>
      </w:r>
    </w:p>
    <w:p w:rsidR="008749A0" w:rsidRPr="007423F7" w:rsidRDefault="008749A0" w:rsidP="008749A0">
      <w:pPr>
        <w:pStyle w:val="SingleTxtG"/>
        <w:rPr>
          <w:lang w:val="fr-FR"/>
        </w:rPr>
      </w:pPr>
      <w:r w:rsidRPr="007423F7">
        <w:rPr>
          <w:lang w:val="fr-FR"/>
        </w:rPr>
        <w:t>1.6.1.30</w:t>
      </w:r>
      <w:r w:rsidRPr="007423F7">
        <w:rPr>
          <w:lang w:val="fr-FR"/>
        </w:rPr>
        <w:tab/>
        <w:t>Modifier pour lire comme suit:</w:t>
      </w:r>
    </w:p>
    <w:p w:rsidR="00B64B1C" w:rsidRPr="005E0DC6" w:rsidRDefault="008749A0" w:rsidP="008749A0">
      <w:pPr>
        <w:spacing w:before="240"/>
        <w:ind w:left="1134" w:right="1134"/>
        <w:jc w:val="both"/>
        <w:rPr>
          <w:u w:val="single"/>
        </w:rPr>
      </w:pPr>
      <w:r w:rsidRPr="007423F7">
        <w:rPr>
          <w:lang w:val="fr-FR"/>
        </w:rPr>
        <w:t>«1.6.1.30</w:t>
      </w:r>
      <w:r w:rsidRPr="007423F7">
        <w:rPr>
          <w:lang w:val="fr-FR"/>
        </w:rPr>
        <w:tab/>
        <w:t>Les étiquettes répondant aux prescriptions du 5.2.2.2.1.1 applicables jusqu’au 31 décembre 2014 pourront encore être utilisées jusqu’au 30 juin 2019.».</w:t>
      </w:r>
    </w:p>
    <w:p w:rsidR="0022197A" w:rsidRPr="007423F7" w:rsidRDefault="0022197A" w:rsidP="002B61F2">
      <w:pPr>
        <w:pStyle w:val="H23G"/>
      </w:pPr>
      <w:r w:rsidRPr="007423F7">
        <w:tab/>
      </w:r>
      <w:r w:rsidRPr="007423F7">
        <w:tab/>
        <w:t xml:space="preserve">Chapitre </w:t>
      </w:r>
      <w:r>
        <w:t>2</w:t>
      </w:r>
      <w:r w:rsidRPr="007423F7">
        <w:t>.</w:t>
      </w:r>
      <w:r>
        <w:t>1</w:t>
      </w:r>
    </w:p>
    <w:p w:rsidR="00E876EC" w:rsidRPr="007423F7" w:rsidRDefault="00E876EC" w:rsidP="00E876EC">
      <w:pPr>
        <w:pStyle w:val="SingleTxtG"/>
        <w:rPr>
          <w:lang w:val="fr-FR"/>
        </w:rPr>
      </w:pPr>
      <w:r w:rsidRPr="007423F7">
        <w:rPr>
          <w:lang w:val="fr-FR"/>
        </w:rPr>
        <w:t>2.1.1.2</w:t>
      </w:r>
      <w:r w:rsidRPr="007423F7">
        <w:rPr>
          <w:lang w:val="fr-FR"/>
        </w:rPr>
        <w:tab/>
      </w:r>
      <w:r w:rsidRPr="007423F7">
        <w:rPr>
          <w:lang w:val="fr-FR"/>
        </w:rPr>
        <w:tab/>
        <w:t>Pour la rubrique A, remplacer «les matières et objets» par «des matières ou objets» et remplacer «les rubriques recouvrant plusieurs isomères» par «les rubriques pour les matières recouvrant plusieurs isomères».</w:t>
      </w:r>
    </w:p>
    <w:p w:rsidR="00B64B1C" w:rsidRPr="005E0DC6" w:rsidRDefault="00E876EC" w:rsidP="00E876EC">
      <w:pPr>
        <w:spacing w:before="240"/>
        <w:ind w:left="1134" w:right="1134"/>
        <w:jc w:val="both"/>
        <w:rPr>
          <w:u w:val="single"/>
        </w:rPr>
      </w:pPr>
      <w:r w:rsidRPr="007423F7">
        <w:rPr>
          <w:lang w:val="fr-FR"/>
        </w:rPr>
        <w:t>2.1.4.2 e)</w:t>
      </w:r>
      <w:r w:rsidRPr="007423F7">
        <w:rPr>
          <w:lang w:val="fr-FR"/>
        </w:rPr>
        <w:tab/>
        <w:t>Remplacer «que la matière ne soit pas emballée» par «que l'échantillon ne soit pas emballé».</w:t>
      </w:r>
    </w:p>
    <w:p w:rsidR="008A6307" w:rsidRPr="007423F7" w:rsidRDefault="008A6307" w:rsidP="002B61F2">
      <w:pPr>
        <w:pStyle w:val="H23G"/>
      </w:pPr>
      <w:r w:rsidRPr="007423F7">
        <w:tab/>
      </w:r>
      <w:r w:rsidRPr="007423F7">
        <w:tab/>
        <w:t xml:space="preserve">Chapitre </w:t>
      </w:r>
      <w:r>
        <w:t>2</w:t>
      </w:r>
      <w:r w:rsidRPr="007423F7">
        <w:t>.</w:t>
      </w:r>
      <w:r>
        <w:t>2</w:t>
      </w:r>
    </w:p>
    <w:p w:rsidR="003C3A75" w:rsidRPr="007423F7" w:rsidRDefault="003C3A75" w:rsidP="003C3A75">
      <w:pPr>
        <w:pStyle w:val="SingleTxtG"/>
        <w:rPr>
          <w:lang w:val="fr-FR"/>
        </w:rPr>
      </w:pPr>
      <w:r w:rsidRPr="007423F7">
        <w:rPr>
          <w:lang w:val="fr-FR"/>
        </w:rPr>
        <w:t>2.2.1.1.5</w:t>
      </w:r>
      <w:r w:rsidRPr="007423F7">
        <w:rPr>
          <w:lang w:val="fr-FR"/>
        </w:rPr>
        <w:tab/>
        <w:t>Pour la division 1.4, remplacer «danger mineur» par «danger mineur d'explosion».</w:t>
      </w:r>
    </w:p>
    <w:p w:rsidR="003C3A75" w:rsidRPr="007423F7" w:rsidRDefault="003C3A75" w:rsidP="003C3A75">
      <w:pPr>
        <w:pStyle w:val="SingleTxtG"/>
        <w:rPr>
          <w:lang w:val="fr-FR"/>
        </w:rPr>
      </w:pPr>
      <w:r w:rsidRPr="007423F7">
        <w:rPr>
          <w:lang w:val="fr-FR"/>
        </w:rPr>
        <w:t>2.2.1.4</w:t>
      </w:r>
      <w:r w:rsidRPr="007423F7">
        <w:rPr>
          <w:lang w:val="fr-FR"/>
        </w:rPr>
        <w:tab/>
      </w:r>
      <w:r w:rsidRPr="007423F7">
        <w:rPr>
          <w:lang w:val="fr-FR"/>
        </w:rPr>
        <w:tab/>
        <w:t>Pour CARTOUCHES À BLANC POUR ARMES DE PETIT CALIBRE: Nos ONU 0327, 0338 et 0014, après «douille», insérer «fermée». Pour CORDEAU DÉTONANT à enveloppe métallique: Nos ONU 0290 et 0102, remplacer «d'une gaine de plastique» par «d'une gaine protectrice».</w:t>
      </w:r>
    </w:p>
    <w:p w:rsidR="00B64B1C" w:rsidRDefault="003C3A75" w:rsidP="003E604A">
      <w:pPr>
        <w:pStyle w:val="SingleTxtG"/>
        <w:rPr>
          <w:lang w:val="fr-FR"/>
        </w:rPr>
      </w:pPr>
      <w:r w:rsidRPr="007423F7">
        <w:rPr>
          <w:lang w:val="fr-FR"/>
        </w:rPr>
        <w:t>2.2.2.1.7 c) et d)</w:t>
      </w:r>
      <w:r w:rsidRPr="007423F7">
        <w:rPr>
          <w:lang w:val="fr-FR"/>
        </w:rPr>
        <w:tab/>
        <w:t>Remplacer «marchandise» par «marchandise dangereuse».</w:t>
      </w:r>
    </w:p>
    <w:p w:rsidR="00BC6537" w:rsidRPr="007423F7" w:rsidRDefault="00BC6537" w:rsidP="00BC6537">
      <w:pPr>
        <w:pStyle w:val="SingleTxtG"/>
        <w:rPr>
          <w:lang w:val="fr-FR"/>
        </w:rPr>
      </w:pPr>
      <w:r w:rsidRPr="007423F7">
        <w:rPr>
          <w:lang w:val="fr-FR"/>
        </w:rPr>
        <w:t>2.2.43.1.2</w:t>
      </w:r>
      <w:r w:rsidRPr="007423F7">
        <w:rPr>
          <w:lang w:val="fr-FR"/>
        </w:rPr>
        <w:tab/>
        <w:t>Pour le code WS, remplacer «Matières auto-échauffantes qui, au contact de l'eau, dégagent des gaz inflammables, solides» par «Matières qui, au contact de l'eau, dégagent des gaz inflammables, solides, auto-échauffantes».</w:t>
      </w:r>
    </w:p>
    <w:p w:rsidR="00BC6537" w:rsidRPr="007423F7" w:rsidRDefault="00BC6537" w:rsidP="00BC6537">
      <w:pPr>
        <w:pStyle w:val="SingleTxtG"/>
        <w:rPr>
          <w:lang w:val="fr-FR"/>
        </w:rPr>
      </w:pPr>
      <w:r w:rsidRPr="007423F7">
        <w:rPr>
          <w:lang w:val="fr-FR"/>
        </w:rPr>
        <w:t>2.2.52.1.6</w:t>
      </w:r>
      <w:r w:rsidRPr="007423F7">
        <w:rPr>
          <w:lang w:val="fr-FR"/>
        </w:rPr>
        <w:tab/>
        <w:t>L’amendement ne s’applique pas au texte français.</w:t>
      </w:r>
    </w:p>
    <w:p w:rsidR="00BC6537" w:rsidRPr="007423F7" w:rsidRDefault="00BC6537" w:rsidP="00BC6537">
      <w:pPr>
        <w:tabs>
          <w:tab w:val="left" w:pos="1418"/>
          <w:tab w:val="left" w:pos="1843"/>
        </w:tabs>
        <w:spacing w:before="120" w:after="120"/>
        <w:ind w:left="1134" w:right="1134"/>
        <w:jc w:val="both"/>
        <w:rPr>
          <w:lang w:val="fr-FR"/>
        </w:rPr>
      </w:pPr>
      <w:r w:rsidRPr="007423F7">
        <w:rPr>
          <w:lang w:val="fr-FR"/>
        </w:rPr>
        <w:lastRenderedPageBreak/>
        <w:t>2.2.61.1.14</w:t>
      </w:r>
      <w:r w:rsidRPr="007423F7">
        <w:rPr>
          <w:lang w:val="fr-FR"/>
        </w:rPr>
        <w:tab/>
        <w:t>Modifier pour lire comme suit:</w:t>
      </w:r>
    </w:p>
    <w:p w:rsidR="00BC6537" w:rsidRPr="007423F7" w:rsidRDefault="00BC6537" w:rsidP="00BC6537">
      <w:pPr>
        <w:pStyle w:val="SingleTxtG"/>
        <w:rPr>
          <w:lang w:val="fr-FR"/>
        </w:rPr>
      </w:pPr>
      <w:r w:rsidRPr="007423F7">
        <w:rPr>
          <w:lang w:val="fr-FR"/>
        </w:rPr>
        <w:t>«Les matières, solutions et mélanges, à l’exception des matières et préparations servant de pesticides, qui ne sont pas classés dans les catégories de toxicité aiguë 1, 2 ou 3 selon le règlement (CE) no 1272/2008</w:t>
      </w:r>
      <w:r w:rsidRPr="007423F7">
        <w:rPr>
          <w:b/>
          <w:vertAlign w:val="superscript"/>
          <w:lang w:val="fr-FR"/>
        </w:rPr>
        <w:t>3</w:t>
      </w:r>
      <w:r w:rsidRPr="007423F7">
        <w:rPr>
          <w:lang w:val="fr-FR"/>
        </w:rPr>
        <w:t xml:space="preserve"> peuvent être considérés comme des matières n’appartenant pas à la classe 6.1.</w:t>
      </w:r>
      <w:r w:rsidR="003E604A">
        <w:rPr>
          <w:lang w:val="fr-FR"/>
        </w:rPr>
        <w:t>».</w:t>
      </w:r>
    </w:p>
    <w:p w:rsidR="00BC6537" w:rsidRPr="007423F7" w:rsidRDefault="00BC6537" w:rsidP="00BC6537">
      <w:pPr>
        <w:pStyle w:val="SingleTxtG"/>
        <w:rPr>
          <w:lang w:val="fr-FR"/>
        </w:rPr>
      </w:pPr>
      <w:r w:rsidRPr="007423F7">
        <w:rPr>
          <w:lang w:val="fr-FR"/>
        </w:rPr>
        <w:t>________</w:t>
      </w:r>
    </w:p>
    <w:p w:rsidR="00BC6537" w:rsidRPr="002B61F2" w:rsidRDefault="00BC6537" w:rsidP="00BC6537">
      <w:pPr>
        <w:pStyle w:val="SingleTxtG"/>
        <w:rPr>
          <w:i/>
          <w:lang w:val="fr-FR"/>
        </w:rPr>
      </w:pPr>
      <w:r w:rsidRPr="002B61F2">
        <w:rPr>
          <w:b/>
          <w:i/>
          <w:vertAlign w:val="superscript"/>
          <w:lang w:val="fr-FR"/>
        </w:rPr>
        <w:t>3</w:t>
      </w:r>
      <w:r w:rsidRPr="002B61F2">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w:t>
      </w:r>
      <w:r w:rsidR="003E604A" w:rsidRPr="002B61F2">
        <w:rPr>
          <w:i/>
          <w:lang w:val="fr-FR"/>
        </w:rPr>
        <w:t xml:space="preserve"> 31 décembre 2008, pages 1-1355</w:t>
      </w:r>
      <w:r w:rsidRPr="002B61F2">
        <w:rPr>
          <w:i/>
          <w:lang w:val="fr-FR"/>
        </w:rPr>
        <w:t>.</w:t>
      </w:r>
    </w:p>
    <w:p w:rsidR="008A6307" w:rsidRDefault="00BC6537" w:rsidP="00BC6537">
      <w:pPr>
        <w:spacing w:before="240"/>
        <w:ind w:left="1134" w:right="1134"/>
        <w:jc w:val="both"/>
        <w:rPr>
          <w:u w:val="single"/>
        </w:rPr>
      </w:pPr>
      <w:r w:rsidRPr="007423F7">
        <w:rPr>
          <w:lang w:val="fr-FR"/>
        </w:rPr>
        <w:t>Les notes de bas de page 3 et 4 existantes sont supprimées. Renuméroter en conséquence les notes de bas de page suivantes.</w:t>
      </w:r>
    </w:p>
    <w:p w:rsidR="003E604A" w:rsidRPr="007423F7" w:rsidRDefault="003E604A" w:rsidP="003E604A">
      <w:pPr>
        <w:tabs>
          <w:tab w:val="left" w:pos="1418"/>
          <w:tab w:val="left" w:pos="1843"/>
        </w:tabs>
        <w:spacing w:before="120" w:after="120"/>
        <w:ind w:left="1134" w:right="1134"/>
        <w:jc w:val="both"/>
        <w:rPr>
          <w:lang w:val="fr-FR"/>
        </w:rPr>
      </w:pPr>
      <w:r w:rsidRPr="007423F7">
        <w:rPr>
          <w:lang w:val="fr-FR"/>
        </w:rPr>
        <w:t>2.2.8.1.9</w:t>
      </w:r>
      <w:r w:rsidRPr="007423F7">
        <w:rPr>
          <w:lang w:val="fr-FR"/>
        </w:rPr>
        <w:tab/>
      </w:r>
      <w:r w:rsidRPr="007423F7">
        <w:rPr>
          <w:lang w:val="fr-FR"/>
        </w:rPr>
        <w:tab/>
        <w:t>Modifier pour lire comme suit:</w:t>
      </w:r>
    </w:p>
    <w:p w:rsidR="003E604A" w:rsidRDefault="003E604A" w:rsidP="003E604A">
      <w:pPr>
        <w:pStyle w:val="SingleTxtG"/>
        <w:rPr>
          <w:lang w:val="fr-FR"/>
        </w:rPr>
      </w:pPr>
      <w:r w:rsidRPr="007423F7">
        <w:rPr>
          <w:spacing w:val="2"/>
          <w:lang w:val="fr-FR"/>
        </w:rPr>
        <w:t xml:space="preserve">«Les matières, solutions et mélanges qui ne sont pas classés comme corrosifs pour </w:t>
      </w:r>
      <w:r w:rsidRPr="007423F7">
        <w:rPr>
          <w:lang w:val="fr-FR"/>
        </w:rPr>
        <w:t>la peau ou pour les métaux de catégorie 1 selon le règlement (CE) no 1272/2008</w:t>
      </w:r>
      <w:r w:rsidRPr="007423F7">
        <w:rPr>
          <w:b/>
          <w:vertAlign w:val="superscript"/>
          <w:lang w:val="fr-FR"/>
        </w:rPr>
        <w:t>3</w:t>
      </w:r>
      <w:r w:rsidRPr="007423F7">
        <w:rPr>
          <w:lang w:val="fr-FR"/>
        </w:rPr>
        <w:t xml:space="preserve"> peuvent être considérés comme des matières n’appartenant pas à la classe 8.</w:t>
      </w:r>
      <w:r>
        <w:rPr>
          <w:lang w:val="fr-FR"/>
        </w:rPr>
        <w:t>».</w:t>
      </w:r>
    </w:p>
    <w:p w:rsidR="003E604A" w:rsidRPr="007423F7" w:rsidRDefault="003E604A" w:rsidP="003E604A">
      <w:pPr>
        <w:pStyle w:val="SingleTxtG"/>
        <w:rPr>
          <w:lang w:val="fr-FR"/>
        </w:rPr>
      </w:pPr>
      <w:r w:rsidRPr="007423F7">
        <w:rPr>
          <w:lang w:val="fr-FR"/>
        </w:rPr>
        <w:t>Le Nota reste inchangé.</w:t>
      </w:r>
    </w:p>
    <w:p w:rsidR="003E604A" w:rsidRPr="007423F7" w:rsidRDefault="003E604A" w:rsidP="003E604A">
      <w:pPr>
        <w:pStyle w:val="SingleTxtG"/>
        <w:rPr>
          <w:lang w:val="fr-FR"/>
        </w:rPr>
      </w:pPr>
      <w:r w:rsidRPr="007423F7">
        <w:rPr>
          <w:lang w:val="fr-FR"/>
        </w:rPr>
        <w:t>________</w:t>
      </w:r>
    </w:p>
    <w:p w:rsidR="003E604A" w:rsidRPr="002B61F2" w:rsidRDefault="003E604A" w:rsidP="003E604A">
      <w:pPr>
        <w:pStyle w:val="SingleTxtG"/>
        <w:rPr>
          <w:i/>
          <w:lang w:val="fr-FR"/>
        </w:rPr>
      </w:pPr>
      <w:r w:rsidRPr="002B61F2">
        <w:rPr>
          <w:b/>
          <w:i/>
          <w:vertAlign w:val="superscript"/>
          <w:lang w:val="fr-FR"/>
        </w:rPr>
        <w:t>3</w:t>
      </w:r>
      <w:r w:rsidRPr="002B61F2">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p>
    <w:p w:rsidR="00051A95" w:rsidRPr="007423F7" w:rsidRDefault="00051A95" w:rsidP="00051A95">
      <w:pPr>
        <w:pStyle w:val="SingleTxtG"/>
        <w:rPr>
          <w:lang w:val="fr-FR"/>
        </w:rPr>
      </w:pPr>
      <w:r w:rsidRPr="007423F7">
        <w:rPr>
          <w:lang w:val="fr-FR"/>
        </w:rPr>
        <w:t>2.2.9.1.10.2.6 c)</w:t>
      </w:r>
      <w:r w:rsidRPr="007423F7">
        <w:rPr>
          <w:lang w:val="fr-FR"/>
        </w:rPr>
        <w:tab/>
        <w:t>L’amendement ne s’applique pas au texte français.</w:t>
      </w:r>
    </w:p>
    <w:p w:rsidR="00051A95" w:rsidRPr="007423F7" w:rsidRDefault="00051A95" w:rsidP="00051A95">
      <w:pPr>
        <w:pStyle w:val="SingleTxtG"/>
        <w:rPr>
          <w:lang w:val="fr-FR"/>
        </w:rPr>
      </w:pPr>
      <w:r w:rsidRPr="007423F7">
        <w:rPr>
          <w:lang w:val="fr-FR"/>
        </w:rPr>
        <w:t>2.2.9.1.10.</w:t>
      </w:r>
      <w:r>
        <w:rPr>
          <w:lang w:val="fr-FR"/>
        </w:rPr>
        <w:t>3</w:t>
      </w:r>
      <w:r w:rsidRPr="007423F7">
        <w:rPr>
          <w:lang w:val="fr-FR"/>
        </w:rPr>
        <w:tab/>
        <w:t>Dans le titre et dans l’alinéa a), renuméroter la référence à la note de bas de page après «1272/2008/CE» en tant que note de bas de page 3:</w:t>
      </w:r>
    </w:p>
    <w:p w:rsidR="00051A95" w:rsidRPr="007423F7" w:rsidRDefault="00051A95" w:rsidP="00051A95">
      <w:pPr>
        <w:pStyle w:val="SingleTxtG"/>
        <w:rPr>
          <w:lang w:val="fr-FR"/>
        </w:rPr>
      </w:pPr>
      <w:r w:rsidRPr="007423F7">
        <w:rPr>
          <w:lang w:val="fr-FR"/>
        </w:rPr>
        <w:t>La note de bas de page 3 se lit comme suit: «</w:t>
      </w:r>
      <w:r w:rsidRPr="002B61F2">
        <w:rPr>
          <w:b/>
          <w:i/>
          <w:vertAlign w:val="superscript"/>
          <w:lang w:val="fr-FR"/>
        </w:rPr>
        <w:t>3</w:t>
      </w:r>
      <w:r w:rsidRPr="002B61F2">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r w:rsidRPr="007423F7">
        <w:rPr>
          <w:lang w:val="fr-FR"/>
        </w:rPr>
        <w:t>».</w:t>
      </w:r>
    </w:p>
    <w:p w:rsidR="00051A95" w:rsidRPr="007423F7" w:rsidRDefault="00051A95" w:rsidP="00051A95">
      <w:pPr>
        <w:pStyle w:val="SingleTxtG"/>
        <w:rPr>
          <w:lang w:val="fr-FR"/>
        </w:rPr>
      </w:pPr>
      <w:r w:rsidRPr="007423F7">
        <w:rPr>
          <w:lang w:val="fr-FR"/>
        </w:rPr>
        <w:t>À l’alinéa a), supprimer: «ou, si cela est toujours pertinent conformément audit Règlement, la ou les phrases de risque R50, R50/53 ou R51/53 conformément aux Directives 67/548/CE</w:t>
      </w:r>
      <w:r w:rsidRPr="007423F7">
        <w:rPr>
          <w:b/>
          <w:vertAlign w:val="superscript"/>
          <w:lang w:val="fr-FR"/>
        </w:rPr>
        <w:t>3</w:t>
      </w:r>
      <w:r w:rsidRPr="007423F7">
        <w:rPr>
          <w:lang w:val="fr-FR"/>
        </w:rPr>
        <w:t xml:space="preserve"> et 1999/45/CE</w:t>
      </w:r>
      <w:r w:rsidRPr="007423F7">
        <w:rPr>
          <w:b/>
          <w:vertAlign w:val="superscript"/>
          <w:lang w:val="fr-FR"/>
        </w:rPr>
        <w:t>4</w:t>
      </w:r>
      <w:r w:rsidRPr="007423F7">
        <w:rPr>
          <w:lang w:val="fr-FR"/>
        </w:rPr>
        <w:t>,».</w:t>
      </w:r>
    </w:p>
    <w:p w:rsidR="003E604A" w:rsidRPr="007423F7" w:rsidRDefault="00051A95" w:rsidP="00051A95">
      <w:pPr>
        <w:pStyle w:val="SingleTxtG"/>
        <w:rPr>
          <w:lang w:val="fr-FR"/>
        </w:rPr>
      </w:pPr>
      <w:r w:rsidRPr="007423F7">
        <w:rPr>
          <w:lang w:val="fr-FR"/>
        </w:rPr>
        <w:t>À l’alinéa b), remplacer «si une telle phrase de risque ou catégorie conformément auxdits Directives et Règlement» par «si une telle catégorie conformément audit règlement».</w:t>
      </w:r>
    </w:p>
    <w:p w:rsidR="0023674C" w:rsidRPr="007423F7" w:rsidRDefault="0023674C" w:rsidP="002B61F2">
      <w:pPr>
        <w:pStyle w:val="H23G"/>
      </w:pPr>
      <w:r w:rsidRPr="007423F7">
        <w:tab/>
      </w:r>
      <w:r w:rsidRPr="007423F7">
        <w:tab/>
        <w:t xml:space="preserve">Chapitre </w:t>
      </w:r>
      <w:r>
        <w:t>2</w:t>
      </w:r>
      <w:r w:rsidRPr="007423F7">
        <w:t>.</w:t>
      </w:r>
      <w:r>
        <w:t>3</w:t>
      </w:r>
    </w:p>
    <w:p w:rsidR="008A6307" w:rsidRDefault="0023674C" w:rsidP="008749A0">
      <w:pPr>
        <w:spacing w:before="240"/>
        <w:ind w:left="1134" w:right="1134"/>
        <w:jc w:val="both"/>
        <w:rPr>
          <w:u w:val="single"/>
        </w:rPr>
      </w:pPr>
      <w:r w:rsidRPr="007423F7">
        <w:rPr>
          <w:lang w:val="fr-FR"/>
        </w:rPr>
        <w:t>2.3.1.4</w:t>
      </w:r>
      <w:r w:rsidRPr="007423F7">
        <w:rPr>
          <w:lang w:val="fr-FR"/>
        </w:rPr>
        <w:tab/>
      </w:r>
      <w:r w:rsidRPr="007423F7">
        <w:rPr>
          <w:lang w:val="fr-FR"/>
        </w:rPr>
        <w:tab/>
        <w:t>L’amendement ne s’applique pas au texte français.</w:t>
      </w:r>
    </w:p>
    <w:p w:rsidR="0023674C" w:rsidRPr="007423F7" w:rsidRDefault="0023674C" w:rsidP="002B61F2">
      <w:pPr>
        <w:pStyle w:val="H23G"/>
      </w:pPr>
      <w:r w:rsidRPr="007423F7">
        <w:lastRenderedPageBreak/>
        <w:tab/>
      </w:r>
      <w:r w:rsidRPr="007423F7">
        <w:tab/>
        <w:t>Chapitre 3.2, tableau A</w:t>
      </w:r>
    </w:p>
    <w:p w:rsidR="008A6307" w:rsidRDefault="006D3778" w:rsidP="008749A0">
      <w:pPr>
        <w:spacing w:before="240"/>
        <w:ind w:left="1134" w:right="1134"/>
        <w:jc w:val="both"/>
        <w:rPr>
          <w:u w:val="single"/>
        </w:rPr>
      </w:pPr>
      <w:r w:rsidRPr="007423F7">
        <w:rPr>
          <w:lang w:val="fr-FR"/>
        </w:rPr>
        <w:t>Pour la première rubrique du groupe d’emballage III des Nos ONU 1133, 1139, 1169, 1197, 1210, 1263, 1266, 1286, 1287, 1306, 1866, 1993 et 1999, dans la col</w:t>
      </w:r>
      <w:r>
        <w:rPr>
          <w:lang w:val="fr-FR"/>
        </w:rPr>
        <w:t>onne (6), supprimer</w:t>
      </w:r>
      <w:r w:rsidRPr="007423F7">
        <w:rPr>
          <w:lang w:val="fr-FR"/>
        </w:rPr>
        <w:t xml:space="preserve"> «640E».</w:t>
      </w:r>
    </w:p>
    <w:p w:rsidR="008A6307" w:rsidRDefault="006D3778" w:rsidP="008749A0">
      <w:pPr>
        <w:spacing w:before="240"/>
        <w:ind w:left="1134" w:right="1134"/>
        <w:jc w:val="both"/>
        <w:rPr>
          <w:u w:val="single"/>
        </w:rPr>
      </w:pPr>
      <w:r w:rsidRPr="007423F7">
        <w:rPr>
          <w:lang w:val="fr-FR"/>
        </w:rPr>
        <w:t>Pour les Nos ONU 3166, 3171, 3528, 3529 et 35</w:t>
      </w:r>
      <w:r>
        <w:rPr>
          <w:lang w:val="fr-FR"/>
        </w:rPr>
        <w:t>30, ajouter dans la colonne (6)</w:t>
      </w:r>
      <w:r w:rsidRPr="007423F7">
        <w:rPr>
          <w:lang w:val="fr-FR"/>
        </w:rPr>
        <w:t xml:space="preserve"> «669».</w:t>
      </w:r>
    </w:p>
    <w:p w:rsidR="00C0071F" w:rsidRPr="007423F7" w:rsidRDefault="00C0071F" w:rsidP="002B61F2">
      <w:pPr>
        <w:pStyle w:val="H23G"/>
      </w:pPr>
      <w:r w:rsidRPr="007423F7">
        <w:tab/>
      </w:r>
      <w:r w:rsidRPr="007423F7">
        <w:tab/>
        <w:t>Chapitre 3.3</w:t>
      </w:r>
    </w:p>
    <w:p w:rsidR="003A4D3C" w:rsidRPr="007423F7" w:rsidRDefault="003A4D3C" w:rsidP="003A4D3C">
      <w:pPr>
        <w:pStyle w:val="SingleTxtG"/>
        <w:rPr>
          <w:lang w:val="fr-FR"/>
        </w:rPr>
      </w:pPr>
      <w:r w:rsidRPr="007423F7">
        <w:rPr>
          <w:lang w:val="fr-FR"/>
        </w:rPr>
        <w:t>Disposition spéciale 342 b)</w:t>
      </w:r>
      <w:r w:rsidRPr="007423F7">
        <w:rPr>
          <w:lang w:val="fr-FR"/>
        </w:rPr>
        <w:tab/>
      </w:r>
      <w:r w:rsidRPr="007423F7">
        <w:rPr>
          <w:lang w:val="fr-FR"/>
        </w:rPr>
        <w:tab/>
        <w:t>Remplacer «de l’emballage intérieur en verre» par «du récipient intérieur en verre».</w:t>
      </w:r>
    </w:p>
    <w:p w:rsidR="003A4D3C" w:rsidRPr="007423F7" w:rsidRDefault="003A4D3C" w:rsidP="003A4D3C">
      <w:pPr>
        <w:pStyle w:val="SingleTxtG"/>
        <w:rPr>
          <w:lang w:val="fr-FR"/>
        </w:rPr>
      </w:pPr>
      <w:r w:rsidRPr="007423F7">
        <w:rPr>
          <w:lang w:val="fr-FR"/>
        </w:rPr>
        <w:t>Disposition spéciale 373 (a)</w:t>
      </w:r>
      <w:r w:rsidRPr="007423F7">
        <w:rPr>
          <w:lang w:val="fr-FR"/>
        </w:rPr>
        <w:tab/>
      </w:r>
      <w:r w:rsidRPr="007423F7">
        <w:rPr>
          <w:lang w:val="fr-FR"/>
        </w:rPr>
        <w:tab/>
        <w:t>À l’alinéa a) iii), dans le Nota, remplacer «ISO 9001:2008» par «ISO 9001».</w:t>
      </w:r>
    </w:p>
    <w:p w:rsidR="003A4D3C" w:rsidRPr="007423F7" w:rsidRDefault="003A4D3C" w:rsidP="003A4D3C">
      <w:pPr>
        <w:pStyle w:val="SingleTxtG"/>
        <w:rPr>
          <w:lang w:val="fr-FR"/>
        </w:rPr>
      </w:pPr>
      <w:r w:rsidRPr="007423F7">
        <w:rPr>
          <w:lang w:val="fr-FR"/>
        </w:rPr>
        <w:t>Disposition spéciale 528</w:t>
      </w:r>
      <w:r w:rsidRPr="007423F7">
        <w:rPr>
          <w:lang w:val="fr-FR"/>
        </w:rPr>
        <w:tab/>
        <w:t>L’amendement ne s’applique pas au texte français.</w:t>
      </w:r>
    </w:p>
    <w:p w:rsidR="003A4D3C" w:rsidRPr="007423F7" w:rsidRDefault="003A4D3C" w:rsidP="003A4D3C">
      <w:pPr>
        <w:pStyle w:val="SingleTxtG"/>
        <w:rPr>
          <w:lang w:val="fr-FR"/>
        </w:rPr>
      </w:pPr>
      <w:r w:rsidRPr="007423F7">
        <w:rPr>
          <w:lang w:val="fr-FR"/>
        </w:rPr>
        <w:t>Disposition spéciale 531</w:t>
      </w:r>
      <w:r w:rsidRPr="007423F7">
        <w:rPr>
          <w:lang w:val="fr-FR"/>
        </w:rPr>
        <w:tab/>
        <w:t>Après «classe 4.1», insérer «(Nos ONU 2555, 2556 ou 2557)».</w:t>
      </w:r>
    </w:p>
    <w:p w:rsidR="003A4D3C" w:rsidRPr="007423F7" w:rsidRDefault="003A4D3C" w:rsidP="003A4D3C">
      <w:pPr>
        <w:pStyle w:val="SingleTxtG"/>
        <w:rPr>
          <w:i/>
          <w:iCs/>
          <w:lang w:val="fr-FR"/>
        </w:rPr>
      </w:pPr>
      <w:r w:rsidRPr="007423F7">
        <w:rPr>
          <w:lang w:val="fr-FR"/>
        </w:rPr>
        <w:t>Disposition spéciale 592</w:t>
      </w:r>
      <w:r w:rsidRPr="007423F7">
        <w:rPr>
          <w:lang w:val="fr-FR"/>
        </w:rPr>
        <w:tab/>
        <w:t>Remplacer «Les emballages vides» par «Les emballages vides non nettoyés».</w:t>
      </w:r>
    </w:p>
    <w:p w:rsidR="003A4D3C" w:rsidRPr="007423F7" w:rsidRDefault="003A4D3C" w:rsidP="003A4D3C">
      <w:pPr>
        <w:pStyle w:val="SingleTxtG"/>
        <w:rPr>
          <w:lang w:val="fr-FR"/>
        </w:rPr>
      </w:pPr>
      <w:r w:rsidRPr="007423F7">
        <w:t xml:space="preserve">Disposition spéciale 636 b) </w:t>
      </w:r>
      <w:r w:rsidRPr="007423F7">
        <w:rPr>
          <w:lang w:val="fr-FR"/>
        </w:rPr>
        <w:t>Modifier le texte avant l’alinéa i) pour lire comme suit:</w:t>
      </w:r>
    </w:p>
    <w:p w:rsidR="003A4D3C" w:rsidRPr="007423F7" w:rsidRDefault="003A4D3C" w:rsidP="003A4D3C">
      <w:pPr>
        <w:pStyle w:val="SingleTxtG"/>
        <w:rPr>
          <w:lang w:val="fr-FR"/>
        </w:rPr>
      </w:pPr>
      <w:r w:rsidRPr="007423F7">
        <w:rPr>
          <w:lang w:val="fr-FR"/>
        </w:rPr>
        <w:t>«b)</w:t>
      </w:r>
      <w:r w:rsidRPr="007423F7">
        <w:rPr>
          <w:lang w:val="fr-FR"/>
        </w:rPr>
        <w:tab/>
        <w:t>Lorsqu’elles sont transportées jusqu’aux lieux de traitement intermédiaire:</w:t>
      </w:r>
    </w:p>
    <w:p w:rsidR="003A4D3C" w:rsidRPr="007423F7" w:rsidRDefault="003A4D3C" w:rsidP="003A4D3C">
      <w:pPr>
        <w:pStyle w:val="SingleTxtG"/>
        <w:ind w:left="1701"/>
        <w:rPr>
          <w:lang w:val="fr-FR"/>
        </w:rPr>
      </w:pPr>
      <w:r w:rsidRPr="007423F7">
        <w:rPr>
          <w:lang w:val="fr-FR"/>
        </w:rPr>
        <w:t>-</w:t>
      </w:r>
      <w:r w:rsidRPr="007423F7">
        <w:rPr>
          <w:lang w:val="fr-FR"/>
        </w:rPr>
        <w:tab/>
        <w:t>les piles et batteries au lithium, dont la masse brute ne dépasse pas 500 g par unité ou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collectées et présentées au transport en vue de leur tri, élimination ou recyclage; ainsi que</w:t>
      </w:r>
    </w:p>
    <w:p w:rsidR="003A4D3C" w:rsidRPr="007423F7" w:rsidRDefault="003A4D3C" w:rsidP="003A4D3C">
      <w:pPr>
        <w:pStyle w:val="SingleTxtG"/>
        <w:ind w:left="1701"/>
        <w:rPr>
          <w:lang w:val="fr-FR"/>
        </w:rPr>
      </w:pPr>
      <w:r w:rsidRPr="007423F7">
        <w:rPr>
          <w:lang w:val="fr-FR"/>
        </w:rPr>
        <w:t>-</w:t>
      </w:r>
      <w:r w:rsidRPr="007423F7">
        <w:rPr>
          <w:lang w:val="fr-FR"/>
        </w:rPr>
        <w:tab/>
        <w:t>les piles et batteries au lithium contenues dans des équipements provenant des ménages, collectés et présentés au transport en vue de leur dépollution, démantèlement, élimination ou recyclage;</w:t>
      </w:r>
    </w:p>
    <w:p w:rsidR="003A4D3C" w:rsidRPr="007423F7" w:rsidRDefault="003A4D3C" w:rsidP="003A4D3C">
      <w:pPr>
        <w:pStyle w:val="SingleTxtG"/>
        <w:ind w:left="2268"/>
        <w:rPr>
          <w:i/>
          <w:lang w:val="fr-FR"/>
        </w:rPr>
      </w:pPr>
      <w:r w:rsidRPr="007423F7">
        <w:rPr>
          <w:b/>
          <w:i/>
          <w:lang w:val="fr-FR"/>
        </w:rPr>
        <w:t>NOTA:</w:t>
      </w:r>
      <w:r w:rsidRPr="007423F7">
        <w:rPr>
          <w:i/>
          <w:lang w:val="fr-FR"/>
        </w:rPr>
        <w:t xml:space="preserve"> Par «équipements provenant des ménages» on entend les équipements provenant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w:t>
      </w:r>
    </w:p>
    <w:p w:rsidR="003A4D3C" w:rsidRPr="007423F7" w:rsidRDefault="003A4D3C" w:rsidP="003A4D3C">
      <w:pPr>
        <w:pStyle w:val="SingleTxtG"/>
        <w:ind w:left="1701" w:hanging="567"/>
        <w:rPr>
          <w:lang w:val="fr-FR"/>
        </w:rPr>
      </w:pPr>
      <w:r w:rsidRPr="007423F7">
        <w:rPr>
          <w:lang w:val="fr-FR"/>
        </w:rPr>
        <w:tab/>
        <w:t>ne sont pas soumises aux autres dispositions de l’AD</w:t>
      </w:r>
      <w:r w:rsidR="00A3535C">
        <w:rPr>
          <w:lang w:val="fr-FR"/>
        </w:rPr>
        <w:t>N</w:t>
      </w:r>
      <w:r w:rsidRPr="007423F7">
        <w:rPr>
          <w:lang w:val="fr-FR"/>
        </w:rPr>
        <w:t>, y compris la disposition spéciale 376 et le 2.2.9.1.7, si elles satisfont aux conditions suivantes:».</w:t>
      </w:r>
    </w:p>
    <w:p w:rsidR="003A4D3C" w:rsidRPr="007423F7" w:rsidRDefault="003A4D3C" w:rsidP="003A4D3C">
      <w:pPr>
        <w:pStyle w:val="SingleTxtG"/>
        <w:tabs>
          <w:tab w:val="left" w:pos="3686"/>
        </w:tabs>
        <w:rPr>
          <w:lang w:val="fr-FR"/>
        </w:rPr>
      </w:pPr>
      <w:r w:rsidRPr="007423F7">
        <w:t>Disposition spéciale</w:t>
      </w:r>
      <w:r w:rsidRPr="007423F7">
        <w:rPr>
          <w:lang w:val="fr-FR"/>
        </w:rPr>
        <w:t xml:space="preserve"> 636 b)</w:t>
      </w:r>
      <w:r w:rsidRPr="007423F7">
        <w:rPr>
          <w:lang w:val="fr-FR"/>
        </w:rPr>
        <w:tab/>
        <w:t>Modifier l’alinéa iii) pour lire comme suit:</w:t>
      </w:r>
    </w:p>
    <w:p w:rsidR="003A4D3C" w:rsidRPr="007423F7" w:rsidRDefault="003A4D3C" w:rsidP="003A4D3C">
      <w:pPr>
        <w:pStyle w:val="SingleTxtG"/>
        <w:ind w:left="1701" w:hanging="567"/>
        <w:rPr>
          <w:lang w:val="fr-FR"/>
        </w:rPr>
      </w:pPr>
      <w:r w:rsidRPr="007423F7">
        <w:rPr>
          <w:lang w:val="fr-FR"/>
        </w:rPr>
        <w:t>«iii)</w:t>
      </w:r>
      <w:r w:rsidRPr="007423F7">
        <w:rPr>
          <w:lang w:val="fr-FR"/>
        </w:rPr>
        <w:tab/>
        <w:t>Les colis doivent porter la marque "PILES AU LITHIUM POUR ÉLIMINATION" ou "PILES AU LITHIUM POUR RECYCLAGE" comme approprié.</w:t>
      </w:r>
    </w:p>
    <w:p w:rsidR="003A4D3C" w:rsidRPr="007423F7" w:rsidRDefault="003A4D3C" w:rsidP="003A4D3C">
      <w:pPr>
        <w:pStyle w:val="SingleTxtG"/>
        <w:ind w:left="1701" w:hanging="567"/>
        <w:rPr>
          <w:rFonts w:eastAsia="MS Mincho"/>
          <w:lang w:val="fr-FR" w:eastAsia="nl-NL"/>
        </w:rPr>
      </w:pPr>
      <w:r w:rsidRPr="007423F7">
        <w:rPr>
          <w:lang w:val="fr-FR"/>
        </w:rPr>
        <w:tab/>
        <w:t>Alternativement, si des équipements contenant des piles ou batteries au lithium sont transportés non emballés ou sur des palettes conformément à la prescription d’emballage P909 3) du 4.1.4.1</w:t>
      </w:r>
      <w:r w:rsidR="00A3535C">
        <w:rPr>
          <w:lang w:val="fr-FR"/>
        </w:rPr>
        <w:t xml:space="preserve"> de l’ADR</w:t>
      </w:r>
      <w:r w:rsidRPr="007423F7">
        <w:rPr>
          <w:lang w:val="fr-FR"/>
        </w:rPr>
        <w:t>, cette marque peut être fixée sur la surface extérieure des véhicules ou conteneurs.».</w:t>
      </w:r>
    </w:p>
    <w:p w:rsidR="003A4D3C" w:rsidRPr="007423F7" w:rsidRDefault="003A4D3C" w:rsidP="003A4D3C">
      <w:pPr>
        <w:pStyle w:val="SingleTxtG"/>
      </w:pPr>
      <w:r w:rsidRPr="007423F7">
        <w:t xml:space="preserve">Ajouter </w:t>
      </w:r>
      <w:r w:rsidR="00B06BC2">
        <w:t>la</w:t>
      </w:r>
      <w:r w:rsidRPr="007423F7">
        <w:t xml:space="preserve"> nouvelle dispositions spéciale </w:t>
      </w:r>
      <w:r>
        <w:t>suivante</w:t>
      </w:r>
      <w:r w:rsidRPr="007423F7">
        <w:t>:</w:t>
      </w:r>
    </w:p>
    <w:p w:rsidR="008A6307" w:rsidRDefault="003A4D3C" w:rsidP="003A4D3C">
      <w:pPr>
        <w:spacing w:before="240"/>
        <w:ind w:left="1134" w:right="1134"/>
        <w:jc w:val="both"/>
        <w:rPr>
          <w:u w:val="single"/>
        </w:rPr>
      </w:pPr>
      <w:r w:rsidRPr="007423F7">
        <w:rPr>
          <w:lang w:val="fr-FR"/>
        </w:rPr>
        <w:lastRenderedPageBreak/>
        <w:t>«669</w:t>
      </w:r>
      <w:r w:rsidRPr="007423F7">
        <w:rPr>
          <w:lang w:val="fr-FR"/>
        </w:rPr>
        <w:tab/>
        <w:t xml:space="preserve">Toute remorque dotée d’un équipement fonctionnant à l’aide d’un combustible liquide ou gazeux ou d’un dispositif de stockage et de production d’énergie électrique, qui est destiné à fonctionner pendant un transport effectué au moyen de cette remorque en tant que partie d’une unité de transport, doit être affectée aux Nos ONU 3166 ou 3171 et doit être soumise aux mêmes conditions que ces Nos ONU lorsqu’elle est transportée en tant que chargement sur un </w:t>
      </w:r>
      <w:r w:rsidR="00A3535C">
        <w:rPr>
          <w:lang w:val="fr-FR"/>
        </w:rPr>
        <w:t>bateau</w:t>
      </w:r>
      <w:r w:rsidRPr="007423F7">
        <w:rPr>
          <w:lang w:val="fr-FR"/>
        </w:rPr>
        <w:t>, sous réserve que la capacité totale des réservoirs pour combustible liquide ne dépasse pas 500 litres.».</w:t>
      </w:r>
    </w:p>
    <w:p w:rsidR="000B0429" w:rsidRPr="007423F7" w:rsidRDefault="000B0429" w:rsidP="002B61F2">
      <w:pPr>
        <w:pStyle w:val="H23G"/>
      </w:pPr>
      <w:r w:rsidRPr="007423F7">
        <w:tab/>
      </w:r>
      <w:r w:rsidRPr="007423F7">
        <w:tab/>
        <w:t xml:space="preserve">Chapitre </w:t>
      </w:r>
      <w:r>
        <w:t>5.2</w:t>
      </w:r>
    </w:p>
    <w:p w:rsidR="00C53F4B" w:rsidRPr="007423F7" w:rsidRDefault="00C53F4B" w:rsidP="00C53F4B">
      <w:pPr>
        <w:pStyle w:val="SingleTxtG"/>
        <w:tabs>
          <w:tab w:val="left" w:pos="1854"/>
        </w:tabs>
        <w:rPr>
          <w:lang w:val="fr-FR"/>
        </w:rPr>
      </w:pPr>
      <w:r w:rsidRPr="007423F7">
        <w:rPr>
          <w:lang w:val="fr-FR"/>
        </w:rPr>
        <w:t>5.2.1.7.4 c)</w:t>
      </w:r>
      <w:r w:rsidRPr="007423F7">
        <w:rPr>
          <w:lang w:val="fr-FR"/>
        </w:rPr>
        <w:tab/>
        <w:t>Remplacer «l’indicatif de pays (code VRI)</w:t>
      </w:r>
      <w:r w:rsidRPr="007423F7">
        <w:rPr>
          <w:b/>
          <w:vertAlign w:val="superscript"/>
          <w:lang w:val="fr-FR"/>
        </w:rPr>
        <w:t>2</w:t>
      </w:r>
      <w:r w:rsidRPr="007423F7">
        <w:rPr>
          <w:lang w:val="fr-FR"/>
        </w:rPr>
        <w:t xml:space="preserve"> attribué pour la circulation internationale des véhicules au pays» par «le signe distinctif utilisé sur les véhicules en circulation routière internationale</w:t>
      </w:r>
      <w:r w:rsidRPr="007423F7">
        <w:rPr>
          <w:b/>
          <w:vertAlign w:val="superscript"/>
          <w:lang w:val="fr-FR"/>
        </w:rPr>
        <w:t>2</w:t>
      </w:r>
      <w:r w:rsidRPr="007423F7">
        <w:rPr>
          <w:lang w:val="fr-FR"/>
        </w:rPr>
        <w:t xml:space="preserve"> du pays». Modifier la note de bas de page 2 pour lire:</w:t>
      </w:r>
    </w:p>
    <w:p w:rsidR="00C53F4B" w:rsidRPr="007423F7" w:rsidRDefault="00C53F4B" w:rsidP="00C53F4B">
      <w:pPr>
        <w:pStyle w:val="SingleTxtG"/>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8A6307" w:rsidRDefault="00C53F4B" w:rsidP="00C53F4B">
      <w:pPr>
        <w:spacing w:before="240"/>
        <w:ind w:left="1134" w:right="1134"/>
        <w:jc w:val="both"/>
      </w:pPr>
      <w:r w:rsidRPr="007423F7">
        <w:t>5.2.2.2.2</w:t>
      </w:r>
      <w:r w:rsidRPr="007423F7">
        <w:tab/>
        <w:t>Modifier le titre au-dessus du modèle de l’étiquette de danger No 4.1 pour lire «DANGER DE CLASSE 4.1 Matières solides inflammables, matières autoréactives, matières qui polymérisent et matières solides explosibles désensibilisées».</w:t>
      </w:r>
    </w:p>
    <w:p w:rsidR="00C53F4B" w:rsidRPr="007423F7" w:rsidRDefault="00C53F4B" w:rsidP="002B61F2">
      <w:pPr>
        <w:pStyle w:val="H23G"/>
      </w:pPr>
      <w:r w:rsidRPr="007423F7">
        <w:tab/>
      </w:r>
      <w:r w:rsidRPr="007423F7">
        <w:tab/>
        <w:t xml:space="preserve">Chapitre 5.4 </w:t>
      </w:r>
    </w:p>
    <w:p w:rsidR="00C53F4B" w:rsidRPr="007423F7" w:rsidRDefault="00C53F4B" w:rsidP="00C53F4B">
      <w:pPr>
        <w:pStyle w:val="SingleTxtG"/>
        <w:rPr>
          <w:lang w:val="fr-FR"/>
        </w:rPr>
      </w:pPr>
      <w:r w:rsidRPr="007423F7">
        <w:rPr>
          <w:lang w:val="fr-FR"/>
        </w:rPr>
        <w:t>5.4.1.1.11</w:t>
      </w:r>
      <w:r w:rsidRPr="007423F7">
        <w:rPr>
          <w:lang w:val="fr-FR"/>
        </w:rPr>
        <w:tab/>
        <w:t>Modifier pour lire comme suit:</w:t>
      </w:r>
    </w:p>
    <w:p w:rsidR="00C53F4B" w:rsidRPr="007423F7" w:rsidRDefault="00C53F4B" w:rsidP="00C53F4B">
      <w:pPr>
        <w:pStyle w:val="SingleTxtG"/>
        <w:rPr>
          <w:lang w:val="fr-FR"/>
        </w:rPr>
      </w:pPr>
      <w:r w:rsidRPr="007423F7">
        <w:rPr>
          <w:lang w:val="fr-FR"/>
        </w:rPr>
        <w:t>«5.4.1.1.11</w:t>
      </w:r>
      <w:r w:rsidRPr="007423F7">
        <w:rPr>
          <w:lang w:val="fr-FR"/>
        </w:rPr>
        <w:tab/>
      </w:r>
      <w:r w:rsidRPr="007423F7">
        <w:rPr>
          <w:bCs/>
          <w:i/>
          <w:lang w:val="fr-FR"/>
        </w:rPr>
        <w:t>Dispositions spéciales pour le transport de GRV, de citernes, de véhicules-batteries, de citernes mobiles et de CGEM après la date d’expiration de la validité du dernier contrôle ou de la dernière épreuve périodique</w:t>
      </w:r>
    </w:p>
    <w:p w:rsidR="00C53F4B" w:rsidRPr="007423F7" w:rsidRDefault="00761B66" w:rsidP="00C53F4B">
      <w:pPr>
        <w:pStyle w:val="SingleTxtG"/>
        <w:rPr>
          <w:lang w:val="fr-FR"/>
        </w:rPr>
      </w:pPr>
      <w:r>
        <w:rPr>
          <w:lang w:val="fr-FR"/>
        </w:rPr>
        <w:tab/>
      </w:r>
      <w:r w:rsidR="00C53F4B" w:rsidRPr="007423F7">
        <w:rPr>
          <w:lang w:val="fr-FR"/>
        </w:rPr>
        <w:t>Pour les transports conformes aux 4.1.2.2 b), 4.3.2.3.7 b), 6.7.2.19.6 b), 6.7.3.15.6 b) ou 6.7.4.14.6 b)</w:t>
      </w:r>
      <w:r>
        <w:rPr>
          <w:lang w:val="fr-FR"/>
        </w:rPr>
        <w:t xml:space="preserve"> </w:t>
      </w:r>
      <w:r>
        <w:t>de l’</w:t>
      </w:r>
      <w:r w:rsidRPr="00761B66">
        <w:t>ADR (</w:t>
      </w:r>
      <w:r>
        <w:t>ou du</w:t>
      </w:r>
      <w:r w:rsidRPr="00761B66">
        <w:t xml:space="preserve"> RID)</w:t>
      </w:r>
      <w:r w:rsidR="00C53F4B" w:rsidRPr="007423F7">
        <w:rPr>
          <w:lang w:val="fr-FR"/>
        </w:rPr>
        <w:t>, le document de transport doit porter la mention suivante:</w:t>
      </w:r>
    </w:p>
    <w:p w:rsidR="00C53F4B" w:rsidRPr="007423F7" w:rsidRDefault="00C53F4B" w:rsidP="00A3535C">
      <w:pPr>
        <w:pStyle w:val="SingleTxtG"/>
        <w:rPr>
          <w:lang w:val="fr-FR"/>
        </w:rPr>
      </w:pPr>
      <w:r w:rsidRPr="007423F7">
        <w:rPr>
          <w:lang w:val="fr-FR"/>
        </w:rPr>
        <w:t>"TRANSPORT CONFORMÉMENT AU 4.1.2.2 b)</w:t>
      </w:r>
      <w:r w:rsidR="00761B66">
        <w:rPr>
          <w:lang w:val="fr-FR"/>
        </w:rPr>
        <w:t xml:space="preserve"> </w:t>
      </w:r>
      <w:r w:rsidR="00761B66">
        <w:t>de l’</w:t>
      </w:r>
      <w:r w:rsidR="00761B66" w:rsidRPr="00761B66">
        <w:t>ADR (</w:t>
      </w:r>
      <w:r w:rsidR="00761B66">
        <w:t>ou du</w:t>
      </w:r>
      <w:r w:rsidR="00761B66" w:rsidRPr="00761B66">
        <w:t xml:space="preserve"> RID)</w:t>
      </w:r>
      <w:r w:rsidRPr="007423F7">
        <w:rPr>
          <w:lang w:val="fr-FR"/>
        </w:rPr>
        <w:t>",</w:t>
      </w:r>
    </w:p>
    <w:p w:rsidR="00C53F4B" w:rsidRPr="007423F7" w:rsidRDefault="00C53F4B" w:rsidP="00A3535C">
      <w:pPr>
        <w:pStyle w:val="SingleTxtG"/>
        <w:rPr>
          <w:lang w:val="fr-FR"/>
        </w:rPr>
      </w:pPr>
      <w:r w:rsidRPr="007423F7">
        <w:rPr>
          <w:lang w:val="fr-FR"/>
        </w:rPr>
        <w:t>"TRANSPORT CONFORMÉMENT AU 4.3.2.3.7 b)</w:t>
      </w:r>
      <w:r w:rsidR="00761B66">
        <w:rPr>
          <w:lang w:val="fr-FR"/>
        </w:rPr>
        <w:t xml:space="preserve"> </w:t>
      </w:r>
      <w:r w:rsidR="00761B66">
        <w:t>de l’</w:t>
      </w:r>
      <w:r w:rsidR="00761B66" w:rsidRPr="00761B66">
        <w:t>ADR (</w:t>
      </w:r>
      <w:r w:rsidR="00761B66">
        <w:t>ou du</w:t>
      </w:r>
      <w:r w:rsidR="00761B66" w:rsidRPr="00761B66">
        <w:t xml:space="preserve"> RID)</w:t>
      </w:r>
      <w:r w:rsidRPr="007423F7">
        <w:rPr>
          <w:lang w:val="fr-FR"/>
        </w:rPr>
        <w:t>",</w:t>
      </w:r>
    </w:p>
    <w:p w:rsidR="00C53F4B" w:rsidRPr="007423F7" w:rsidRDefault="00C53F4B" w:rsidP="00A3535C">
      <w:pPr>
        <w:pStyle w:val="SingleTxtG"/>
        <w:rPr>
          <w:lang w:val="fr-FR"/>
        </w:rPr>
      </w:pPr>
      <w:r w:rsidRPr="007423F7">
        <w:rPr>
          <w:lang w:val="fr-FR"/>
        </w:rPr>
        <w:t>"TRANSPORT CONFORMÉMENT AU 6.7.2.19.6 b)</w:t>
      </w:r>
      <w:r w:rsidR="00761B66">
        <w:rPr>
          <w:lang w:val="fr-FR"/>
        </w:rPr>
        <w:t xml:space="preserve"> </w:t>
      </w:r>
      <w:r w:rsidR="00761B66">
        <w:t>de l’</w:t>
      </w:r>
      <w:r w:rsidR="00761B66" w:rsidRPr="00761B66">
        <w:t>ADR (</w:t>
      </w:r>
      <w:r w:rsidR="00761B66">
        <w:t>ou du</w:t>
      </w:r>
      <w:r w:rsidR="00761B66" w:rsidRPr="00761B66">
        <w:t xml:space="preserve"> RID)</w:t>
      </w:r>
      <w:r w:rsidRPr="007423F7">
        <w:rPr>
          <w:lang w:val="fr-FR"/>
        </w:rPr>
        <w:t>",</w:t>
      </w:r>
    </w:p>
    <w:p w:rsidR="00C53F4B" w:rsidRPr="007423F7" w:rsidRDefault="00C53F4B" w:rsidP="00A3535C">
      <w:pPr>
        <w:pStyle w:val="SingleTxtG"/>
        <w:rPr>
          <w:lang w:val="fr-FR"/>
        </w:rPr>
      </w:pPr>
      <w:r w:rsidRPr="007423F7">
        <w:rPr>
          <w:lang w:val="fr-FR"/>
        </w:rPr>
        <w:t>"TRANSPORT CONFORMÉMENT AU 6.7.3.15.6 b)</w:t>
      </w:r>
      <w:r w:rsidR="00761B66">
        <w:rPr>
          <w:lang w:val="fr-FR"/>
        </w:rPr>
        <w:t xml:space="preserve"> </w:t>
      </w:r>
      <w:r w:rsidR="00761B66">
        <w:t>de l’</w:t>
      </w:r>
      <w:r w:rsidR="00761B66" w:rsidRPr="00761B66">
        <w:t>ADR (</w:t>
      </w:r>
      <w:r w:rsidR="00761B66">
        <w:t>ou du</w:t>
      </w:r>
      <w:r w:rsidR="00761B66" w:rsidRPr="00761B66">
        <w:t xml:space="preserve"> RID)</w:t>
      </w:r>
      <w:r w:rsidRPr="007423F7">
        <w:rPr>
          <w:lang w:val="fr-FR"/>
        </w:rPr>
        <w:t>"; ou</w:t>
      </w:r>
    </w:p>
    <w:p w:rsidR="00C53F4B" w:rsidRPr="007423F7" w:rsidRDefault="00C53F4B" w:rsidP="00A3535C">
      <w:pPr>
        <w:pStyle w:val="SingleTxtG"/>
        <w:rPr>
          <w:lang w:val="fr-FR"/>
        </w:rPr>
      </w:pPr>
      <w:r w:rsidRPr="007423F7">
        <w:rPr>
          <w:lang w:val="fr-FR"/>
        </w:rPr>
        <w:t>"TRANSPORT CONFORMÉMENT AU 6.7.4.14.6 b)</w:t>
      </w:r>
      <w:r w:rsidR="00761B66">
        <w:rPr>
          <w:lang w:val="fr-FR"/>
        </w:rPr>
        <w:t xml:space="preserve"> </w:t>
      </w:r>
      <w:r w:rsidR="00761B66">
        <w:t>de l’</w:t>
      </w:r>
      <w:r w:rsidR="00761B66" w:rsidRPr="00761B66">
        <w:t>ADR (</w:t>
      </w:r>
      <w:r w:rsidR="00761B66">
        <w:t>ou du</w:t>
      </w:r>
      <w:r w:rsidR="00761B66" w:rsidRPr="00761B66">
        <w:t xml:space="preserve"> RID)</w:t>
      </w:r>
      <w:r w:rsidRPr="007423F7">
        <w:rPr>
          <w:lang w:val="fr-FR"/>
        </w:rPr>
        <w:t>", selon le cas.».</w:t>
      </w:r>
    </w:p>
    <w:p w:rsidR="00C53F4B" w:rsidRPr="007423F7" w:rsidRDefault="00C53F4B" w:rsidP="00C53F4B">
      <w:pPr>
        <w:pStyle w:val="SingleTxtG"/>
        <w:tabs>
          <w:tab w:val="left" w:pos="1854"/>
        </w:tabs>
        <w:rPr>
          <w:lang w:val="fr-FR"/>
        </w:rPr>
      </w:pPr>
      <w:r w:rsidRPr="007423F7">
        <w:rPr>
          <w:lang w:val="fr-FR"/>
        </w:rPr>
        <w:t>5.4.1.2.1</w:t>
      </w:r>
      <w:r w:rsidRPr="007423F7">
        <w:rPr>
          <w:lang w:val="fr-FR"/>
        </w:rPr>
        <w:tab/>
      </w:r>
      <w:r w:rsidRPr="007423F7">
        <w:rPr>
          <w:lang w:val="fr-FR"/>
        </w:rPr>
        <w:tab/>
        <w:t>Dans le Nota 2, remplacer «le signe distinctif prévu pour les véhicules dans le trafic international (XX)</w:t>
      </w:r>
      <w:r w:rsidRPr="007423F7">
        <w:rPr>
          <w:b/>
          <w:vertAlign w:val="superscript"/>
          <w:lang w:val="fr-FR"/>
        </w:rPr>
        <w:t xml:space="preserve"> 3</w:t>
      </w:r>
      <w:r w:rsidRPr="007423F7">
        <w:rPr>
          <w:lang w:val="fr-FR"/>
        </w:rPr>
        <w:t xml:space="preserve">» par «le signe </w:t>
      </w:r>
      <w:r w:rsidRPr="004F5F23">
        <w:rPr>
          <w:lang w:val="fr-FR"/>
        </w:rPr>
        <w:t xml:space="preserve">distinctif </w:t>
      </w:r>
      <w:r w:rsidRPr="007423F7">
        <w:rPr>
          <w:lang w:val="fr-FR"/>
        </w:rPr>
        <w:t>utilisé sur les véhicules en circulation routière internationale (XX)</w:t>
      </w:r>
      <w:r w:rsidRPr="007423F7">
        <w:rPr>
          <w:b/>
          <w:vertAlign w:val="superscript"/>
          <w:lang w:val="fr-FR"/>
        </w:rPr>
        <w:t xml:space="preserve"> 3</w:t>
      </w:r>
      <w:r w:rsidRPr="007423F7">
        <w:rPr>
          <w:lang w:val="fr-FR"/>
        </w:rPr>
        <w:t>».</w:t>
      </w:r>
    </w:p>
    <w:p w:rsidR="00C53F4B" w:rsidRPr="007423F7" w:rsidRDefault="00C53F4B" w:rsidP="00C53F4B">
      <w:pPr>
        <w:pStyle w:val="SingleTxtG"/>
        <w:tabs>
          <w:tab w:val="left" w:pos="1854"/>
        </w:tabs>
        <w:rPr>
          <w:lang w:val="fr-FR"/>
        </w:rPr>
      </w:pPr>
      <w:r w:rsidRPr="007423F7">
        <w:rPr>
          <w:lang w:val="fr-FR"/>
        </w:rPr>
        <w:t>Modifier la note de bas de page 3 pour lire:</w:t>
      </w:r>
    </w:p>
    <w:p w:rsidR="00C53F4B" w:rsidRPr="007423F7" w:rsidRDefault="00C53F4B" w:rsidP="00C53F4B">
      <w:pPr>
        <w:pStyle w:val="SingleTxtG"/>
        <w:tabs>
          <w:tab w:val="left" w:pos="1854"/>
        </w:tabs>
        <w:rPr>
          <w:lang w:val="fr-FR"/>
        </w:rPr>
      </w:pPr>
      <w:r w:rsidRPr="007423F7">
        <w:rPr>
          <w:lang w:val="fr-FR"/>
        </w:rPr>
        <w:t>«</w:t>
      </w:r>
      <w:r w:rsidRPr="007423F7">
        <w:rPr>
          <w:b/>
          <w:vertAlign w:val="superscript"/>
          <w:lang w:val="fr-FR"/>
        </w:rPr>
        <w:t>3</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C53F4B" w:rsidRPr="007423F7" w:rsidRDefault="00C53F4B" w:rsidP="00C53F4B">
      <w:pPr>
        <w:spacing w:after="120"/>
        <w:ind w:left="1134" w:right="1134"/>
        <w:jc w:val="both"/>
        <w:rPr>
          <w:lang w:val="fr-FR"/>
        </w:rPr>
      </w:pPr>
      <w:r w:rsidRPr="007423F7">
        <w:rPr>
          <w:lang w:val="fr-FR"/>
        </w:rPr>
        <w:t>5.4.2</w:t>
      </w:r>
      <w:r w:rsidRPr="007423F7">
        <w:rPr>
          <w:lang w:val="fr-FR"/>
        </w:rPr>
        <w:tab/>
        <w:t xml:space="preserve"> Après le NOTA, ajouter le nouveau paragraphe suivant:</w:t>
      </w:r>
    </w:p>
    <w:p w:rsidR="00C53F4B" w:rsidRPr="007423F7" w:rsidRDefault="00C53F4B" w:rsidP="00C53F4B">
      <w:pPr>
        <w:pStyle w:val="SingleTxtG"/>
        <w:rPr>
          <w:lang w:val="fr-FR"/>
        </w:rPr>
      </w:pPr>
      <w:r w:rsidRPr="007423F7">
        <w:rPr>
          <w:lang w:val="fr-FR"/>
        </w:rPr>
        <w:lastRenderedPageBreak/>
        <w:t>«Si un transport de marchandises dangereuses dans un véhicule précède un parcours maritime, un "certificat d’empotage du conteneur ou du véhicule" conforme à la section 5.4.2 du Code IMDG</w:t>
      </w:r>
      <w:r w:rsidRPr="007423F7">
        <w:rPr>
          <w:b/>
          <w:vertAlign w:val="superscript"/>
          <w:lang w:val="fr-FR"/>
        </w:rPr>
        <w:t>5, 6</w:t>
      </w:r>
      <w:r w:rsidRPr="007423F7">
        <w:rPr>
          <w:lang w:val="fr-FR"/>
        </w:rPr>
        <w:t xml:space="preserve"> peut être fourni avec le document de transport.».</w:t>
      </w:r>
    </w:p>
    <w:p w:rsidR="00C53F4B" w:rsidRPr="007423F7" w:rsidRDefault="00C53F4B" w:rsidP="00C53F4B">
      <w:pPr>
        <w:pStyle w:val="SingleTxtG"/>
        <w:rPr>
          <w:lang w:val="fr-FR"/>
        </w:rPr>
      </w:pPr>
      <w:r w:rsidRPr="007423F7">
        <w:rPr>
          <w:lang w:val="fr-FR"/>
        </w:rPr>
        <w:t>5.4.2</w:t>
      </w:r>
      <w:r w:rsidRPr="007423F7">
        <w:rPr>
          <w:lang w:val="fr-FR"/>
        </w:rPr>
        <w:tab/>
        <w:t xml:space="preserve">À la fin de la note de bas de page 5, remplacer «(Directive OMI/OIT/CEE-ONU sur le chargement des cargaisons dans des engins de transport)» par «(Code de bonnes pratiques OMI/OIT/CEE-ONU pour le chargement des cargaisons dans des engins de transport (Code CTU))». </w:t>
      </w:r>
    </w:p>
    <w:p w:rsidR="00C53F4B" w:rsidRPr="007423F7" w:rsidRDefault="00C53F4B" w:rsidP="00C53F4B">
      <w:pPr>
        <w:pStyle w:val="SingleTxtG"/>
        <w:keepNext/>
        <w:rPr>
          <w:lang w:val="fr-FR"/>
        </w:rPr>
      </w:pPr>
      <w:r w:rsidRPr="007423F7">
        <w:rPr>
          <w:lang w:val="fr-FR"/>
        </w:rPr>
        <w:t>5.4.2</w:t>
      </w:r>
      <w:r w:rsidRPr="007423F7">
        <w:rPr>
          <w:lang w:val="fr-FR"/>
        </w:rPr>
        <w:tab/>
        <w:t xml:space="preserve">Dans la note de bas de page 6: </w:t>
      </w:r>
    </w:p>
    <w:p w:rsidR="00C53F4B" w:rsidRPr="007423F7" w:rsidRDefault="00C53F4B" w:rsidP="00C53F4B">
      <w:pPr>
        <w:pStyle w:val="SingleTxtG"/>
        <w:keepNext/>
        <w:ind w:left="1701"/>
        <w:rPr>
          <w:lang w:val="fr-FR"/>
        </w:rPr>
      </w:pPr>
      <w:r w:rsidRPr="007423F7">
        <w:rPr>
          <w:lang w:val="fr-FR"/>
        </w:rPr>
        <w:t>-</w:t>
      </w:r>
      <w:r w:rsidRPr="007423F7">
        <w:rPr>
          <w:lang w:val="fr-FR"/>
        </w:rPr>
        <w:tab/>
        <w:t>Au début, après «code IMDG», ajouter «(Amendement 38-16)»;</w:t>
      </w:r>
    </w:p>
    <w:p w:rsidR="00C53F4B" w:rsidRPr="007423F7" w:rsidRDefault="00C53F4B" w:rsidP="00C53F4B">
      <w:pPr>
        <w:pStyle w:val="SingleTxtG"/>
        <w:ind w:left="1701"/>
        <w:rPr>
          <w:lang w:val="fr-FR"/>
        </w:rPr>
      </w:pPr>
      <w:r w:rsidRPr="007423F7">
        <w:rPr>
          <w:lang w:val="fr-FR"/>
        </w:rPr>
        <w:t>-</w:t>
      </w:r>
      <w:r w:rsidRPr="007423F7">
        <w:rPr>
          <w:lang w:val="fr-FR"/>
        </w:rPr>
        <w:tab/>
        <w:t xml:space="preserve">Au point 2, remplacer «7.2.2.3» par «7.3.4.1»; </w:t>
      </w:r>
    </w:p>
    <w:p w:rsidR="00C53F4B" w:rsidRPr="007423F7" w:rsidRDefault="00C53F4B" w:rsidP="00C53F4B">
      <w:pPr>
        <w:pStyle w:val="SingleTxtG"/>
        <w:ind w:left="1701"/>
        <w:rPr>
          <w:lang w:val="fr-FR"/>
        </w:rPr>
      </w:pPr>
      <w:r w:rsidRPr="007423F7">
        <w:rPr>
          <w:lang w:val="fr-FR"/>
        </w:rPr>
        <w:t>-</w:t>
      </w:r>
      <w:r w:rsidRPr="007423F7">
        <w:rPr>
          <w:lang w:val="fr-FR"/>
        </w:rPr>
        <w:tab/>
        <w:t xml:space="preserve">Au point 6, remplacer «au 7.4.6» par «à 7.1.2»; </w:t>
      </w:r>
    </w:p>
    <w:p w:rsidR="00C53F4B" w:rsidRPr="007423F7" w:rsidRDefault="00C53F4B" w:rsidP="00C53F4B">
      <w:pPr>
        <w:pStyle w:val="SingleTxtG"/>
        <w:ind w:left="1701"/>
        <w:rPr>
          <w:lang w:val="fr-FR"/>
        </w:rPr>
      </w:pPr>
      <w:r w:rsidRPr="007423F7">
        <w:rPr>
          <w:lang w:val="fr-FR"/>
        </w:rPr>
        <w:t>-</w:t>
      </w:r>
      <w:r w:rsidRPr="007423F7">
        <w:rPr>
          <w:lang w:val="fr-FR"/>
        </w:rPr>
        <w:tab/>
        <w:t>Dans le N</w:t>
      </w:r>
      <w:r>
        <w:rPr>
          <w:lang w:val="fr-FR"/>
        </w:rPr>
        <w:t>ota</w:t>
      </w:r>
      <w:r w:rsidRPr="007423F7">
        <w:rPr>
          <w:lang w:val="fr-FR"/>
        </w:rPr>
        <w:t xml:space="preserve"> sous le 5.4.2.1 du code IMDG, remplacer «citernes» par «citernes mobiles»;</w:t>
      </w:r>
    </w:p>
    <w:p w:rsidR="00C53F4B" w:rsidRPr="007423F7" w:rsidRDefault="00C53F4B" w:rsidP="00C53F4B">
      <w:pPr>
        <w:pStyle w:val="SingleTxtG"/>
        <w:ind w:left="1701"/>
        <w:rPr>
          <w:lang w:val="fr-FR"/>
        </w:rPr>
      </w:pPr>
      <w:r w:rsidRPr="007423F7">
        <w:rPr>
          <w:lang w:val="fr-FR"/>
        </w:rPr>
        <w:t>-</w:t>
      </w:r>
      <w:r w:rsidRPr="007423F7">
        <w:rPr>
          <w:lang w:val="fr-FR"/>
        </w:rPr>
        <w:tab/>
        <w:t>La dernière modification ne s’applique pas au texte français.</w:t>
      </w:r>
    </w:p>
    <w:p w:rsidR="00C53F4B" w:rsidRDefault="00C53F4B" w:rsidP="00C53F4B">
      <w:pPr>
        <w:pStyle w:val="SingleTxtG"/>
        <w:rPr>
          <w:lang w:val="fr-FR"/>
        </w:rPr>
      </w:pPr>
      <w:r w:rsidRPr="007423F7">
        <w:rPr>
          <w:lang w:val="fr-FR"/>
        </w:rPr>
        <w:t>5.4.3.4</w:t>
      </w:r>
      <w:r w:rsidRPr="007423F7">
        <w:rPr>
          <w:lang w:val="fr-FR"/>
        </w:rPr>
        <w:tab/>
      </w:r>
      <w:r w:rsidRPr="007423F7">
        <w:rPr>
          <w:lang w:val="fr-FR"/>
        </w:rPr>
        <w:tab/>
        <w:t>Dans le modèle des consignes écrites, dans la colonne (1), au-dessus de l’étiquette de danger 4.1, après «m</w:t>
      </w:r>
      <w:r w:rsidR="00D45452">
        <w:rPr>
          <w:lang w:val="fr-FR"/>
        </w:rPr>
        <w:t>atières autoréactives», insérer</w:t>
      </w:r>
      <w:r w:rsidRPr="007423F7">
        <w:rPr>
          <w:lang w:val="fr-FR"/>
        </w:rPr>
        <w:t xml:space="preserve"> «, matières qui polymérisent».</w:t>
      </w:r>
    </w:p>
    <w:p w:rsidR="00A3535C" w:rsidRDefault="00A3535C">
      <w:pPr>
        <w:suppressAutoHyphens w:val="0"/>
        <w:spacing w:line="240" w:lineRule="auto"/>
        <w:rPr>
          <w:lang w:val="fr-FR"/>
        </w:rPr>
      </w:pPr>
      <w:r>
        <w:rPr>
          <w:lang w:val="fr-FR"/>
        </w:rPr>
        <w:br w:type="page"/>
      </w:r>
    </w:p>
    <w:p w:rsidR="00D202EA" w:rsidRPr="002B61F2" w:rsidRDefault="00D202EA" w:rsidP="00D72195">
      <w:pPr>
        <w:pStyle w:val="HChG"/>
      </w:pPr>
      <w:r w:rsidRPr="00D45452">
        <w:lastRenderedPageBreak/>
        <w:tab/>
      </w:r>
      <w:r w:rsidRPr="00D45452">
        <w:tab/>
      </w:r>
      <w:r w:rsidRPr="002B61F2">
        <w:t>ECE/TRANS/WP.15/231/Add.1</w:t>
      </w:r>
    </w:p>
    <w:p w:rsidR="00D202EA" w:rsidRPr="00D202EA" w:rsidRDefault="00D202EA" w:rsidP="002B61F2">
      <w:pPr>
        <w:pStyle w:val="H1G"/>
        <w:rPr>
          <w:lang w:val="fr-FR"/>
        </w:rPr>
      </w:pPr>
      <w:r w:rsidRPr="00D202EA">
        <w:rPr>
          <w:lang w:val="fr-FR"/>
        </w:rPr>
        <w:tab/>
      </w:r>
      <w:r w:rsidRPr="00D202EA">
        <w:rPr>
          <w:lang w:val="fr-FR"/>
        </w:rPr>
        <w:tab/>
        <w:t xml:space="preserve">Nouveaux </w:t>
      </w:r>
      <w:r w:rsidRPr="002B61F2">
        <w:t>amendements</w:t>
      </w:r>
    </w:p>
    <w:p w:rsidR="00D202EA" w:rsidRPr="007423F7" w:rsidRDefault="00D202EA" w:rsidP="002B61F2">
      <w:pPr>
        <w:pStyle w:val="H23G"/>
      </w:pPr>
      <w:r w:rsidRPr="007423F7">
        <w:tab/>
      </w:r>
      <w:r w:rsidRPr="007423F7">
        <w:tab/>
        <w:t>Chapitre 1.</w:t>
      </w:r>
      <w:r>
        <w:t>2</w:t>
      </w:r>
    </w:p>
    <w:p w:rsidR="00C36AD1" w:rsidRPr="007423F7" w:rsidRDefault="00C36AD1" w:rsidP="00C36AD1">
      <w:pPr>
        <w:pStyle w:val="SingleTxtG"/>
        <w:rPr>
          <w:lang w:val="fr-FR"/>
        </w:rPr>
      </w:pPr>
      <w:r w:rsidRPr="007423F7">
        <w:rPr>
          <w:lang w:val="fr-FR"/>
        </w:rPr>
        <w:t>1.2.1</w:t>
      </w:r>
      <w:r w:rsidRPr="007423F7">
        <w:rPr>
          <w:lang w:val="fr-FR"/>
        </w:rPr>
        <w:tab/>
        <w:t>Dans la définition de «Aérosol ou générateur d’aérosol» telle que modifiée dans le document ECE/TRANS/WP.15/231, remplacer «6.2.4» par «6.2.6».</w:t>
      </w:r>
    </w:p>
    <w:p w:rsidR="00C36AD1" w:rsidRPr="007423F7" w:rsidRDefault="00C36AD1" w:rsidP="002B61F2">
      <w:pPr>
        <w:pStyle w:val="H23G"/>
      </w:pPr>
      <w:r w:rsidRPr="007423F7">
        <w:tab/>
      </w:r>
      <w:r w:rsidRPr="007423F7">
        <w:tab/>
        <w:t>Chapitre 1.</w:t>
      </w:r>
      <w:r>
        <w:t>6</w:t>
      </w:r>
    </w:p>
    <w:p w:rsidR="00C53F4B" w:rsidRPr="00C53F4B" w:rsidRDefault="00D45452" w:rsidP="00C53F4B">
      <w:pPr>
        <w:spacing w:before="240"/>
        <w:ind w:left="1134" w:right="1134"/>
        <w:jc w:val="both"/>
        <w:rPr>
          <w:u w:val="single"/>
          <w:lang w:val="fr-FR"/>
        </w:rPr>
      </w:pPr>
      <w:r w:rsidRPr="007423F7">
        <w:rPr>
          <w:lang w:val="fr-FR"/>
        </w:rPr>
        <w:t>1.6.</w:t>
      </w:r>
      <w:r>
        <w:rPr>
          <w:lang w:val="fr-FR"/>
        </w:rPr>
        <w:t>1</w:t>
      </w:r>
      <w:r w:rsidRPr="007423F7">
        <w:rPr>
          <w:lang w:val="fr-FR"/>
        </w:rPr>
        <w:tab/>
        <w:t>Ajouter la nouvelle mesure transitoire suivante:</w:t>
      </w:r>
    </w:p>
    <w:p w:rsidR="008A6307" w:rsidRDefault="00D45452" w:rsidP="008749A0">
      <w:pPr>
        <w:spacing w:before="240"/>
        <w:ind w:left="1134" w:right="1134"/>
        <w:jc w:val="both"/>
      </w:pPr>
      <w:r w:rsidRPr="007423F7">
        <w:t>«1.6.1.43</w:t>
      </w:r>
      <w:r w:rsidRPr="007423F7">
        <w:tab/>
        <w:t>Les véhicules immatriculés ou mis en service avant le 1er juillet 2017, tels que définis dans les dispositions spéciales 240, 385 et 669 du chapitre 3.3, et leur équipement destiné à une utilisation durant le transport, conformes aux prescriptions de l’AD</w:t>
      </w:r>
      <w:r>
        <w:t>N</w:t>
      </w:r>
      <w:r w:rsidRPr="007423F7">
        <w:t xml:space="preserve"> applicables jusqu’au 31 décembre 2016 mais contenant des piles et batteries au lithium qui ne sont pas conformes aux prescriptions du 2.2.9.1.7 pourront encore être transportés en tant que chargement selon les prescriptions de la disposition spéciale 666 du chapitre 3.3.».</w:t>
      </w:r>
    </w:p>
    <w:p w:rsidR="00784245" w:rsidRPr="007423F7" w:rsidRDefault="00784245" w:rsidP="002B61F2">
      <w:pPr>
        <w:pStyle w:val="H23G"/>
      </w:pPr>
      <w:r w:rsidRPr="007423F7">
        <w:tab/>
      </w:r>
      <w:r w:rsidRPr="007423F7">
        <w:tab/>
        <w:t xml:space="preserve">Chapitre </w:t>
      </w:r>
      <w:r>
        <w:t>2.2</w:t>
      </w:r>
    </w:p>
    <w:p w:rsidR="00784245" w:rsidRPr="007423F7" w:rsidRDefault="00784245" w:rsidP="00784245">
      <w:pPr>
        <w:pStyle w:val="SingleTxtG"/>
      </w:pPr>
      <w:r w:rsidRPr="007423F7">
        <w:t>2.2.2.3</w:t>
      </w:r>
      <w:r w:rsidRPr="007423F7">
        <w:tab/>
        <w:t xml:space="preserve"> </w:t>
      </w:r>
      <w:r w:rsidRPr="007423F7">
        <w:tab/>
        <w:t>Dans le tableau pour «Autres objets contenant du gaz sous pression», pour 6F, ajouter les nouvelles lignes suivantes.</w:t>
      </w:r>
    </w:p>
    <w:tbl>
      <w:tblPr>
        <w:tblW w:w="0" w:type="auto"/>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708"/>
        <w:gridCol w:w="7230"/>
      </w:tblGrid>
      <w:tr w:rsidR="00784245" w:rsidRPr="007423F7" w:rsidTr="00A3535C">
        <w:trPr>
          <w:cantSplit/>
          <w:trHeight w:val="40"/>
        </w:trPr>
        <w:tc>
          <w:tcPr>
            <w:tcW w:w="709" w:type="dxa"/>
          </w:tcPr>
          <w:p w:rsidR="00784245" w:rsidRPr="007423F7" w:rsidRDefault="00784245" w:rsidP="008B67A0">
            <w:pPr>
              <w:spacing w:before="20" w:after="20"/>
              <w:rPr>
                <w:sz w:val="18"/>
                <w:szCs w:val="18"/>
              </w:rPr>
            </w:pPr>
          </w:p>
        </w:tc>
        <w:tc>
          <w:tcPr>
            <w:tcW w:w="708" w:type="dxa"/>
          </w:tcPr>
          <w:p w:rsidR="00784245" w:rsidRPr="007423F7" w:rsidRDefault="00784245" w:rsidP="008B67A0">
            <w:pPr>
              <w:spacing w:before="20" w:after="20"/>
              <w:rPr>
                <w:sz w:val="18"/>
                <w:szCs w:val="18"/>
              </w:rPr>
            </w:pPr>
            <w:r w:rsidRPr="007423F7">
              <w:rPr>
                <w:sz w:val="18"/>
                <w:szCs w:val="18"/>
              </w:rPr>
              <w:t>3529</w:t>
            </w:r>
          </w:p>
        </w:tc>
        <w:tc>
          <w:tcPr>
            <w:tcW w:w="7230" w:type="dxa"/>
          </w:tcPr>
          <w:p w:rsidR="00784245" w:rsidRPr="007423F7" w:rsidRDefault="00784245" w:rsidP="008B67A0">
            <w:pPr>
              <w:spacing w:before="20" w:after="20"/>
              <w:ind w:left="164" w:hanging="164"/>
              <w:rPr>
                <w:sz w:val="18"/>
                <w:szCs w:val="18"/>
              </w:rPr>
            </w:pPr>
            <w:r w:rsidRPr="007423F7">
              <w:rPr>
                <w:sz w:val="18"/>
                <w:szCs w:val="18"/>
                <w:lang w:val="fr-FR"/>
              </w:rPr>
              <w:t xml:space="preserve">MOTEUR À COMBUSTION INTERNE </w:t>
            </w:r>
            <w:r w:rsidRPr="007423F7">
              <w:rPr>
                <w:sz w:val="18"/>
                <w:szCs w:val="18"/>
              </w:rPr>
              <w:t>FONCTIONNANT AU</w:t>
            </w:r>
            <w:r w:rsidRPr="007423F7">
              <w:rPr>
                <w:sz w:val="18"/>
                <w:szCs w:val="18"/>
                <w:lang w:val="fr-FR"/>
              </w:rPr>
              <w:t xml:space="preserve"> GAZ INFLAMMABLE</w:t>
            </w:r>
            <w:r>
              <w:rPr>
                <w:sz w:val="18"/>
                <w:szCs w:val="18"/>
                <w:lang w:val="fr-FR"/>
              </w:rPr>
              <w:t xml:space="preserve"> ou</w:t>
            </w:r>
          </w:p>
        </w:tc>
      </w:tr>
      <w:tr w:rsidR="00784245" w:rsidRPr="007423F7" w:rsidTr="00A3535C">
        <w:trPr>
          <w:cantSplit/>
          <w:trHeight w:val="40"/>
        </w:trPr>
        <w:tc>
          <w:tcPr>
            <w:tcW w:w="709" w:type="dxa"/>
          </w:tcPr>
          <w:p w:rsidR="00784245" w:rsidRPr="007423F7" w:rsidRDefault="00784245" w:rsidP="008B67A0">
            <w:pPr>
              <w:spacing w:before="20" w:after="20"/>
              <w:rPr>
                <w:sz w:val="18"/>
                <w:szCs w:val="18"/>
              </w:rPr>
            </w:pPr>
          </w:p>
        </w:tc>
        <w:tc>
          <w:tcPr>
            <w:tcW w:w="708" w:type="dxa"/>
          </w:tcPr>
          <w:p w:rsidR="00784245" w:rsidRPr="007423F7" w:rsidRDefault="00784245" w:rsidP="008B67A0">
            <w:pPr>
              <w:spacing w:before="20" w:after="20"/>
              <w:rPr>
                <w:sz w:val="18"/>
                <w:szCs w:val="18"/>
              </w:rPr>
            </w:pPr>
            <w:r w:rsidRPr="007423F7">
              <w:rPr>
                <w:sz w:val="18"/>
                <w:szCs w:val="18"/>
              </w:rPr>
              <w:t>3529</w:t>
            </w:r>
          </w:p>
        </w:tc>
        <w:tc>
          <w:tcPr>
            <w:tcW w:w="7230" w:type="dxa"/>
          </w:tcPr>
          <w:p w:rsidR="00784245" w:rsidRPr="007423F7" w:rsidRDefault="00784245" w:rsidP="008B67A0">
            <w:pPr>
              <w:spacing w:before="20" w:after="20"/>
              <w:ind w:left="164" w:hanging="164"/>
              <w:rPr>
                <w:sz w:val="18"/>
                <w:szCs w:val="18"/>
              </w:rPr>
            </w:pPr>
            <w:r w:rsidRPr="007423F7">
              <w:rPr>
                <w:sz w:val="18"/>
                <w:szCs w:val="18"/>
              </w:rPr>
              <w:t xml:space="preserve">MOTEUR PILE À COMBUSTIBLE CONTENANT DU GAZ INFLAMMABLE </w:t>
            </w:r>
            <w:r>
              <w:rPr>
                <w:sz w:val="18"/>
                <w:szCs w:val="18"/>
              </w:rPr>
              <w:t>ou</w:t>
            </w:r>
          </w:p>
        </w:tc>
      </w:tr>
      <w:tr w:rsidR="00784245" w:rsidRPr="007423F7" w:rsidTr="00A3535C">
        <w:trPr>
          <w:cantSplit/>
          <w:trHeight w:val="40"/>
        </w:trPr>
        <w:tc>
          <w:tcPr>
            <w:tcW w:w="709" w:type="dxa"/>
          </w:tcPr>
          <w:p w:rsidR="00784245" w:rsidRPr="007423F7" w:rsidRDefault="00784245" w:rsidP="008B67A0">
            <w:pPr>
              <w:spacing w:before="20" w:after="20"/>
              <w:rPr>
                <w:sz w:val="18"/>
                <w:szCs w:val="18"/>
              </w:rPr>
            </w:pPr>
          </w:p>
        </w:tc>
        <w:tc>
          <w:tcPr>
            <w:tcW w:w="708" w:type="dxa"/>
          </w:tcPr>
          <w:p w:rsidR="00784245" w:rsidRPr="007423F7" w:rsidRDefault="00784245" w:rsidP="008B67A0">
            <w:pPr>
              <w:spacing w:before="20" w:after="20"/>
              <w:rPr>
                <w:sz w:val="18"/>
                <w:szCs w:val="18"/>
              </w:rPr>
            </w:pPr>
            <w:r w:rsidRPr="007423F7">
              <w:rPr>
                <w:sz w:val="18"/>
                <w:szCs w:val="18"/>
              </w:rPr>
              <w:t>3529</w:t>
            </w:r>
          </w:p>
        </w:tc>
        <w:tc>
          <w:tcPr>
            <w:tcW w:w="7230" w:type="dxa"/>
          </w:tcPr>
          <w:p w:rsidR="00784245" w:rsidRPr="007423F7" w:rsidRDefault="00784245" w:rsidP="008B67A0">
            <w:pPr>
              <w:spacing w:before="20" w:after="20"/>
              <w:ind w:left="164" w:hanging="164"/>
              <w:rPr>
                <w:sz w:val="18"/>
                <w:szCs w:val="18"/>
              </w:rPr>
            </w:pPr>
            <w:r w:rsidRPr="007423F7">
              <w:rPr>
                <w:sz w:val="18"/>
                <w:szCs w:val="18"/>
              </w:rPr>
              <w:t>MACHINE À COMBUSTION INTERNE FONCTIONNANT AU GAZ INFLAMMABLE</w:t>
            </w:r>
            <w:r>
              <w:rPr>
                <w:sz w:val="18"/>
                <w:szCs w:val="18"/>
              </w:rPr>
              <w:t xml:space="preserve"> ou</w:t>
            </w:r>
          </w:p>
        </w:tc>
      </w:tr>
      <w:tr w:rsidR="00784245" w:rsidRPr="007423F7" w:rsidTr="00A3535C">
        <w:trPr>
          <w:cantSplit/>
          <w:trHeight w:val="40"/>
        </w:trPr>
        <w:tc>
          <w:tcPr>
            <w:tcW w:w="709" w:type="dxa"/>
          </w:tcPr>
          <w:p w:rsidR="00784245" w:rsidRPr="007423F7" w:rsidRDefault="00784245" w:rsidP="008B67A0">
            <w:pPr>
              <w:spacing w:before="20" w:after="20"/>
              <w:rPr>
                <w:sz w:val="18"/>
                <w:szCs w:val="18"/>
              </w:rPr>
            </w:pPr>
          </w:p>
        </w:tc>
        <w:tc>
          <w:tcPr>
            <w:tcW w:w="708" w:type="dxa"/>
          </w:tcPr>
          <w:p w:rsidR="00784245" w:rsidRPr="007423F7" w:rsidRDefault="00784245" w:rsidP="008B67A0">
            <w:pPr>
              <w:spacing w:before="20" w:after="20"/>
              <w:rPr>
                <w:sz w:val="18"/>
                <w:szCs w:val="18"/>
              </w:rPr>
            </w:pPr>
            <w:r w:rsidRPr="007423F7">
              <w:rPr>
                <w:sz w:val="18"/>
                <w:szCs w:val="18"/>
              </w:rPr>
              <w:t>3529</w:t>
            </w:r>
          </w:p>
        </w:tc>
        <w:tc>
          <w:tcPr>
            <w:tcW w:w="7230" w:type="dxa"/>
          </w:tcPr>
          <w:p w:rsidR="00784245" w:rsidRPr="007423F7" w:rsidRDefault="00784245" w:rsidP="008B67A0">
            <w:pPr>
              <w:spacing w:before="20" w:after="20"/>
              <w:ind w:left="164" w:hanging="164"/>
              <w:rPr>
                <w:sz w:val="18"/>
                <w:szCs w:val="18"/>
              </w:rPr>
            </w:pPr>
            <w:r w:rsidRPr="007423F7">
              <w:rPr>
                <w:sz w:val="18"/>
                <w:szCs w:val="18"/>
              </w:rPr>
              <w:t>MACHINE PILE À COMBUSTIBLE CONTENANT DU GAZ INFLAMMABLE</w:t>
            </w:r>
          </w:p>
        </w:tc>
      </w:tr>
    </w:tbl>
    <w:p w:rsidR="00784245" w:rsidRPr="007423F7" w:rsidRDefault="00784245" w:rsidP="00061CBC">
      <w:pPr>
        <w:pStyle w:val="SingleTxtG"/>
        <w:spacing w:before="120"/>
      </w:pPr>
      <w:r w:rsidRPr="007423F7">
        <w:t>2.2.3.3</w:t>
      </w:r>
      <w:r w:rsidRPr="007423F7">
        <w:tab/>
      </w:r>
      <w:r w:rsidRPr="007423F7">
        <w:tab/>
        <w:t>Pour «F3</w:t>
      </w:r>
      <w:r w:rsidRPr="007423F7">
        <w:tab/>
        <w:t>Objets», ajouter les nouvelles rubriques suivantes:</w:t>
      </w:r>
    </w:p>
    <w:p w:rsidR="00784245" w:rsidRPr="007423F7" w:rsidRDefault="00784245" w:rsidP="00061CBC">
      <w:pPr>
        <w:pStyle w:val="SingleTxtG"/>
        <w:rPr>
          <w:bCs/>
        </w:rPr>
      </w:pPr>
      <w:r w:rsidRPr="007423F7">
        <w:rPr>
          <w:bCs/>
        </w:rPr>
        <w:t>«3528</w:t>
      </w:r>
      <w:r w:rsidRPr="007423F7">
        <w:rPr>
          <w:bCs/>
        </w:rPr>
        <w:tab/>
        <w:t>MOTEUR À COMBUSTION INTERNE FONCTIONNANT AU LIQUIDE INFLAMMABLE ou</w:t>
      </w:r>
    </w:p>
    <w:p w:rsidR="00784245" w:rsidRPr="007423F7" w:rsidRDefault="00784245" w:rsidP="00061CBC">
      <w:pPr>
        <w:pStyle w:val="SingleTxtG"/>
        <w:rPr>
          <w:bCs/>
        </w:rPr>
      </w:pPr>
      <w:r w:rsidRPr="007423F7">
        <w:rPr>
          <w:bCs/>
        </w:rPr>
        <w:t>3528 MOTEUR PILE À COMBUSTIBLE CONTENANT DU LIQUIDE INFLAMMABLE ou</w:t>
      </w:r>
    </w:p>
    <w:p w:rsidR="00784245" w:rsidRPr="007423F7" w:rsidRDefault="00784245" w:rsidP="00061CBC">
      <w:pPr>
        <w:pStyle w:val="SingleTxtG"/>
        <w:rPr>
          <w:bCs/>
        </w:rPr>
      </w:pPr>
      <w:r w:rsidRPr="007423F7">
        <w:rPr>
          <w:bCs/>
        </w:rPr>
        <w:t>3528 MACHINE À COMBUSTION INTERNE FONCTIONNANT AU LIQUIDE INFLAMMABLE ou</w:t>
      </w:r>
    </w:p>
    <w:p w:rsidR="00784245" w:rsidRPr="007423F7" w:rsidRDefault="00784245" w:rsidP="00061CBC">
      <w:pPr>
        <w:pStyle w:val="SingleTxtG"/>
        <w:rPr>
          <w:bCs/>
        </w:rPr>
      </w:pPr>
      <w:r w:rsidRPr="007423F7">
        <w:rPr>
          <w:bCs/>
        </w:rPr>
        <w:t>3528 MACHINE PILE À COMBUSTIBLE CONTENANT DU LIQUIDE INFLAMMABLE».</w:t>
      </w:r>
    </w:p>
    <w:p w:rsidR="00784245" w:rsidRPr="008A3A56" w:rsidRDefault="008A3A56" w:rsidP="00061CBC">
      <w:pPr>
        <w:pStyle w:val="SingleTxtG"/>
        <w:rPr>
          <w:lang w:val="fr-FR"/>
        </w:rPr>
      </w:pPr>
      <w:r>
        <w:t>2.2.7.2.4.1.5 b)</w:t>
      </w:r>
      <w:r>
        <w:tab/>
        <w:t>R</w:t>
      </w:r>
      <w:r w:rsidRPr="007423F7">
        <w:t>emplacer «2.2.7.2.4.5.1» par «2.2.7.2.4.5.2».</w:t>
      </w:r>
    </w:p>
    <w:p w:rsidR="008A3A56" w:rsidRPr="008A3A56" w:rsidRDefault="008A3A56" w:rsidP="00061CBC">
      <w:pPr>
        <w:pStyle w:val="SingleTxtG"/>
        <w:rPr>
          <w:lang w:val="fr-FR"/>
        </w:rPr>
      </w:pPr>
      <w:r>
        <w:t>2.2.9.1.2</w:t>
      </w:r>
      <w:r w:rsidRPr="007423F7">
        <w:tab/>
        <w:t>Pour la subdivision M11, ajouter «et objets» après «matières».</w:t>
      </w:r>
    </w:p>
    <w:p w:rsidR="008A3A56" w:rsidRPr="007423F7" w:rsidRDefault="008A3A56" w:rsidP="00061CBC">
      <w:pPr>
        <w:pStyle w:val="SingleTxtG"/>
      </w:pPr>
      <w:r w:rsidRPr="007423F7">
        <w:t>2.2.9.3</w:t>
      </w:r>
      <w:r w:rsidRPr="007423F7">
        <w:tab/>
      </w:r>
      <w:r w:rsidRPr="007423F7">
        <w:tab/>
        <w:t>Pour «M11», ajouter «et objets» après «matières», deux fois. Ajouter les nouvelles rubriques suivantes:</w:t>
      </w:r>
    </w:p>
    <w:p w:rsidR="008A3A56" w:rsidRPr="007423F7" w:rsidRDefault="008A3A56" w:rsidP="008550B4">
      <w:pPr>
        <w:pStyle w:val="SingleTxtG"/>
        <w:tabs>
          <w:tab w:val="left" w:pos="1843"/>
        </w:tabs>
        <w:rPr>
          <w:bCs/>
        </w:rPr>
      </w:pPr>
      <w:r w:rsidRPr="007423F7">
        <w:t>«3530</w:t>
      </w:r>
      <w:r w:rsidRPr="007423F7">
        <w:rPr>
          <w:sz w:val="18"/>
          <w:szCs w:val="18"/>
        </w:rPr>
        <w:tab/>
      </w:r>
      <w:r w:rsidRPr="007423F7">
        <w:rPr>
          <w:bCs/>
        </w:rPr>
        <w:t xml:space="preserve">MOTEUR À COMBUSTION INTERNE ou </w:t>
      </w:r>
    </w:p>
    <w:p w:rsidR="00784245" w:rsidRPr="008A3A56" w:rsidRDefault="008A3A56" w:rsidP="00061CBC">
      <w:pPr>
        <w:pStyle w:val="SingleTxtG"/>
        <w:rPr>
          <w:bCs/>
        </w:rPr>
      </w:pPr>
      <w:r w:rsidRPr="007423F7">
        <w:t>3530</w:t>
      </w:r>
      <w:r w:rsidRPr="007423F7">
        <w:tab/>
      </w:r>
      <w:r w:rsidRPr="007423F7">
        <w:rPr>
          <w:bCs/>
        </w:rPr>
        <w:t>MACHINE À COMBUSTION INTERNE».</w:t>
      </w:r>
    </w:p>
    <w:p w:rsidR="00061CBC" w:rsidRPr="007423F7" w:rsidRDefault="00061CBC" w:rsidP="002B61F2">
      <w:pPr>
        <w:pStyle w:val="H23G"/>
      </w:pPr>
      <w:r w:rsidRPr="007423F7">
        <w:lastRenderedPageBreak/>
        <w:tab/>
      </w:r>
      <w:r w:rsidRPr="007423F7">
        <w:tab/>
        <w:t>Chapitre 3.2, tableau A</w:t>
      </w:r>
    </w:p>
    <w:p w:rsidR="00784245" w:rsidRPr="00061CBC" w:rsidRDefault="00061CBC" w:rsidP="00061CBC">
      <w:pPr>
        <w:pStyle w:val="SingleTxtG"/>
        <w:rPr>
          <w:bCs/>
        </w:rPr>
      </w:pPr>
      <w:r w:rsidRPr="007423F7">
        <w:t>Pour les No. ONU 1361 et 3088, groupe d’emballage III, dans la colonne (6) ajouter «665».</w:t>
      </w:r>
    </w:p>
    <w:p w:rsidR="00784245" w:rsidRPr="00061CBC" w:rsidRDefault="00061CBC" w:rsidP="00061CBC">
      <w:pPr>
        <w:pStyle w:val="SingleTxtG"/>
        <w:rPr>
          <w:bCs/>
        </w:rPr>
      </w:pPr>
      <w:r w:rsidRPr="007423F7">
        <w:rPr>
          <w:lang w:val="fr-FR"/>
        </w:rPr>
        <w:t>Pour le No ONU 2022, en colonne (2), remplacer «CRÉSILIQUE» par «CRÉSYLIQUE».</w:t>
      </w:r>
    </w:p>
    <w:p w:rsidR="00061CBC" w:rsidRPr="007423F7" w:rsidRDefault="00061CBC" w:rsidP="00061CBC">
      <w:pPr>
        <w:pStyle w:val="SingleTxtG"/>
      </w:pPr>
      <w:r w:rsidRPr="007423F7">
        <w:rPr>
          <w:lang w:val="fr-FR"/>
        </w:rPr>
        <w:t>Pour le No ONU</w:t>
      </w:r>
      <w:r w:rsidRPr="007423F7">
        <w:t xml:space="preserve"> 3528, </w:t>
      </w:r>
      <w:r w:rsidRPr="007423F7">
        <w:rPr>
          <w:lang w:val="fr-FR"/>
        </w:rPr>
        <w:t>en colonne</w:t>
      </w:r>
      <w:r>
        <w:t xml:space="preserve"> (3b), ajouter</w:t>
      </w:r>
      <w:r w:rsidRPr="007423F7">
        <w:t xml:space="preserve"> «F3».</w:t>
      </w:r>
    </w:p>
    <w:p w:rsidR="00061CBC" w:rsidRPr="007423F7" w:rsidRDefault="00061CBC" w:rsidP="00061CBC">
      <w:pPr>
        <w:pStyle w:val="SingleTxtG"/>
      </w:pPr>
      <w:r w:rsidRPr="007423F7">
        <w:rPr>
          <w:lang w:val="fr-FR"/>
        </w:rPr>
        <w:t>Pour le No ONU</w:t>
      </w:r>
      <w:r w:rsidRPr="007423F7">
        <w:t xml:space="preserve"> 3529, </w:t>
      </w:r>
      <w:r w:rsidRPr="007423F7">
        <w:rPr>
          <w:lang w:val="fr-FR"/>
        </w:rPr>
        <w:t>en colonne</w:t>
      </w:r>
      <w:r>
        <w:t xml:space="preserve"> (3b), ajouter</w:t>
      </w:r>
      <w:r w:rsidRPr="007423F7">
        <w:t xml:space="preserve"> «6F».</w:t>
      </w:r>
    </w:p>
    <w:p w:rsidR="008A6307" w:rsidRDefault="00061CBC" w:rsidP="00061CBC">
      <w:pPr>
        <w:pStyle w:val="SingleTxtG"/>
      </w:pPr>
      <w:r w:rsidRPr="007423F7">
        <w:rPr>
          <w:lang w:val="fr-FR"/>
        </w:rPr>
        <w:t>Pour le No ONU</w:t>
      </w:r>
      <w:r w:rsidRPr="007423F7">
        <w:t xml:space="preserve"> 3530, </w:t>
      </w:r>
      <w:r w:rsidRPr="007423F7">
        <w:rPr>
          <w:lang w:val="fr-FR"/>
        </w:rPr>
        <w:t>en colonne</w:t>
      </w:r>
      <w:r>
        <w:t xml:space="preserve"> (3b), ajouter</w:t>
      </w:r>
      <w:r w:rsidRPr="007423F7">
        <w:t xml:space="preserve"> «M11».</w:t>
      </w:r>
    </w:p>
    <w:p w:rsidR="00061CBC" w:rsidRPr="007423F7" w:rsidRDefault="00061CBC" w:rsidP="002B61F2">
      <w:pPr>
        <w:pStyle w:val="H23G"/>
      </w:pPr>
      <w:r w:rsidRPr="007423F7">
        <w:tab/>
      </w:r>
      <w:r w:rsidRPr="007423F7">
        <w:tab/>
        <w:t>Chapitre 3.3</w:t>
      </w:r>
    </w:p>
    <w:p w:rsidR="00061CBC" w:rsidRDefault="00B06BC2" w:rsidP="00061CBC">
      <w:pPr>
        <w:pStyle w:val="SingleTxtG"/>
      </w:pPr>
      <w:r w:rsidRPr="007423F7">
        <w:t>Disposition spéciale 369</w:t>
      </w:r>
      <w:r w:rsidRPr="007423F7">
        <w:tab/>
        <w:t>Remplacer «2.2.7.2.3.6» par «2.2.7.2.3.5».</w:t>
      </w:r>
    </w:p>
    <w:p w:rsidR="00B06BC2" w:rsidRDefault="00B06BC2" w:rsidP="00061CBC">
      <w:pPr>
        <w:pStyle w:val="SingleTxtG"/>
      </w:pPr>
      <w:r w:rsidRPr="007423F7">
        <w:t>Disposition spéciale 376, à la fin, ajouter la phrase suivante: «Dans ce cas, les piles et batteries sont affectées à la catégorie de transport 0.».</w:t>
      </w:r>
    </w:p>
    <w:p w:rsidR="00B06BC2" w:rsidRDefault="00B06BC2" w:rsidP="00061CBC">
      <w:pPr>
        <w:pStyle w:val="SingleTxtG"/>
        <w:rPr>
          <w:lang w:val="fr-FR"/>
        </w:rPr>
      </w:pPr>
      <w:r w:rsidRPr="007423F7">
        <w:rPr>
          <w:lang w:val="fr-FR"/>
        </w:rPr>
        <w:t>Disposition spéciale 545</w:t>
      </w:r>
      <w:r w:rsidRPr="007423F7">
        <w:rPr>
          <w:lang w:val="fr-FR"/>
        </w:rPr>
        <w:tab/>
        <w:t>Remplacer «au moins 10% d’eau» par «moins de 10% d’eau».</w:t>
      </w:r>
    </w:p>
    <w:p w:rsidR="00B06BC2" w:rsidRPr="007423F7" w:rsidRDefault="00B06BC2" w:rsidP="00B06BC2">
      <w:pPr>
        <w:pStyle w:val="SingleTxtG"/>
      </w:pPr>
      <w:r w:rsidRPr="007423F7">
        <w:t xml:space="preserve">Ajouter </w:t>
      </w:r>
      <w:r>
        <w:t>la</w:t>
      </w:r>
      <w:r w:rsidRPr="007423F7">
        <w:t xml:space="preserve"> nouvelle dispositions spéciale </w:t>
      </w:r>
      <w:r>
        <w:t>suivante</w:t>
      </w:r>
      <w:r w:rsidRPr="007423F7">
        <w:t>:</w:t>
      </w:r>
    </w:p>
    <w:p w:rsidR="00B06BC2" w:rsidRDefault="00B06BC2" w:rsidP="00B06BC2">
      <w:pPr>
        <w:pStyle w:val="SingleTxtG"/>
      </w:pPr>
      <w:r w:rsidRPr="007423F7">
        <w:t>«665</w:t>
      </w:r>
      <w:r w:rsidRPr="007423F7">
        <w:tab/>
      </w:r>
      <w:r w:rsidRPr="007423F7">
        <w:tab/>
        <w:t>La houille, le coke et l’anthracite non-pulvérisés, remplissant les critères de classification de la classe 4.2, groupe d’emballage III, ne sont pas soumis aux prescriptions de l’AD</w:t>
      </w:r>
      <w:r w:rsidR="00A3535C">
        <w:t>N</w:t>
      </w:r>
      <w:r w:rsidRPr="007423F7">
        <w:t>.».</w:t>
      </w:r>
    </w:p>
    <w:p w:rsidR="00E53CCD" w:rsidRPr="007423F7" w:rsidRDefault="00E53CCD" w:rsidP="002B61F2">
      <w:pPr>
        <w:pStyle w:val="H23G"/>
      </w:pPr>
      <w:r w:rsidRPr="007423F7">
        <w:tab/>
      </w:r>
      <w:r w:rsidRPr="007423F7">
        <w:tab/>
        <w:t>Chapitre 5.1</w:t>
      </w:r>
    </w:p>
    <w:p w:rsidR="00E53CCD" w:rsidRPr="007423F7" w:rsidRDefault="00E53CCD" w:rsidP="00E53CCD">
      <w:pPr>
        <w:pStyle w:val="SingleTxtG"/>
      </w:pPr>
      <w:r w:rsidRPr="007423F7">
        <w:t>5.1.5.5</w:t>
      </w:r>
      <w:r w:rsidRPr="007423F7">
        <w:tab/>
        <w:t xml:space="preserve"> </w:t>
      </w:r>
      <w:r w:rsidRPr="007423F7">
        <w:tab/>
        <w:t>Mo</w:t>
      </w:r>
      <w:r>
        <w:t>difier le tableau comme suit:</w:t>
      </w:r>
    </w:p>
    <w:p w:rsidR="00E53CCD" w:rsidRPr="007423F7" w:rsidRDefault="00E53CCD" w:rsidP="001A61FB">
      <w:pPr>
        <w:pStyle w:val="SingleTxtG"/>
      </w:pPr>
      <w:r w:rsidRPr="007423F7">
        <w:t xml:space="preserve">Ajouter </w:t>
      </w:r>
      <w:r>
        <w:t>les nouvelles lignes suivantes:</w:t>
      </w:r>
    </w:p>
    <w:tbl>
      <w:tblPr>
        <w:tblW w:w="7721" w:type="dxa"/>
        <w:tblInd w:w="1134" w:type="dxa"/>
        <w:tblLayout w:type="fixed"/>
        <w:tblCellMar>
          <w:left w:w="66" w:type="dxa"/>
          <w:right w:w="66" w:type="dxa"/>
        </w:tblCellMar>
        <w:tblLook w:val="0000" w:firstRow="0" w:lastRow="0" w:firstColumn="0" w:lastColumn="0" w:noHBand="0" w:noVBand="0"/>
      </w:tblPr>
      <w:tblGrid>
        <w:gridCol w:w="2693"/>
        <w:gridCol w:w="709"/>
        <w:gridCol w:w="708"/>
        <w:gridCol w:w="1134"/>
        <w:gridCol w:w="918"/>
        <w:gridCol w:w="1559"/>
      </w:tblGrid>
      <w:tr w:rsidR="00E53CCD" w:rsidRPr="007423F7" w:rsidTr="001A61FB">
        <w:trPr>
          <w:cantSplit/>
        </w:trPr>
        <w:tc>
          <w:tcPr>
            <w:tcW w:w="2693" w:type="dxa"/>
            <w:tcBorders>
              <w:top w:val="single" w:sz="6" w:space="0" w:color="auto"/>
              <w:left w:val="single" w:sz="6" w:space="0" w:color="auto"/>
              <w:bottom w:val="single" w:sz="6" w:space="0" w:color="auto"/>
            </w:tcBorders>
          </w:tcPr>
          <w:p w:rsidR="00E53CCD" w:rsidRPr="007423F7" w:rsidRDefault="00E53CCD" w:rsidP="008B67A0">
            <w:pPr>
              <w:keepNext/>
              <w:tabs>
                <w:tab w:val="left" w:pos="218"/>
              </w:tabs>
              <w:spacing w:before="20" w:after="20"/>
            </w:pPr>
            <w:r w:rsidRPr="007423F7">
              <w:t>Limites alternatives d’activités pour un envoi exempté portant sur des appareils ou des objets</w:t>
            </w:r>
          </w:p>
        </w:tc>
        <w:tc>
          <w:tcPr>
            <w:tcW w:w="709"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w:t>
            </w:r>
          </w:p>
        </w:tc>
        <w:tc>
          <w:tcPr>
            <w:tcW w:w="708"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Oui</w:t>
            </w:r>
          </w:p>
        </w:tc>
        <w:tc>
          <w:tcPr>
            <w:tcW w:w="1134"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Oui</w:t>
            </w:r>
          </w:p>
        </w:tc>
        <w:tc>
          <w:tcPr>
            <w:tcW w:w="918"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Non</w:t>
            </w:r>
          </w:p>
        </w:tc>
        <w:tc>
          <w:tcPr>
            <w:tcW w:w="1559" w:type="dxa"/>
            <w:tcBorders>
              <w:top w:val="single" w:sz="6" w:space="0" w:color="auto"/>
              <w:left w:val="single" w:sz="6" w:space="0" w:color="auto"/>
              <w:bottom w:val="single" w:sz="6" w:space="0" w:color="auto"/>
              <w:right w:val="single" w:sz="6" w:space="0" w:color="auto"/>
            </w:tcBorders>
          </w:tcPr>
          <w:p w:rsidR="00E53CCD" w:rsidRPr="007423F7" w:rsidRDefault="00E53CCD" w:rsidP="008B67A0">
            <w:pPr>
              <w:keepNext/>
              <w:spacing w:before="20" w:after="20"/>
              <w:jc w:val="center"/>
            </w:pPr>
            <w:r w:rsidRPr="007423F7">
              <w:t xml:space="preserve">5.1.5.2.1e), </w:t>
            </w:r>
            <w:r w:rsidRPr="007423F7">
              <w:br/>
              <w:t>6.4.22.7</w:t>
            </w:r>
            <w:r w:rsidR="00A3535C">
              <w:t xml:space="preserve"> (ADR)</w:t>
            </w:r>
          </w:p>
        </w:tc>
      </w:tr>
      <w:tr w:rsidR="00E53CCD" w:rsidRPr="007423F7" w:rsidTr="001A61FB">
        <w:trPr>
          <w:cantSplit/>
        </w:trPr>
        <w:tc>
          <w:tcPr>
            <w:tcW w:w="2693" w:type="dxa"/>
            <w:tcBorders>
              <w:top w:val="single" w:sz="6" w:space="0" w:color="auto"/>
              <w:left w:val="single" w:sz="6" w:space="0" w:color="auto"/>
              <w:bottom w:val="single" w:sz="6" w:space="0" w:color="auto"/>
            </w:tcBorders>
          </w:tcPr>
          <w:p w:rsidR="00E53CCD" w:rsidRPr="007423F7" w:rsidRDefault="00E53CCD" w:rsidP="008B67A0">
            <w:pPr>
              <w:keepNext/>
              <w:spacing w:before="20" w:after="20"/>
            </w:pPr>
            <w:r w:rsidRPr="007423F7">
              <w:t xml:space="preserve">Matières fissiles exceptées </w:t>
            </w:r>
            <w:r>
              <w:t xml:space="preserve">conformément au 2.2.7.2.3.5 </w:t>
            </w:r>
            <w:r w:rsidRPr="007423F7">
              <w:t>f)</w:t>
            </w:r>
          </w:p>
        </w:tc>
        <w:tc>
          <w:tcPr>
            <w:tcW w:w="709"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w:t>
            </w:r>
          </w:p>
        </w:tc>
        <w:tc>
          <w:tcPr>
            <w:tcW w:w="708"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Oui</w:t>
            </w:r>
          </w:p>
        </w:tc>
        <w:tc>
          <w:tcPr>
            <w:tcW w:w="1134"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Oui</w:t>
            </w:r>
          </w:p>
        </w:tc>
        <w:tc>
          <w:tcPr>
            <w:tcW w:w="918" w:type="dxa"/>
            <w:tcBorders>
              <w:top w:val="single" w:sz="6" w:space="0" w:color="auto"/>
              <w:left w:val="single" w:sz="6" w:space="0" w:color="auto"/>
              <w:bottom w:val="single" w:sz="6" w:space="0" w:color="auto"/>
            </w:tcBorders>
          </w:tcPr>
          <w:p w:rsidR="00E53CCD" w:rsidRPr="007423F7" w:rsidRDefault="00E53CCD" w:rsidP="008B67A0">
            <w:pPr>
              <w:keepNext/>
              <w:spacing w:before="20" w:after="20"/>
              <w:jc w:val="center"/>
            </w:pPr>
            <w:r w:rsidRPr="007423F7">
              <w:t>Non</w:t>
            </w:r>
          </w:p>
        </w:tc>
        <w:tc>
          <w:tcPr>
            <w:tcW w:w="1559" w:type="dxa"/>
            <w:tcBorders>
              <w:top w:val="single" w:sz="6" w:space="0" w:color="auto"/>
              <w:left w:val="single" w:sz="6" w:space="0" w:color="auto"/>
              <w:bottom w:val="single" w:sz="6" w:space="0" w:color="auto"/>
              <w:right w:val="single" w:sz="6" w:space="0" w:color="auto"/>
            </w:tcBorders>
          </w:tcPr>
          <w:p w:rsidR="00E53CCD" w:rsidRPr="007423F7" w:rsidRDefault="00E53CCD" w:rsidP="008B67A0">
            <w:pPr>
              <w:keepNext/>
              <w:spacing w:before="20" w:after="20"/>
              <w:jc w:val="center"/>
            </w:pPr>
            <w:r w:rsidRPr="007423F7">
              <w:t>5.1.5.2.1 a) iii),</w:t>
            </w:r>
            <w:r w:rsidRPr="007423F7">
              <w:br/>
              <w:t>6.4.22.6</w:t>
            </w:r>
            <w:r w:rsidR="00A3535C">
              <w:t xml:space="preserve"> (ADR)</w:t>
            </w:r>
          </w:p>
        </w:tc>
      </w:tr>
    </w:tbl>
    <w:p w:rsidR="00E53CCD" w:rsidRPr="007423F7" w:rsidRDefault="00E53CCD" w:rsidP="001A61FB">
      <w:pPr>
        <w:pStyle w:val="SingleTxtG"/>
        <w:spacing w:before="120"/>
      </w:pPr>
      <w:r w:rsidRPr="007423F7">
        <w:t>Dans la première ligne (Calcul des valeurs A</w:t>
      </w:r>
      <w:r w:rsidRPr="007423F7">
        <w:rPr>
          <w:vertAlign w:val="subscript"/>
        </w:rPr>
        <w:t>1</w:t>
      </w:r>
      <w:r w:rsidRPr="007423F7">
        <w:t xml:space="preserve"> and A</w:t>
      </w:r>
      <w:r w:rsidRPr="007423F7">
        <w:rPr>
          <w:vertAlign w:val="subscript"/>
        </w:rPr>
        <w:t xml:space="preserve">2 </w:t>
      </w:r>
      <w:r w:rsidRPr="007423F7">
        <w:t>non mentionnées), dans la dernière col</w:t>
      </w:r>
      <w:r w:rsidR="005B645E">
        <w:t xml:space="preserve">onne, insérer «2.2.7.2.2.2 a), </w:t>
      </w:r>
      <w:r w:rsidRPr="007423F7">
        <w:t>5.1.5.2.1 d)».</w:t>
      </w:r>
    </w:p>
    <w:p w:rsidR="00E53CCD" w:rsidRPr="007423F7" w:rsidRDefault="00E53CCD" w:rsidP="001A61FB">
      <w:pPr>
        <w:pStyle w:val="SingleTxtG"/>
      </w:pPr>
      <w:r w:rsidRPr="007423F7">
        <w:t>Dans la dixième ligne (Matière radioactive faiblement dispersable), dans la dernière colonne, remplacer «6.4.22.3» par «6.4.22.5».</w:t>
      </w:r>
    </w:p>
    <w:p w:rsidR="00E53CCD" w:rsidRDefault="00E53CCD" w:rsidP="001A61FB">
      <w:pPr>
        <w:pStyle w:val="SingleTxtG"/>
      </w:pPr>
      <w:r w:rsidRPr="007423F7">
        <w:t>Dans la treizième ligne (Modèles de colis approuvés soumis aux mesures transitoires), dans la dernière colonne, supprimer «1.6.6.1,» et insérer «, 6.4.22.9</w:t>
      </w:r>
      <w:r w:rsidR="00A3535C">
        <w:t xml:space="preserve"> (ADR)</w:t>
      </w:r>
      <w:r w:rsidRPr="007423F7">
        <w:t>» à la fin.</w:t>
      </w:r>
    </w:p>
    <w:p w:rsidR="00E53CCD" w:rsidRPr="007423F7" w:rsidRDefault="00E53CCD" w:rsidP="002B61F2">
      <w:pPr>
        <w:pStyle w:val="H23G"/>
      </w:pPr>
      <w:r w:rsidRPr="007423F7">
        <w:tab/>
      </w:r>
      <w:r w:rsidRPr="007423F7">
        <w:tab/>
        <w:t xml:space="preserve">Chapitre 5.4 </w:t>
      </w:r>
    </w:p>
    <w:p w:rsidR="00E53CCD" w:rsidRPr="007423F7" w:rsidRDefault="00E53CCD" w:rsidP="00E53CCD">
      <w:pPr>
        <w:pStyle w:val="SingleTxtG"/>
        <w:tabs>
          <w:tab w:val="left" w:pos="1985"/>
        </w:tabs>
      </w:pPr>
      <w:r w:rsidRPr="007423F7">
        <w:t xml:space="preserve">5.4.3.5 </w:t>
      </w:r>
      <w:r w:rsidRPr="007423F7">
        <w:tab/>
        <w:t>Ajouter le nouveau paragraphe suivant:</w:t>
      </w:r>
    </w:p>
    <w:p w:rsidR="00E53CCD" w:rsidRPr="00061CBC" w:rsidRDefault="00E53CCD" w:rsidP="00E53CCD">
      <w:pPr>
        <w:pStyle w:val="SingleTxtG"/>
        <w:rPr>
          <w:bCs/>
        </w:rPr>
      </w:pPr>
      <w:r w:rsidRPr="007423F7">
        <w:t xml:space="preserve">«5.4.3.5 </w:t>
      </w:r>
      <w:r w:rsidRPr="007423F7">
        <w:tab/>
        <w:t>Les Parties contractantes doivent fournir au secrétariat de la CEE-ONU la traduction officielle des consignes écrites dans leur(s) langue(s) national(es), en application de la présente section. Le secrétariat de la CEE-ONU met les versions nationales des consignes écrites qu’il a reçues à la disposition de toutes les Parties contractantes.».</w:t>
      </w:r>
    </w:p>
    <w:p w:rsidR="008D0723" w:rsidRPr="005E0DC6" w:rsidRDefault="00D440EE" w:rsidP="00D440EE">
      <w:pPr>
        <w:spacing w:before="240"/>
        <w:ind w:left="1134" w:right="1134"/>
        <w:jc w:val="center"/>
        <w:rPr>
          <w:u w:val="single"/>
        </w:rPr>
      </w:pPr>
      <w:r w:rsidRPr="005E0DC6">
        <w:rPr>
          <w:u w:val="single"/>
        </w:rPr>
        <w:tab/>
      </w:r>
      <w:r w:rsidRPr="005E0DC6">
        <w:rPr>
          <w:u w:val="single"/>
        </w:rPr>
        <w:tab/>
      </w:r>
      <w:r w:rsidRPr="005E0DC6">
        <w:rPr>
          <w:u w:val="single"/>
        </w:rPr>
        <w:tab/>
      </w:r>
    </w:p>
    <w:sectPr w:rsidR="008D0723" w:rsidRPr="005E0DC6"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2575AC">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2575AC">
      <w:rPr>
        <w:b/>
        <w:noProof/>
        <w:sz w:val="18"/>
      </w:rPr>
      <w:t>7</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502CA8" w:rsidRPr="00502CA8" w:rsidRDefault="00502CA8" w:rsidP="00502CA8">
      <w:pPr>
        <w:pStyle w:val="FootnoteText"/>
        <w:widowControl w:val="0"/>
        <w:tabs>
          <w:tab w:val="clear" w:pos="1021"/>
          <w:tab w:val="right" w:pos="1020"/>
        </w:tabs>
      </w:pPr>
      <w:r>
        <w:tab/>
      </w:r>
      <w:r>
        <w:rPr>
          <w:rStyle w:val="FootnoteReference"/>
        </w:rPr>
        <w:footnoteRef/>
      </w:r>
      <w:r w:rsidRPr="00502CA8">
        <w:tab/>
      </w:r>
      <w:r w:rsidRPr="00F337B3">
        <w:t xml:space="preserve">Diffusé en langue </w:t>
      </w:r>
      <w:r w:rsidRPr="00D64213">
        <w:t>allemande</w:t>
      </w:r>
      <w:r w:rsidRPr="00F337B3">
        <w:t xml:space="preserve"> par la Commission centrale pour la navigation du Rhin sous la cote</w:t>
      </w:r>
      <w:r>
        <w:t xml:space="preserve"> CCNR/ZKR/ADN/WP.15/AC.2/2016/28</w:t>
      </w:r>
      <w:r w:rsidRPr="00F337B3">
        <w:rPr>
          <w:noProof/>
        </w:rPr>
        <w:t>.</w:t>
      </w:r>
    </w:p>
  </w:footnote>
  <w:footnote w:id="3">
    <w:p w:rsidR="00502CA8" w:rsidRPr="00502CA8" w:rsidRDefault="00502CA8" w:rsidP="00502CA8">
      <w:pPr>
        <w:pStyle w:val="FootnoteText"/>
        <w:widowControl w:val="0"/>
        <w:tabs>
          <w:tab w:val="clear" w:pos="1021"/>
          <w:tab w:val="right" w:pos="1020"/>
        </w:tabs>
      </w:pPr>
      <w:r w:rsidRPr="00502CA8">
        <w:tab/>
      </w:r>
      <w:r>
        <w:rPr>
          <w:rStyle w:val="FootnoteReference"/>
        </w:rPr>
        <w:footnoteRef/>
      </w:r>
      <w:r w:rsidRPr="00502CA8">
        <w:tab/>
      </w:r>
      <w: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FF1E43">
      <w:rPr>
        <w:lang w:val="en-GB"/>
      </w:rPr>
      <w:t>2</w:t>
    </w:r>
    <w:r w:rsidR="004A4B22">
      <w:rPr>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Pr>
        <w:lang w:val="en-GB"/>
      </w:rPr>
      <w:t>2/2016/</w:t>
    </w:r>
    <w:r w:rsidR="004A4B22">
      <w:rPr>
        <w:lang w:val="en-GB"/>
      </w:rPr>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2"/>
  </w:num>
  <w:num w:numId="3">
    <w:abstractNumId w:val="0"/>
  </w:num>
  <w:num w:numId="4">
    <w:abstractNumId w:val="3"/>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6CF1"/>
    <w:rsid w:val="000472A1"/>
    <w:rsid w:val="000507A8"/>
    <w:rsid w:val="00051A95"/>
    <w:rsid w:val="00056E8F"/>
    <w:rsid w:val="0006085A"/>
    <w:rsid w:val="00061CBC"/>
    <w:rsid w:val="0006415C"/>
    <w:rsid w:val="000643B7"/>
    <w:rsid w:val="00066716"/>
    <w:rsid w:val="00071432"/>
    <w:rsid w:val="000758B9"/>
    <w:rsid w:val="00081790"/>
    <w:rsid w:val="000828C8"/>
    <w:rsid w:val="00091D54"/>
    <w:rsid w:val="00094EF2"/>
    <w:rsid w:val="000963EA"/>
    <w:rsid w:val="000964C7"/>
    <w:rsid w:val="000A49E0"/>
    <w:rsid w:val="000A7EC2"/>
    <w:rsid w:val="000B0429"/>
    <w:rsid w:val="000B1105"/>
    <w:rsid w:val="000B34CA"/>
    <w:rsid w:val="000C0699"/>
    <w:rsid w:val="000D7E12"/>
    <w:rsid w:val="000E68FB"/>
    <w:rsid w:val="000F0CDA"/>
    <w:rsid w:val="000F41F2"/>
    <w:rsid w:val="00104ADE"/>
    <w:rsid w:val="00114946"/>
    <w:rsid w:val="00115943"/>
    <w:rsid w:val="00127A72"/>
    <w:rsid w:val="0013180D"/>
    <w:rsid w:val="00135C0D"/>
    <w:rsid w:val="0013653F"/>
    <w:rsid w:val="00143574"/>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A20FB"/>
    <w:rsid w:val="001A37C7"/>
    <w:rsid w:val="001A61FB"/>
    <w:rsid w:val="001A73B7"/>
    <w:rsid w:val="001B6AF6"/>
    <w:rsid w:val="001B6F40"/>
    <w:rsid w:val="001C4BBB"/>
    <w:rsid w:val="001C7508"/>
    <w:rsid w:val="001D7DF9"/>
    <w:rsid w:val="001D7F8A"/>
    <w:rsid w:val="001E3FEB"/>
    <w:rsid w:val="001E4A02"/>
    <w:rsid w:val="001F3CC1"/>
    <w:rsid w:val="001F412D"/>
    <w:rsid w:val="001F5816"/>
    <w:rsid w:val="00203B6A"/>
    <w:rsid w:val="002041A8"/>
    <w:rsid w:val="0020607F"/>
    <w:rsid w:val="002069D5"/>
    <w:rsid w:val="00216861"/>
    <w:rsid w:val="0022098E"/>
    <w:rsid w:val="0022197A"/>
    <w:rsid w:val="00223B89"/>
    <w:rsid w:val="00225A8C"/>
    <w:rsid w:val="00232C61"/>
    <w:rsid w:val="0023674C"/>
    <w:rsid w:val="002400B6"/>
    <w:rsid w:val="002403AA"/>
    <w:rsid w:val="002575AC"/>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B61F2"/>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4D3C"/>
    <w:rsid w:val="003A656C"/>
    <w:rsid w:val="003B23E8"/>
    <w:rsid w:val="003B6B20"/>
    <w:rsid w:val="003C322F"/>
    <w:rsid w:val="003C3A75"/>
    <w:rsid w:val="003C5C5B"/>
    <w:rsid w:val="003D1DF3"/>
    <w:rsid w:val="003D46A7"/>
    <w:rsid w:val="003D6C68"/>
    <w:rsid w:val="003D76E4"/>
    <w:rsid w:val="003E604A"/>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6E96"/>
    <w:rsid w:val="00491EC7"/>
    <w:rsid w:val="0049374F"/>
    <w:rsid w:val="00497A70"/>
    <w:rsid w:val="004A324B"/>
    <w:rsid w:val="004A331B"/>
    <w:rsid w:val="004A3778"/>
    <w:rsid w:val="004A4B22"/>
    <w:rsid w:val="004A5C90"/>
    <w:rsid w:val="004B154F"/>
    <w:rsid w:val="004D0EB7"/>
    <w:rsid w:val="004D53B7"/>
    <w:rsid w:val="004E1AC3"/>
    <w:rsid w:val="004E551E"/>
    <w:rsid w:val="00502CA8"/>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85A6B"/>
    <w:rsid w:val="0059410B"/>
    <w:rsid w:val="00595BE4"/>
    <w:rsid w:val="00595C56"/>
    <w:rsid w:val="005A041A"/>
    <w:rsid w:val="005B645E"/>
    <w:rsid w:val="005B738F"/>
    <w:rsid w:val="005B76A3"/>
    <w:rsid w:val="005C6014"/>
    <w:rsid w:val="005E0DC6"/>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377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1B66"/>
    <w:rsid w:val="00766A94"/>
    <w:rsid w:val="007673E8"/>
    <w:rsid w:val="00780EAE"/>
    <w:rsid w:val="007811F7"/>
    <w:rsid w:val="007817A1"/>
    <w:rsid w:val="007820F2"/>
    <w:rsid w:val="00783F37"/>
    <w:rsid w:val="00784245"/>
    <w:rsid w:val="007904AF"/>
    <w:rsid w:val="00790F2F"/>
    <w:rsid w:val="00795138"/>
    <w:rsid w:val="007A6076"/>
    <w:rsid w:val="007B1AD5"/>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550B4"/>
    <w:rsid w:val="00860C9D"/>
    <w:rsid w:val="00871051"/>
    <w:rsid w:val="008749A0"/>
    <w:rsid w:val="00883D70"/>
    <w:rsid w:val="00884E9C"/>
    <w:rsid w:val="008901C1"/>
    <w:rsid w:val="008A3A56"/>
    <w:rsid w:val="008A6307"/>
    <w:rsid w:val="008B44C4"/>
    <w:rsid w:val="008B7879"/>
    <w:rsid w:val="008C1BBA"/>
    <w:rsid w:val="008C2211"/>
    <w:rsid w:val="008C7684"/>
    <w:rsid w:val="008D0723"/>
    <w:rsid w:val="008D0C3F"/>
    <w:rsid w:val="008D1AC7"/>
    <w:rsid w:val="008D3919"/>
    <w:rsid w:val="008E0B16"/>
    <w:rsid w:val="008E3F2C"/>
    <w:rsid w:val="008E5107"/>
    <w:rsid w:val="008E7FAE"/>
    <w:rsid w:val="008F0E80"/>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3535C"/>
    <w:rsid w:val="00A41235"/>
    <w:rsid w:val="00A44CBA"/>
    <w:rsid w:val="00A45EBB"/>
    <w:rsid w:val="00A6502C"/>
    <w:rsid w:val="00A70163"/>
    <w:rsid w:val="00A71439"/>
    <w:rsid w:val="00A73DB7"/>
    <w:rsid w:val="00A778A5"/>
    <w:rsid w:val="00A80554"/>
    <w:rsid w:val="00A8674A"/>
    <w:rsid w:val="00A86837"/>
    <w:rsid w:val="00A963DD"/>
    <w:rsid w:val="00AA0176"/>
    <w:rsid w:val="00AA3C96"/>
    <w:rsid w:val="00AA72C3"/>
    <w:rsid w:val="00AB0475"/>
    <w:rsid w:val="00AB6447"/>
    <w:rsid w:val="00AC67A1"/>
    <w:rsid w:val="00AC7977"/>
    <w:rsid w:val="00AD1E14"/>
    <w:rsid w:val="00AD3F23"/>
    <w:rsid w:val="00AE352C"/>
    <w:rsid w:val="00AE4F08"/>
    <w:rsid w:val="00AE5E87"/>
    <w:rsid w:val="00AE69A8"/>
    <w:rsid w:val="00AE7BCA"/>
    <w:rsid w:val="00AF1446"/>
    <w:rsid w:val="00AF2F6F"/>
    <w:rsid w:val="00B06BC2"/>
    <w:rsid w:val="00B07DE2"/>
    <w:rsid w:val="00B11444"/>
    <w:rsid w:val="00B255B8"/>
    <w:rsid w:val="00B278CF"/>
    <w:rsid w:val="00B30CFB"/>
    <w:rsid w:val="00B3131C"/>
    <w:rsid w:val="00B318CC"/>
    <w:rsid w:val="00B32A61"/>
    <w:rsid w:val="00B32E2D"/>
    <w:rsid w:val="00B357CC"/>
    <w:rsid w:val="00B35B4C"/>
    <w:rsid w:val="00B3753A"/>
    <w:rsid w:val="00B37895"/>
    <w:rsid w:val="00B438C5"/>
    <w:rsid w:val="00B4466B"/>
    <w:rsid w:val="00B44F0F"/>
    <w:rsid w:val="00B52107"/>
    <w:rsid w:val="00B61990"/>
    <w:rsid w:val="00B62922"/>
    <w:rsid w:val="00B64B1C"/>
    <w:rsid w:val="00B64C87"/>
    <w:rsid w:val="00B6602A"/>
    <w:rsid w:val="00B66CB6"/>
    <w:rsid w:val="00B7107E"/>
    <w:rsid w:val="00B77126"/>
    <w:rsid w:val="00B85D99"/>
    <w:rsid w:val="00B924CA"/>
    <w:rsid w:val="00B936CC"/>
    <w:rsid w:val="00B93E72"/>
    <w:rsid w:val="00B94939"/>
    <w:rsid w:val="00BA0ABA"/>
    <w:rsid w:val="00BC5D40"/>
    <w:rsid w:val="00BC6537"/>
    <w:rsid w:val="00BD0B53"/>
    <w:rsid w:val="00BD50B3"/>
    <w:rsid w:val="00BD5B50"/>
    <w:rsid w:val="00BE3741"/>
    <w:rsid w:val="00BF0556"/>
    <w:rsid w:val="00BF06B0"/>
    <w:rsid w:val="00BF47BD"/>
    <w:rsid w:val="00BF505B"/>
    <w:rsid w:val="00C0071F"/>
    <w:rsid w:val="00C00C2A"/>
    <w:rsid w:val="00C1607E"/>
    <w:rsid w:val="00C218FD"/>
    <w:rsid w:val="00C2232D"/>
    <w:rsid w:val="00C24B53"/>
    <w:rsid w:val="00C261F8"/>
    <w:rsid w:val="00C33100"/>
    <w:rsid w:val="00C34C11"/>
    <w:rsid w:val="00C358CC"/>
    <w:rsid w:val="00C36AD1"/>
    <w:rsid w:val="00C4302B"/>
    <w:rsid w:val="00C45121"/>
    <w:rsid w:val="00C51BB4"/>
    <w:rsid w:val="00C53F4B"/>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1B17"/>
    <w:rsid w:val="00D202EA"/>
    <w:rsid w:val="00D218FC"/>
    <w:rsid w:val="00D27297"/>
    <w:rsid w:val="00D27D5E"/>
    <w:rsid w:val="00D34270"/>
    <w:rsid w:val="00D40906"/>
    <w:rsid w:val="00D41B47"/>
    <w:rsid w:val="00D428F9"/>
    <w:rsid w:val="00D440EE"/>
    <w:rsid w:val="00D45452"/>
    <w:rsid w:val="00D47F24"/>
    <w:rsid w:val="00D52A86"/>
    <w:rsid w:val="00D60301"/>
    <w:rsid w:val="00D7219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7FA3"/>
    <w:rsid w:val="00E11BBC"/>
    <w:rsid w:val="00E1236D"/>
    <w:rsid w:val="00E15EC6"/>
    <w:rsid w:val="00E22F40"/>
    <w:rsid w:val="00E53CCD"/>
    <w:rsid w:val="00E53D77"/>
    <w:rsid w:val="00E5407C"/>
    <w:rsid w:val="00E55D71"/>
    <w:rsid w:val="00E60E30"/>
    <w:rsid w:val="00E6288C"/>
    <w:rsid w:val="00E653A2"/>
    <w:rsid w:val="00E65B70"/>
    <w:rsid w:val="00E6627D"/>
    <w:rsid w:val="00E73AEE"/>
    <w:rsid w:val="00E74F8B"/>
    <w:rsid w:val="00E81E94"/>
    <w:rsid w:val="00E82607"/>
    <w:rsid w:val="00E876EC"/>
    <w:rsid w:val="00E87C4C"/>
    <w:rsid w:val="00E90A2D"/>
    <w:rsid w:val="00E95AF8"/>
    <w:rsid w:val="00E97EE2"/>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35A1F"/>
    <w:rsid w:val="00F42AEB"/>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17D86E7E"/>
  <w15:docId w15:val="{8BC98AB7-9E02-4296-B926-9C64A9A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qFormat/>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HTMLPreformatted">
    <w:name w:val="HTML Preformatted"/>
    <w:basedOn w:val="Normal"/>
    <w:link w:val="HTMLPreformattedChar"/>
    <w:uiPriority w:val="99"/>
    <w:semiHidden/>
    <w:unhideWhenUsed/>
    <w:rsid w:val="000B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B11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 w:id="2026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2596-052A-4293-ACEA-64183465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2797</TotalTime>
  <Pages>8</Pages>
  <Words>2488</Words>
  <Characters>14184</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52</cp:revision>
  <cp:lastPrinted>2016-06-07T15:50:00Z</cp:lastPrinted>
  <dcterms:created xsi:type="dcterms:W3CDTF">2016-06-06T08:36:00Z</dcterms:created>
  <dcterms:modified xsi:type="dcterms:W3CDTF">2016-06-09T13:00:00Z</dcterms:modified>
</cp:coreProperties>
</file>