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EB" w:rsidRPr="000D55FF" w:rsidRDefault="007D23EB" w:rsidP="00F01848">
      <w:pPr>
        <w:spacing w:line="240" w:lineRule="auto"/>
        <w:ind w:left="5387" w:right="-286"/>
        <w:outlineLvl w:val="0"/>
        <w:rPr>
          <w:rFonts w:ascii="Arial" w:eastAsia="Arial" w:hAnsi="Arial" w:cs="Arial"/>
          <w:bCs/>
          <w:szCs w:val="24"/>
          <w:lang w:val="en-US" w:eastAsia="de-DE"/>
        </w:rPr>
      </w:pPr>
      <w:bookmarkStart w:id="0" w:name="_GoBack"/>
      <w:bookmarkEnd w:id="0"/>
      <w:r w:rsidRPr="00BB289D">
        <w:rPr>
          <w:rFonts w:ascii="Arial" w:hAnsi="Arial"/>
          <w:noProof/>
          <w:lang w:eastAsia="en-GB"/>
        </w:rPr>
        <w:drawing>
          <wp:anchor distT="0" distB="0" distL="114300" distR="114300" simplePos="0" relativeHeight="251659264" behindDoc="0" locked="0" layoutInCell="1" allowOverlap="1" wp14:anchorId="61057DA2" wp14:editId="2AB1874B">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0D55FF">
        <w:rPr>
          <w:rFonts w:ascii="Arial" w:eastAsia="Arial" w:hAnsi="Arial" w:cs="Arial"/>
          <w:bCs/>
          <w:szCs w:val="24"/>
          <w:lang w:val="en-US" w:eastAsia="de-DE"/>
        </w:rPr>
        <w:t>CCNR-</w:t>
      </w:r>
      <w:r w:rsidR="001A0536">
        <w:rPr>
          <w:rFonts w:ascii="Arial" w:eastAsia="Arial" w:hAnsi="Arial" w:cs="Arial"/>
          <w:bCs/>
          <w:szCs w:val="24"/>
          <w:lang w:val="en-US" w:eastAsia="de-DE"/>
        </w:rPr>
        <w:t>ZKR/ADN/WP.15/AC.2/2016/23</w:t>
      </w:r>
    </w:p>
    <w:p w:rsidR="007D23EB" w:rsidRPr="00BB289D" w:rsidRDefault="007D23EB" w:rsidP="00F01848">
      <w:pPr>
        <w:spacing w:line="240" w:lineRule="auto"/>
        <w:ind w:left="5387" w:right="-286"/>
        <w:outlineLvl w:val="0"/>
        <w:rPr>
          <w:rFonts w:ascii="Arial" w:hAnsi="Arial" w:cs="Arial"/>
          <w:sz w:val="16"/>
          <w:szCs w:val="24"/>
          <w:lang w:val="de-DE" w:eastAsia="de-DE"/>
        </w:rPr>
      </w:pPr>
      <w:r w:rsidRPr="00BB289D">
        <w:rPr>
          <w:rFonts w:ascii="Arial" w:hAnsi="Arial" w:cs="Arial"/>
          <w:sz w:val="16"/>
          <w:szCs w:val="24"/>
          <w:lang w:val="de-DE" w:eastAsia="de-DE"/>
        </w:rPr>
        <w:t>Allgemeine Verteilung</w:t>
      </w:r>
    </w:p>
    <w:p w:rsidR="007D23EB" w:rsidRPr="00BB289D" w:rsidRDefault="007D23EB" w:rsidP="00F01848">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3</w:t>
      </w:r>
      <w:r w:rsidRPr="00BB289D">
        <w:rPr>
          <w:rFonts w:ascii="Arial" w:eastAsia="Arial" w:hAnsi="Arial" w:cs="Arial"/>
          <w:szCs w:val="24"/>
          <w:lang w:val="de-DE" w:eastAsia="de-DE"/>
        </w:rPr>
        <w:t>. November 2015</w:t>
      </w:r>
    </w:p>
    <w:p w:rsidR="007D23EB" w:rsidRDefault="007D23EB" w:rsidP="00F01848">
      <w:pPr>
        <w:tabs>
          <w:tab w:val="right" w:pos="3856"/>
          <w:tab w:val="left" w:pos="5670"/>
        </w:tabs>
        <w:spacing w:line="240" w:lineRule="auto"/>
        <w:ind w:left="5387" w:right="565"/>
        <w:rPr>
          <w:rFonts w:ascii="Arial" w:eastAsia="Arial" w:hAnsi="Arial" w:cs="Arial"/>
          <w:sz w:val="16"/>
          <w:szCs w:val="24"/>
          <w:lang w:val="de-DE" w:eastAsia="de-DE"/>
        </w:rPr>
      </w:pPr>
      <w:r w:rsidRPr="00BB289D">
        <w:rPr>
          <w:rFonts w:ascii="Arial" w:eastAsia="Arial" w:hAnsi="Arial" w:cs="Arial"/>
          <w:sz w:val="16"/>
          <w:szCs w:val="24"/>
          <w:lang w:val="de-DE" w:eastAsia="de-DE"/>
        </w:rPr>
        <w:t>Or.  ENGLISCH</w:t>
      </w:r>
    </w:p>
    <w:p w:rsidR="007D23EB" w:rsidRDefault="007D23EB" w:rsidP="00F01848">
      <w:pPr>
        <w:tabs>
          <w:tab w:val="right" w:pos="3856"/>
          <w:tab w:val="left" w:pos="5670"/>
        </w:tabs>
        <w:spacing w:line="240" w:lineRule="auto"/>
        <w:ind w:left="5387" w:right="565"/>
        <w:rPr>
          <w:rFonts w:ascii="Arial" w:eastAsia="Arial" w:hAnsi="Arial" w:cs="Arial"/>
          <w:sz w:val="16"/>
          <w:szCs w:val="24"/>
          <w:lang w:val="de-DE" w:eastAsia="de-DE"/>
        </w:rPr>
      </w:pPr>
    </w:p>
    <w:p w:rsidR="007D23EB" w:rsidRPr="00BB289D" w:rsidRDefault="007D23EB" w:rsidP="00F01848">
      <w:pPr>
        <w:tabs>
          <w:tab w:val="right" w:pos="3856"/>
          <w:tab w:val="left" w:pos="5670"/>
        </w:tabs>
        <w:spacing w:line="240" w:lineRule="auto"/>
        <w:ind w:left="5387" w:right="565"/>
        <w:rPr>
          <w:rFonts w:ascii="Arial" w:hAnsi="Arial" w:cs="Arial"/>
          <w:snapToGrid w:val="0"/>
          <w:kern w:val="1"/>
          <w:lang w:val="de-DE" w:eastAsia="de-DE"/>
        </w:rPr>
      </w:pPr>
    </w:p>
    <w:p w:rsidR="007D23EB" w:rsidRPr="00BB289D" w:rsidRDefault="007D23EB" w:rsidP="00F01848">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BB289D">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D23EB" w:rsidRPr="00BB289D" w:rsidRDefault="007D23EB" w:rsidP="00F01848">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BB289D">
        <w:rPr>
          <w:rFonts w:ascii="Arial" w:hAnsi="Arial" w:cs="Arial"/>
          <w:snapToGrid w:val="0"/>
          <w:sz w:val="16"/>
          <w:szCs w:val="16"/>
          <w:lang w:val="de-DE" w:eastAsia="fr-FR"/>
        </w:rPr>
        <w:t>BEIGEFÜGTE VERORDNUNG (ADN)</w:t>
      </w:r>
    </w:p>
    <w:p w:rsidR="007D23EB" w:rsidRPr="00BB289D" w:rsidRDefault="007D23EB" w:rsidP="00F01848">
      <w:pPr>
        <w:tabs>
          <w:tab w:val="left" w:pos="2977"/>
        </w:tabs>
        <w:spacing w:line="240" w:lineRule="auto"/>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(SICHERHEITSAUSSCHUSS)</w:t>
      </w:r>
    </w:p>
    <w:p w:rsidR="007D23EB" w:rsidRPr="00BB289D" w:rsidRDefault="007D23EB" w:rsidP="00F01848">
      <w:pPr>
        <w:tabs>
          <w:tab w:val="left" w:pos="2977"/>
        </w:tabs>
        <w:spacing w:line="240" w:lineRule="auto"/>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(28. Tagung, Genf, 25. bis 29. Januar 2016)</w:t>
      </w:r>
    </w:p>
    <w:p w:rsidR="007D23EB" w:rsidRDefault="007D23EB" w:rsidP="00F01848">
      <w:pPr>
        <w:tabs>
          <w:tab w:val="left" w:pos="2977"/>
        </w:tabs>
        <w:spacing w:line="240" w:lineRule="auto"/>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Punkt 5 b) zur vorläufigen Tagesordnung</w:t>
      </w:r>
    </w:p>
    <w:p w:rsidR="00F01848" w:rsidRPr="00F01848" w:rsidRDefault="00F01848" w:rsidP="00F01848">
      <w:pPr>
        <w:tabs>
          <w:tab w:val="left" w:pos="2977"/>
        </w:tabs>
        <w:spacing w:line="240" w:lineRule="auto"/>
        <w:ind w:left="4111" w:right="-2"/>
        <w:rPr>
          <w:rFonts w:ascii="Arial" w:hAnsi="Arial" w:cs="Arial"/>
          <w:b/>
          <w:snapToGrid w:val="0"/>
          <w:sz w:val="16"/>
          <w:szCs w:val="16"/>
          <w:lang w:val="de-DE" w:eastAsia="fr-FR"/>
        </w:rPr>
      </w:pPr>
      <w:r w:rsidRPr="00F01848">
        <w:rPr>
          <w:rFonts w:ascii="Arial" w:hAnsi="Arial" w:cs="Arial"/>
          <w:b/>
          <w:snapToGrid w:val="0"/>
          <w:sz w:val="16"/>
          <w:szCs w:val="16"/>
          <w:lang w:val="de-DE" w:eastAsia="fr-FR"/>
        </w:rPr>
        <w:t xml:space="preserve">Vorschläge </w:t>
      </w:r>
      <w:r>
        <w:rPr>
          <w:rFonts w:ascii="Arial" w:hAnsi="Arial" w:cs="Arial"/>
          <w:b/>
          <w:snapToGrid w:val="0"/>
          <w:sz w:val="16"/>
          <w:szCs w:val="16"/>
          <w:lang w:val="de-DE" w:eastAsia="fr-FR"/>
        </w:rPr>
        <w:t>f</w:t>
      </w:r>
      <w:r w:rsidRPr="00F01848">
        <w:rPr>
          <w:rFonts w:ascii="Arial" w:hAnsi="Arial" w:cs="Arial"/>
          <w:b/>
          <w:snapToGrid w:val="0"/>
          <w:sz w:val="16"/>
          <w:szCs w:val="16"/>
          <w:lang w:val="de-DE" w:eastAsia="fr-FR"/>
        </w:rPr>
        <w:t xml:space="preserve">ür Änderungen </w:t>
      </w:r>
      <w:r>
        <w:rPr>
          <w:rFonts w:ascii="Arial" w:hAnsi="Arial" w:cs="Arial"/>
          <w:b/>
          <w:snapToGrid w:val="0"/>
          <w:sz w:val="16"/>
          <w:szCs w:val="16"/>
          <w:lang w:val="de-DE" w:eastAsia="fr-FR"/>
        </w:rPr>
        <w:t>d</w:t>
      </w:r>
      <w:r w:rsidRPr="00F01848">
        <w:rPr>
          <w:rFonts w:ascii="Arial" w:hAnsi="Arial" w:cs="Arial"/>
          <w:b/>
          <w:snapToGrid w:val="0"/>
          <w:sz w:val="16"/>
          <w:szCs w:val="16"/>
          <w:lang w:val="de-DE" w:eastAsia="fr-FR"/>
        </w:rPr>
        <w:t xml:space="preserve">er </w:t>
      </w:r>
      <w:r>
        <w:rPr>
          <w:rFonts w:ascii="Arial" w:hAnsi="Arial" w:cs="Arial"/>
          <w:b/>
          <w:snapToGrid w:val="0"/>
          <w:sz w:val="16"/>
          <w:szCs w:val="16"/>
          <w:lang w:val="de-DE" w:eastAsia="fr-FR"/>
        </w:rPr>
        <w:t>d</w:t>
      </w:r>
      <w:r w:rsidRPr="00F01848">
        <w:rPr>
          <w:rFonts w:ascii="Arial" w:hAnsi="Arial" w:cs="Arial"/>
          <w:b/>
          <w:snapToGrid w:val="0"/>
          <w:sz w:val="16"/>
          <w:szCs w:val="16"/>
          <w:lang w:val="de-DE" w:eastAsia="fr-FR"/>
        </w:rPr>
        <w:t>em A</w:t>
      </w:r>
      <w:r>
        <w:rPr>
          <w:rFonts w:ascii="Arial" w:hAnsi="Arial" w:cs="Arial"/>
          <w:b/>
          <w:snapToGrid w:val="0"/>
          <w:sz w:val="16"/>
          <w:szCs w:val="16"/>
          <w:lang w:val="de-DE" w:eastAsia="fr-FR"/>
        </w:rPr>
        <w:t>DN</w:t>
      </w:r>
      <w:r w:rsidRPr="00F01848">
        <w:rPr>
          <w:rFonts w:ascii="Arial" w:hAnsi="Arial" w:cs="Arial"/>
          <w:b/>
          <w:snapToGrid w:val="0"/>
          <w:sz w:val="16"/>
          <w:szCs w:val="16"/>
          <w:lang w:val="de-DE" w:eastAsia="fr-FR"/>
        </w:rPr>
        <w:t xml:space="preserve"> </w:t>
      </w:r>
      <w:r>
        <w:rPr>
          <w:rFonts w:ascii="Arial" w:hAnsi="Arial" w:cs="Arial"/>
          <w:b/>
          <w:snapToGrid w:val="0"/>
          <w:sz w:val="16"/>
          <w:szCs w:val="16"/>
          <w:lang w:val="de-DE" w:eastAsia="fr-FR"/>
        </w:rPr>
        <w:t>b</w:t>
      </w:r>
      <w:r w:rsidRPr="00F01848">
        <w:rPr>
          <w:rFonts w:ascii="Arial" w:hAnsi="Arial" w:cs="Arial"/>
          <w:b/>
          <w:snapToGrid w:val="0"/>
          <w:sz w:val="16"/>
          <w:szCs w:val="16"/>
          <w:lang w:val="de-DE" w:eastAsia="fr-FR"/>
        </w:rPr>
        <w:t>eigefügten Verordnung</w:t>
      </w:r>
      <w:r>
        <w:rPr>
          <w:rFonts w:ascii="Arial" w:hAnsi="Arial" w:cs="Arial"/>
          <w:b/>
          <w:snapToGrid w:val="0"/>
          <w:sz w:val="16"/>
          <w:szCs w:val="16"/>
          <w:lang w:val="de-DE" w:eastAsia="fr-FR"/>
        </w:rPr>
        <w:t>:</w:t>
      </w:r>
    </w:p>
    <w:p w:rsidR="00F01848" w:rsidRPr="00BB289D" w:rsidRDefault="00F01848" w:rsidP="00F01848">
      <w:pPr>
        <w:tabs>
          <w:tab w:val="left" w:pos="2977"/>
        </w:tabs>
        <w:spacing w:line="240" w:lineRule="auto"/>
        <w:ind w:left="4111" w:right="-2"/>
        <w:rPr>
          <w:rFonts w:ascii="Arial" w:hAnsi="Arial" w:cs="Arial"/>
          <w:snapToGrid w:val="0"/>
          <w:sz w:val="16"/>
          <w:szCs w:val="16"/>
          <w:lang w:val="de-DE" w:eastAsia="fr-FR"/>
        </w:rPr>
      </w:pPr>
      <w:r w:rsidRPr="00F01848">
        <w:rPr>
          <w:rFonts w:ascii="Arial" w:hAnsi="Arial" w:cs="Arial"/>
          <w:b/>
          <w:snapToGrid w:val="0"/>
          <w:sz w:val="16"/>
          <w:szCs w:val="16"/>
          <w:lang w:val="de-DE" w:eastAsia="fr-FR"/>
        </w:rPr>
        <w:t>Weitere Änderungsvorschläge</w:t>
      </w:r>
    </w:p>
    <w:p w:rsidR="007D23EB" w:rsidRPr="00BB289D" w:rsidRDefault="007D23EB" w:rsidP="00F01848">
      <w:pPr>
        <w:spacing w:line="240" w:lineRule="auto"/>
        <w:rPr>
          <w:rFonts w:ascii="Arial" w:hAnsi="Arial" w:cs="Arial"/>
          <w:b/>
          <w:lang w:val="de-DE"/>
        </w:rPr>
      </w:pPr>
    </w:p>
    <w:p w:rsidR="008041D0" w:rsidRPr="00F01848" w:rsidRDefault="001A5D77" w:rsidP="00A27070">
      <w:pPr>
        <w:pStyle w:val="HChG"/>
        <w:ind w:right="283"/>
        <w:rPr>
          <w:lang w:val="de-DE"/>
        </w:rPr>
      </w:pPr>
      <w:r w:rsidRPr="00F01848">
        <w:rPr>
          <w:lang w:val="de-DE"/>
        </w:rPr>
        <w:tab/>
      </w:r>
      <w:r w:rsidR="008041D0" w:rsidRPr="00F01848">
        <w:rPr>
          <w:lang w:val="de-DE"/>
        </w:rPr>
        <w:tab/>
      </w:r>
      <w:r w:rsidR="001A0536" w:rsidRPr="001A0536">
        <w:rPr>
          <w:lang w:val="de-DE"/>
        </w:rPr>
        <w:t>Vorschlag zur Änderung und Klarstellung der Sondervorschrift 803</w:t>
      </w:r>
    </w:p>
    <w:p w:rsidR="008041D0" w:rsidRPr="00F01848" w:rsidRDefault="008041D0" w:rsidP="001A0536">
      <w:pPr>
        <w:pStyle w:val="H1G"/>
        <w:spacing w:line="280" w:lineRule="exact"/>
        <w:rPr>
          <w:lang w:val="de-DE"/>
        </w:rPr>
      </w:pPr>
      <w:r w:rsidRPr="00F01848">
        <w:rPr>
          <w:lang w:val="de-DE"/>
        </w:rPr>
        <w:tab/>
      </w:r>
      <w:r w:rsidRPr="00F01848">
        <w:rPr>
          <w:lang w:val="de-DE"/>
        </w:rPr>
        <w:tab/>
      </w:r>
      <w:r w:rsidR="001A0536" w:rsidRPr="001A0536">
        <w:rPr>
          <w:lang w:val="de-DE"/>
        </w:rPr>
        <w:t>Eingereicht von der Regierung der Niederlande</w:t>
      </w:r>
      <w:r w:rsidR="000B1F9C" w:rsidRPr="000B1F9C">
        <w:rPr>
          <w:rStyle w:val="FootnoteReference"/>
          <w:sz w:val="22"/>
          <w:szCs w:val="22"/>
        </w:rPr>
        <w:footnoteReference w:id="1"/>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041D0" w:rsidRPr="008041D0" w:rsidTr="001A0536">
        <w:trPr>
          <w:jc w:val="center"/>
        </w:trPr>
        <w:tc>
          <w:tcPr>
            <w:tcW w:w="2552" w:type="dxa"/>
            <w:tcBorders>
              <w:top w:val="single" w:sz="4" w:space="0" w:color="auto"/>
            </w:tcBorders>
          </w:tcPr>
          <w:p w:rsidR="008041D0" w:rsidRPr="008041D0" w:rsidRDefault="001A0536" w:rsidP="00EF5212">
            <w:pPr>
              <w:tabs>
                <w:tab w:val="left" w:pos="284"/>
              </w:tabs>
              <w:spacing w:before="120" w:after="120"/>
            </w:pPr>
            <w:r w:rsidRPr="001A0536">
              <w:rPr>
                <w:i/>
                <w:sz w:val="24"/>
                <w:lang w:val="de-DE"/>
              </w:rPr>
              <w:t>Zusammenfassung</w:t>
            </w:r>
          </w:p>
        </w:tc>
        <w:tc>
          <w:tcPr>
            <w:tcW w:w="5953" w:type="dxa"/>
            <w:tcBorders>
              <w:top w:val="single" w:sz="4" w:space="0" w:color="auto"/>
            </w:tcBorders>
          </w:tcPr>
          <w:p w:rsidR="008041D0" w:rsidRPr="008041D0" w:rsidRDefault="008041D0" w:rsidP="008041D0">
            <w:pPr>
              <w:spacing w:before="120" w:after="120"/>
            </w:pPr>
          </w:p>
        </w:tc>
      </w:tr>
      <w:tr w:rsidR="008041D0" w:rsidRPr="00F01848" w:rsidTr="001A0536">
        <w:trPr>
          <w:jc w:val="center"/>
        </w:trPr>
        <w:tc>
          <w:tcPr>
            <w:tcW w:w="2552" w:type="dxa"/>
          </w:tcPr>
          <w:p w:rsidR="008041D0" w:rsidRPr="008041D0" w:rsidRDefault="001A0536" w:rsidP="00EF5212">
            <w:pPr>
              <w:tabs>
                <w:tab w:val="left" w:pos="284"/>
              </w:tabs>
              <w:spacing w:before="120" w:after="120"/>
            </w:pPr>
            <w:r w:rsidRPr="001A0536">
              <w:rPr>
                <w:b/>
                <w:lang w:val="de-DE"/>
              </w:rPr>
              <w:t>Analytische Zusammenfassung:</w:t>
            </w:r>
          </w:p>
        </w:tc>
        <w:tc>
          <w:tcPr>
            <w:tcW w:w="5953" w:type="dxa"/>
          </w:tcPr>
          <w:p w:rsidR="008041D0" w:rsidRPr="00F01848" w:rsidRDefault="001A0536" w:rsidP="00EF5212">
            <w:pPr>
              <w:spacing w:before="120" w:after="120"/>
              <w:rPr>
                <w:lang w:val="de-DE"/>
              </w:rPr>
            </w:pPr>
            <w:r w:rsidRPr="001A0536">
              <w:rPr>
                <w:bCs/>
                <w:szCs w:val="24"/>
                <w:lang w:val="de-DE"/>
              </w:rPr>
              <w:t>Klarstellung des Abschnitts 3.3.1 ADN, Sondervorschrift 803, als Folgemaßnahme zu INF.22, diskutiert in der Sitzung des ADN-Sicherheitsausschusses im Januar 2015</w:t>
            </w:r>
          </w:p>
        </w:tc>
      </w:tr>
      <w:tr w:rsidR="008041D0" w:rsidRPr="008041D0" w:rsidTr="001A0536">
        <w:trPr>
          <w:jc w:val="center"/>
        </w:trPr>
        <w:tc>
          <w:tcPr>
            <w:tcW w:w="2552" w:type="dxa"/>
          </w:tcPr>
          <w:p w:rsidR="008041D0" w:rsidRPr="008041D0" w:rsidRDefault="001A0536" w:rsidP="00EF5212">
            <w:pPr>
              <w:tabs>
                <w:tab w:val="left" w:pos="284"/>
              </w:tabs>
              <w:spacing w:before="120" w:after="120"/>
              <w:rPr>
                <w:b/>
              </w:rPr>
            </w:pPr>
            <w:r w:rsidRPr="001A0536">
              <w:rPr>
                <w:b/>
                <w:lang w:val="de-DE"/>
              </w:rPr>
              <w:t>Zu ergreifende Maßnahme:</w:t>
            </w:r>
          </w:p>
        </w:tc>
        <w:tc>
          <w:tcPr>
            <w:tcW w:w="5953" w:type="dxa"/>
          </w:tcPr>
          <w:p w:rsidR="008041D0" w:rsidRPr="008041D0" w:rsidRDefault="001A0536" w:rsidP="00EF5212">
            <w:pPr>
              <w:spacing w:before="120" w:after="120"/>
            </w:pPr>
            <w:r w:rsidRPr="001A0536">
              <w:rPr>
                <w:lang w:val="de-DE"/>
              </w:rPr>
              <w:t>Änderung der Sondervorschrift 803.</w:t>
            </w:r>
          </w:p>
        </w:tc>
      </w:tr>
      <w:tr w:rsidR="008041D0" w:rsidRPr="00F01848" w:rsidTr="001A0536">
        <w:trPr>
          <w:jc w:val="center"/>
        </w:trPr>
        <w:tc>
          <w:tcPr>
            <w:tcW w:w="2552" w:type="dxa"/>
            <w:tcBorders>
              <w:bottom w:val="single" w:sz="4" w:space="0" w:color="auto"/>
            </w:tcBorders>
          </w:tcPr>
          <w:p w:rsidR="008041D0" w:rsidRPr="008041D0" w:rsidRDefault="001A0536" w:rsidP="00EF5212">
            <w:pPr>
              <w:tabs>
                <w:tab w:val="left" w:pos="284"/>
              </w:tabs>
              <w:spacing w:before="120" w:after="120"/>
              <w:rPr>
                <w:b/>
              </w:rPr>
            </w:pPr>
            <w:r w:rsidRPr="001A0536">
              <w:rPr>
                <w:b/>
                <w:lang w:val="de-DE"/>
              </w:rPr>
              <w:t>Verbundene Dokumente:</w:t>
            </w:r>
          </w:p>
        </w:tc>
        <w:tc>
          <w:tcPr>
            <w:tcW w:w="5953" w:type="dxa"/>
            <w:tcBorders>
              <w:bottom w:val="single" w:sz="4" w:space="0" w:color="auto"/>
            </w:tcBorders>
          </w:tcPr>
          <w:p w:rsidR="008041D0" w:rsidRPr="00F01848" w:rsidRDefault="001A0536" w:rsidP="00EF5212">
            <w:pPr>
              <w:spacing w:before="120" w:after="120"/>
              <w:rPr>
                <w:lang w:val="de-DE"/>
              </w:rPr>
            </w:pPr>
            <w:r w:rsidRPr="001A0536">
              <w:rPr>
                <w:lang w:val="de-DE"/>
              </w:rPr>
              <w:t>ECE/TRANS/WP.15/AC.2/52 (Absatz 27 und Anlage III); WP.15/AC.2/26/INF.22</w:t>
            </w:r>
          </w:p>
        </w:tc>
      </w:tr>
    </w:tbl>
    <w:p w:rsidR="00425286" w:rsidRDefault="00527D5A" w:rsidP="001A0536">
      <w:pPr>
        <w:pStyle w:val="HChG"/>
        <w:rPr>
          <w:lang w:val="de-DE"/>
        </w:rPr>
      </w:pPr>
      <w:r w:rsidRPr="00F01848">
        <w:rPr>
          <w:lang w:val="de-DE"/>
        </w:rPr>
        <w:tab/>
      </w:r>
      <w:r w:rsidRPr="00F01848">
        <w:rPr>
          <w:lang w:val="de-DE"/>
        </w:rPr>
        <w:tab/>
      </w:r>
    </w:p>
    <w:p w:rsidR="008041D0" w:rsidRPr="00F01848" w:rsidRDefault="00425286" w:rsidP="001A0536">
      <w:pPr>
        <w:pStyle w:val="HChG"/>
        <w:rPr>
          <w:lang w:val="de-DE"/>
        </w:rPr>
      </w:pPr>
      <w:r>
        <w:rPr>
          <w:lang w:val="de-DE"/>
        </w:rPr>
        <w:tab/>
      </w:r>
      <w:r>
        <w:rPr>
          <w:lang w:val="de-DE"/>
        </w:rPr>
        <w:tab/>
      </w:r>
      <w:r w:rsidR="001A0536" w:rsidRPr="001A0536">
        <w:rPr>
          <w:lang w:val="de-DE"/>
        </w:rPr>
        <w:t>Einleitung</w:t>
      </w:r>
    </w:p>
    <w:p w:rsidR="008041D0" w:rsidRPr="00F01848" w:rsidRDefault="008041D0" w:rsidP="001A0536">
      <w:pPr>
        <w:pStyle w:val="SingleTxtG"/>
        <w:rPr>
          <w:lang w:val="de-DE"/>
        </w:rPr>
      </w:pPr>
      <w:r w:rsidRPr="00F01848">
        <w:rPr>
          <w:lang w:val="de-DE"/>
        </w:rPr>
        <w:t>1.</w:t>
      </w:r>
      <w:r w:rsidRPr="00F01848">
        <w:rPr>
          <w:lang w:val="de-DE"/>
        </w:rPr>
        <w:tab/>
      </w:r>
      <w:r w:rsidR="001A0536" w:rsidRPr="001A0536">
        <w:rPr>
          <w:lang w:val="de-DE"/>
        </w:rPr>
        <w:t>In der sechsundzwanzigsten Sitzung des ADN-Sicherheitsausschusses (Januar 2015) legten die Niederlande das informelle Dokument INF.22 vor, das die Sondervorschrift 803 betreffend die Beförderung von Kohle in loser Schüttung zum Gegenstand hat.</w:t>
      </w:r>
    </w:p>
    <w:p w:rsidR="008041D0" w:rsidRPr="00F01848" w:rsidRDefault="00425286" w:rsidP="00E633DF">
      <w:pPr>
        <w:pStyle w:val="SingleTxtG"/>
        <w:rPr>
          <w:lang w:val="de-DE"/>
        </w:rPr>
      </w:pPr>
      <w:r>
        <w:rPr>
          <w:lang w:val="de-DE"/>
        </w:rPr>
        <w:br w:type="page"/>
      </w:r>
      <w:r w:rsidR="008041D0" w:rsidRPr="00F01848">
        <w:rPr>
          <w:lang w:val="de-DE"/>
        </w:rPr>
        <w:lastRenderedPageBreak/>
        <w:t>2.</w:t>
      </w:r>
      <w:r w:rsidR="008041D0" w:rsidRPr="00F01848">
        <w:rPr>
          <w:lang w:val="de-DE"/>
        </w:rPr>
        <w:tab/>
      </w:r>
      <w:r w:rsidR="001A0536" w:rsidRPr="00E633DF">
        <w:rPr>
          <w:lang w:val="de-DE"/>
        </w:rPr>
        <w:t xml:space="preserve">Das niederländische Dokument zielte auf die Klarstellung dieser Sondervorschrift ab, die im August 2014 geändert worden war. </w:t>
      </w:r>
      <w:r w:rsidR="00E633DF" w:rsidRPr="00E633DF">
        <w:rPr>
          <w:lang w:val="de-DE"/>
        </w:rPr>
        <w:t xml:space="preserve">Besonders betroffen war </w:t>
      </w:r>
      <w:r w:rsidR="001A0536" w:rsidRPr="00E633DF">
        <w:rPr>
          <w:lang w:val="de-DE"/>
        </w:rPr>
        <w:t xml:space="preserve">Buchstabe c </w:t>
      </w:r>
      <w:r w:rsidR="00E633DF" w:rsidRPr="00E633DF">
        <w:rPr>
          <w:lang w:val="de-DE"/>
        </w:rPr>
        <w:t>bezüglich der Überwachung der Kohletemperatur ab dem ersten Tag der Überschreitung der maximalen Reisedauer.</w:t>
      </w:r>
      <w:r w:rsidR="008041D0" w:rsidRPr="00F01848">
        <w:rPr>
          <w:lang w:val="de-DE"/>
        </w:rPr>
        <w:t xml:space="preserve"> </w:t>
      </w:r>
      <w:r w:rsidR="00E633DF" w:rsidRPr="00E633DF">
        <w:rPr>
          <w:lang w:val="de-DE"/>
        </w:rPr>
        <w:t>Nach Ansicht der Niederlande könnte diese Verpflichtung falsch interpretiert werden und bedarf daher einer Klarstellung.</w:t>
      </w:r>
    </w:p>
    <w:p w:rsidR="008041D0" w:rsidRPr="00F01848" w:rsidRDefault="008041D0" w:rsidP="00E633DF">
      <w:pPr>
        <w:pStyle w:val="SingleTxtG"/>
        <w:rPr>
          <w:lang w:val="de-DE"/>
        </w:rPr>
      </w:pPr>
      <w:r w:rsidRPr="00F01848">
        <w:rPr>
          <w:lang w:val="de-DE"/>
        </w:rPr>
        <w:t>3.</w:t>
      </w:r>
      <w:r w:rsidRPr="00F01848">
        <w:rPr>
          <w:lang w:val="de-DE"/>
        </w:rPr>
        <w:tab/>
      </w:r>
      <w:r w:rsidR="00E633DF" w:rsidRPr="00E633DF">
        <w:rPr>
          <w:lang w:val="de-DE"/>
        </w:rPr>
        <w:t>In seinem Protokoll ECE/TRANS/WP.15/AC.2/53, Abs. 23, forderte der Ausschuss die Niederlande auf, zu dieser Frage einen offiziellen Vorschlag zu unterbreiten, um den vorgetragenen Bemerkungen Rechnung zu tragen.</w:t>
      </w:r>
    </w:p>
    <w:p w:rsidR="008041D0" w:rsidRPr="00F01848" w:rsidRDefault="000B1F9C" w:rsidP="00E633DF">
      <w:pPr>
        <w:pStyle w:val="HChG"/>
        <w:rPr>
          <w:lang w:val="de-DE"/>
        </w:rPr>
      </w:pPr>
      <w:r w:rsidRPr="00F01848">
        <w:rPr>
          <w:lang w:val="de-DE"/>
        </w:rPr>
        <w:tab/>
      </w:r>
      <w:r w:rsidRPr="00F01848">
        <w:rPr>
          <w:lang w:val="de-DE"/>
        </w:rPr>
        <w:tab/>
      </w:r>
      <w:r w:rsidR="00E633DF" w:rsidRPr="00E633DF">
        <w:rPr>
          <w:lang w:val="de-DE"/>
        </w:rPr>
        <w:t>Änderungsvorschläge</w:t>
      </w:r>
    </w:p>
    <w:p w:rsidR="008041D0" w:rsidRPr="00F01848" w:rsidRDefault="008041D0" w:rsidP="00415B02">
      <w:pPr>
        <w:pStyle w:val="SingleTxtG"/>
        <w:rPr>
          <w:lang w:val="de-DE"/>
        </w:rPr>
      </w:pPr>
      <w:r w:rsidRPr="00F01848">
        <w:rPr>
          <w:lang w:val="de-DE"/>
        </w:rPr>
        <w:t>4.</w:t>
      </w:r>
      <w:r w:rsidRPr="00F01848">
        <w:rPr>
          <w:lang w:val="de-DE"/>
        </w:rPr>
        <w:tab/>
      </w:r>
      <w:r w:rsidR="00E633DF" w:rsidRPr="00415B02">
        <w:rPr>
          <w:lang w:val="de-DE"/>
        </w:rPr>
        <w:t>Die vorgeschlagene Änderung trägt den im Rahmen der Behandlung des Dokuments INF.22 vorgebrachten Bemerkungen und den beschlossenen Änderungen zu Sondervorschrift 803</w:t>
      </w:r>
      <w:r w:rsidR="00092A39" w:rsidRPr="00415B02">
        <w:rPr>
          <w:lang w:val="de-DE"/>
        </w:rPr>
        <w:t>,</w:t>
      </w:r>
      <w:r w:rsidR="00E633DF" w:rsidRPr="00415B02">
        <w:rPr>
          <w:lang w:val="de-DE"/>
        </w:rPr>
        <w:t xml:space="preserve"> wie in Dokument </w:t>
      </w:r>
      <w:r w:rsidR="00AC4F13" w:rsidRPr="00415B02">
        <w:rPr>
          <w:lang w:val="de-DE"/>
        </w:rPr>
        <w:t>ECE/TRANS/WP.15/AC.2/52 (An</w:t>
      </w:r>
      <w:r w:rsidR="00415B02" w:rsidRPr="00415B02">
        <w:rPr>
          <w:lang w:val="de-DE"/>
        </w:rPr>
        <w:t>lag</w:t>
      </w:r>
      <w:r w:rsidR="00AC4F13" w:rsidRPr="00415B02">
        <w:rPr>
          <w:lang w:val="de-DE"/>
        </w:rPr>
        <w:t xml:space="preserve">e III) veröffentlicht, </w:t>
      </w:r>
      <w:r w:rsidR="00E633DF" w:rsidRPr="00415B02">
        <w:rPr>
          <w:lang w:val="de-DE"/>
        </w:rPr>
        <w:t>Rechnung</w:t>
      </w:r>
      <w:r w:rsidR="00AC4F13" w:rsidRPr="00415B02">
        <w:rPr>
          <w:lang w:val="de-DE"/>
        </w:rPr>
        <w:t xml:space="preserve"> (</w:t>
      </w:r>
      <w:r w:rsidR="00AC4F13" w:rsidRPr="00415B02">
        <w:rPr>
          <w:b/>
          <w:u w:val="single"/>
          <w:lang w:val="de-DE"/>
        </w:rPr>
        <w:t>neuer Text ist fettgedruckt und unterstrichen</w:t>
      </w:r>
      <w:r w:rsidR="00AC4F13" w:rsidRPr="00415B02">
        <w:rPr>
          <w:lang w:val="de-DE"/>
        </w:rPr>
        <w:t>)</w:t>
      </w:r>
      <w:r w:rsidR="00092A39" w:rsidRPr="00415B02">
        <w:rPr>
          <w:lang w:val="de-DE"/>
        </w:rPr>
        <w:t>:</w:t>
      </w:r>
    </w:p>
    <w:p w:rsidR="008041D0" w:rsidRPr="00F01848" w:rsidRDefault="00092A39" w:rsidP="008041D0">
      <w:pPr>
        <w:autoSpaceDE w:val="0"/>
        <w:autoSpaceDN w:val="0"/>
        <w:adjustRightInd w:val="0"/>
        <w:ind w:left="2259" w:right="992" w:hanging="1125"/>
        <w:rPr>
          <w:lang w:val="de-DE"/>
        </w:rPr>
      </w:pPr>
      <w:r w:rsidRPr="00415B02">
        <w:rPr>
          <w:lang w:val="de-DE"/>
        </w:rPr>
        <w:t>„SV 803</w:t>
      </w:r>
      <w:r w:rsidR="008041D0" w:rsidRPr="00F01848">
        <w:rPr>
          <w:lang w:val="de-DE"/>
        </w:rPr>
        <w:tab/>
      </w:r>
      <w:r w:rsidRPr="00092A39">
        <w:rPr>
          <w:lang w:val="de-DE"/>
        </w:rPr>
        <w:t>Steinkohle, Koks und Anthrazitkohle, die in loser Schüttung befördert werden, unterliegen nicht den Bestimmungen des ADN, wenn</w:t>
      </w:r>
    </w:p>
    <w:p w:rsidR="008041D0" w:rsidRPr="00F01848" w:rsidRDefault="00092A39" w:rsidP="00092A39">
      <w:pPr>
        <w:autoSpaceDE w:val="0"/>
        <w:autoSpaceDN w:val="0"/>
        <w:adjustRightInd w:val="0"/>
        <w:spacing w:before="120"/>
        <w:ind w:left="2835" w:right="992" w:hanging="567"/>
        <w:rPr>
          <w:lang w:val="de-DE"/>
        </w:rPr>
      </w:pPr>
      <w:r w:rsidRPr="00092A39">
        <w:rPr>
          <w:lang w:val="de-DE"/>
        </w:rPr>
        <w:t>a)</w:t>
      </w:r>
      <w:r w:rsidR="008041D0" w:rsidRPr="00F01848">
        <w:rPr>
          <w:lang w:val="de-DE"/>
        </w:rPr>
        <w:t xml:space="preserve"> </w:t>
      </w:r>
      <w:r w:rsidR="008041D0" w:rsidRPr="00F01848">
        <w:rPr>
          <w:lang w:val="de-DE"/>
        </w:rPr>
        <w:tab/>
      </w:r>
      <w:r w:rsidRPr="00092A39">
        <w:rPr>
          <w:lang w:val="de-DE"/>
        </w:rPr>
        <w:t>die Temperatur der Ladung vor, während oder unmittelbar nach der Beladung des Laderaums 60°C nicht überschreitet;</w:t>
      </w:r>
    </w:p>
    <w:p w:rsidR="008041D0" w:rsidRPr="00F01848" w:rsidRDefault="00092A39" w:rsidP="00092A39">
      <w:pPr>
        <w:autoSpaceDE w:val="0"/>
        <w:autoSpaceDN w:val="0"/>
        <w:adjustRightInd w:val="0"/>
        <w:spacing w:before="120" w:after="120"/>
        <w:ind w:left="2835" w:right="1134" w:hanging="567"/>
        <w:jc w:val="both"/>
        <w:rPr>
          <w:lang w:val="de-DE"/>
        </w:rPr>
      </w:pPr>
      <w:r w:rsidRPr="00092A39">
        <w:rPr>
          <w:lang w:val="de-DE"/>
        </w:rPr>
        <w:t>b)</w:t>
      </w:r>
      <w:r w:rsidR="008041D0" w:rsidRPr="00F01848">
        <w:rPr>
          <w:lang w:val="de-DE"/>
        </w:rPr>
        <w:tab/>
      </w:r>
      <w:r w:rsidRPr="00092A39">
        <w:rPr>
          <w:color w:val="000000"/>
          <w:lang w:val="de-DE"/>
        </w:rPr>
        <w:t>die vorgesehene Beförderungsdauer ohne Temperaturüberwachung, die in der nachfolgenden Tabelle in Abhängigkeit von der Temperatur der Ladung vor, während oder unmittelbar nach der Beladung des Laderaums aufgeführten maximalen Reisedauern nicht überschreitet: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8041D0" w:rsidRPr="008041D0" w:rsidTr="00A539F2">
        <w:trPr>
          <w:cantSplit/>
          <w:tblHeader/>
        </w:trPr>
        <w:tc>
          <w:tcPr>
            <w:tcW w:w="3685" w:type="dxa"/>
            <w:tcBorders>
              <w:top w:val="single" w:sz="4" w:space="0" w:color="auto"/>
              <w:bottom w:val="single" w:sz="12" w:space="0" w:color="auto"/>
            </w:tcBorders>
            <w:shd w:val="clear" w:color="auto" w:fill="auto"/>
            <w:vAlign w:val="bottom"/>
          </w:tcPr>
          <w:p w:rsidR="008041D0" w:rsidRPr="008041D0" w:rsidRDefault="00092A39" w:rsidP="00EF5212">
            <w:pPr>
              <w:suppressAutoHyphens w:val="0"/>
              <w:spacing w:before="80" w:after="80" w:line="200" w:lineRule="exact"/>
              <w:ind w:right="113"/>
              <w:jc w:val="center"/>
              <w:rPr>
                <w:i/>
                <w:sz w:val="16"/>
              </w:rPr>
            </w:pPr>
            <w:r w:rsidRPr="00092A39">
              <w:rPr>
                <w:i/>
                <w:sz w:val="16"/>
                <w:lang w:val="de-DE"/>
              </w:rPr>
              <w:t>maximale Verladetemperatur in °C</w:t>
            </w:r>
          </w:p>
        </w:tc>
        <w:tc>
          <w:tcPr>
            <w:tcW w:w="3685" w:type="dxa"/>
            <w:tcBorders>
              <w:top w:val="single" w:sz="4" w:space="0" w:color="auto"/>
              <w:bottom w:val="single" w:sz="12" w:space="0" w:color="auto"/>
            </w:tcBorders>
            <w:shd w:val="clear" w:color="auto" w:fill="auto"/>
            <w:vAlign w:val="bottom"/>
          </w:tcPr>
          <w:p w:rsidR="008041D0" w:rsidRPr="008041D0" w:rsidRDefault="00092A39" w:rsidP="00EF5212">
            <w:pPr>
              <w:suppressAutoHyphens w:val="0"/>
              <w:spacing w:before="80" w:after="80" w:line="200" w:lineRule="exact"/>
              <w:ind w:right="113"/>
              <w:jc w:val="center"/>
              <w:rPr>
                <w:i/>
                <w:sz w:val="16"/>
              </w:rPr>
            </w:pPr>
            <w:r w:rsidRPr="00092A39">
              <w:rPr>
                <w:i/>
                <w:sz w:val="16"/>
                <w:lang w:val="de-DE"/>
              </w:rPr>
              <w:t>maximale Reisedauer in Tagen</w:t>
            </w:r>
          </w:p>
        </w:tc>
      </w:tr>
      <w:tr w:rsidR="008041D0" w:rsidRPr="008041D0" w:rsidTr="00A539F2">
        <w:trPr>
          <w:cantSplit/>
        </w:trPr>
        <w:tc>
          <w:tcPr>
            <w:tcW w:w="3685" w:type="dxa"/>
            <w:tcBorders>
              <w:top w:val="single" w:sz="12" w:space="0" w:color="auto"/>
            </w:tcBorders>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60</w:t>
            </w:r>
          </w:p>
        </w:tc>
        <w:tc>
          <w:tcPr>
            <w:tcW w:w="3685" w:type="dxa"/>
            <w:tcBorders>
              <w:top w:val="single" w:sz="12" w:space="0" w:color="auto"/>
            </w:tcBorders>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10</w:t>
            </w:r>
          </w:p>
        </w:tc>
      </w:tr>
      <w:tr w:rsidR="008041D0" w:rsidRPr="008041D0" w:rsidTr="00A539F2">
        <w:trPr>
          <w:cantSplit/>
        </w:trPr>
        <w:tc>
          <w:tcPr>
            <w:tcW w:w="3685" w:type="dxa"/>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50</w:t>
            </w:r>
          </w:p>
        </w:tc>
        <w:tc>
          <w:tcPr>
            <w:tcW w:w="3685" w:type="dxa"/>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lang w:val="fr-FR"/>
              </w:rPr>
              <w:t>18</w:t>
            </w:r>
          </w:p>
        </w:tc>
      </w:tr>
      <w:tr w:rsidR="008041D0" w:rsidRPr="008041D0" w:rsidTr="00A539F2">
        <w:trPr>
          <w:cantSplit/>
        </w:trPr>
        <w:tc>
          <w:tcPr>
            <w:tcW w:w="3685" w:type="dxa"/>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40</w:t>
            </w:r>
          </w:p>
        </w:tc>
        <w:tc>
          <w:tcPr>
            <w:tcW w:w="3685" w:type="dxa"/>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lang w:val="fr-FR"/>
              </w:rPr>
              <w:t>32</w:t>
            </w:r>
          </w:p>
        </w:tc>
      </w:tr>
      <w:tr w:rsidR="008041D0" w:rsidRPr="008041D0" w:rsidTr="00A539F2">
        <w:trPr>
          <w:cantSplit/>
        </w:trPr>
        <w:tc>
          <w:tcPr>
            <w:tcW w:w="3685" w:type="dxa"/>
            <w:shd w:val="clear" w:color="auto" w:fill="auto"/>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rPr>
              <w:t>30</w:t>
            </w:r>
          </w:p>
        </w:tc>
        <w:tc>
          <w:tcPr>
            <w:tcW w:w="3685" w:type="dxa"/>
            <w:shd w:val="clear" w:color="auto" w:fill="auto"/>
            <w:vAlign w:val="bottom"/>
          </w:tcPr>
          <w:p w:rsidR="008041D0" w:rsidRPr="008041D0" w:rsidRDefault="008041D0" w:rsidP="008041D0">
            <w:pPr>
              <w:suppressAutoHyphens w:val="0"/>
              <w:spacing w:before="40" w:after="40" w:line="220" w:lineRule="exact"/>
              <w:ind w:right="113"/>
              <w:jc w:val="center"/>
              <w:rPr>
                <w:sz w:val="18"/>
                <w:szCs w:val="18"/>
              </w:rPr>
            </w:pPr>
            <w:r w:rsidRPr="008041D0">
              <w:rPr>
                <w:sz w:val="18"/>
                <w:szCs w:val="18"/>
                <w:lang w:val="fr-FR"/>
              </w:rPr>
              <w:t>57</w:t>
            </w:r>
          </w:p>
        </w:tc>
      </w:tr>
    </w:tbl>
    <w:p w:rsidR="008041D0" w:rsidRPr="00F01848" w:rsidRDefault="00092A39" w:rsidP="00EF58C8">
      <w:pPr>
        <w:autoSpaceDE w:val="0"/>
        <w:autoSpaceDN w:val="0"/>
        <w:adjustRightInd w:val="0"/>
        <w:spacing w:before="120" w:after="120"/>
        <w:ind w:left="2835" w:right="1134" w:hanging="567"/>
        <w:jc w:val="both"/>
        <w:rPr>
          <w:lang w:val="de-DE"/>
        </w:rPr>
      </w:pPr>
      <w:r w:rsidRPr="00092A39">
        <w:rPr>
          <w:lang w:val="de-DE"/>
        </w:rPr>
        <w:t>c)</w:t>
      </w:r>
      <w:r w:rsidR="008041D0" w:rsidRPr="00F01848">
        <w:rPr>
          <w:lang w:val="de-DE"/>
        </w:rPr>
        <w:tab/>
      </w:r>
      <w:r w:rsidRPr="00EF58C8">
        <w:rPr>
          <w:lang w:val="de-DE"/>
        </w:rPr>
        <w:t xml:space="preserve">im Falle, dass die tatsächliche Beförderungsdauer die unter b) genannte maximale Reisedauer überschreitet, ab dem ersten Tag der Überschreitung eine Temperaturüberwachung sichergestellt ist; </w:t>
      </w:r>
      <w:r w:rsidRPr="00EF58C8">
        <w:rPr>
          <w:b/>
          <w:u w:val="single"/>
          <w:lang w:val="de-DE"/>
        </w:rPr>
        <w:t>die erforderliche Überwachungs</w:t>
      </w:r>
      <w:r w:rsidR="00EF58C8" w:rsidRPr="00EF58C8">
        <w:rPr>
          <w:b/>
          <w:u w:val="single"/>
          <w:lang w:val="de-DE"/>
        </w:rPr>
        <w:t>einrichtung</w:t>
      </w:r>
      <w:r w:rsidRPr="00EF58C8">
        <w:rPr>
          <w:b/>
          <w:u w:val="single"/>
          <w:lang w:val="de-DE"/>
        </w:rPr>
        <w:t xml:space="preserve"> </w:t>
      </w:r>
      <w:r w:rsidR="00EF58C8" w:rsidRPr="00EF58C8">
        <w:rPr>
          <w:b/>
          <w:u w:val="single"/>
          <w:lang w:val="de-DE"/>
        </w:rPr>
        <w:t>muss sich ab dem ersten Beförderungstag nach der maximalen Reisedauer an Bord befinden;</w:t>
      </w:r>
    </w:p>
    <w:p w:rsidR="008041D0" w:rsidRPr="00F01848" w:rsidRDefault="00EF58C8" w:rsidP="00EF58C8">
      <w:pPr>
        <w:autoSpaceDE w:val="0"/>
        <w:autoSpaceDN w:val="0"/>
        <w:adjustRightInd w:val="0"/>
        <w:spacing w:before="120" w:after="120"/>
        <w:ind w:left="2835" w:right="1134" w:hanging="567"/>
        <w:jc w:val="both"/>
        <w:rPr>
          <w:lang w:val="de-DE"/>
        </w:rPr>
      </w:pPr>
      <w:r w:rsidRPr="00EF58C8">
        <w:rPr>
          <w:lang w:val="de-DE"/>
        </w:rPr>
        <w:t>d)</w:t>
      </w:r>
      <w:r w:rsidR="008041D0" w:rsidRPr="00F01848">
        <w:rPr>
          <w:lang w:val="de-DE"/>
        </w:rPr>
        <w:tab/>
      </w:r>
      <w:r w:rsidRPr="00EF58C8">
        <w:rPr>
          <w:lang w:val="de-DE"/>
        </w:rPr>
        <w:t>der Schiffsführer bei der Beladung in nachweisbarer Form Instruktionen erhält, wie im Falle einer wesentlichen Erwärmung der Ladung zu verfahren ist.“</w:t>
      </w:r>
    </w:p>
    <w:p w:rsidR="008041D0" w:rsidRPr="00F01848" w:rsidRDefault="000B1F9C" w:rsidP="00EF58C8">
      <w:pPr>
        <w:pStyle w:val="HChG"/>
        <w:rPr>
          <w:lang w:val="de-DE"/>
        </w:rPr>
      </w:pPr>
      <w:r w:rsidRPr="00F01848">
        <w:rPr>
          <w:lang w:val="de-DE"/>
        </w:rPr>
        <w:tab/>
      </w:r>
      <w:r w:rsidRPr="00F01848">
        <w:rPr>
          <w:lang w:val="de-DE"/>
        </w:rPr>
        <w:tab/>
      </w:r>
      <w:r w:rsidR="00EF58C8" w:rsidRPr="00EF58C8">
        <w:rPr>
          <w:lang w:val="de-DE"/>
        </w:rPr>
        <w:t>Weiteres Vorgehen</w:t>
      </w:r>
    </w:p>
    <w:p w:rsidR="008041D0" w:rsidRPr="00F01848" w:rsidRDefault="008041D0" w:rsidP="00EF58C8">
      <w:pPr>
        <w:pStyle w:val="SingleTxtG"/>
        <w:rPr>
          <w:lang w:val="de-DE"/>
        </w:rPr>
      </w:pPr>
      <w:r w:rsidRPr="00F01848">
        <w:rPr>
          <w:lang w:val="de-DE"/>
        </w:rPr>
        <w:t xml:space="preserve">5. </w:t>
      </w:r>
      <w:r w:rsidRPr="00F01848">
        <w:rPr>
          <w:lang w:val="de-DE"/>
        </w:rPr>
        <w:tab/>
      </w:r>
      <w:r w:rsidR="00EF58C8" w:rsidRPr="00EF58C8">
        <w:rPr>
          <w:lang w:val="de-DE"/>
        </w:rPr>
        <w:t>Der Sicherheitsausschuss wird gebeten, die Vorschläge in Absatz 4 zu prüfen und die aus seiner Sicht notwendigen Maßnahmen zu ergreifen.</w:t>
      </w:r>
    </w:p>
    <w:p w:rsidR="007A3B8A" w:rsidRPr="00F01848" w:rsidRDefault="00F01848" w:rsidP="000B1F9C">
      <w:pPr>
        <w:spacing w:before="120"/>
        <w:jc w:val="center"/>
      </w:pPr>
      <w:r w:rsidRPr="00F01848">
        <w:t>***</w:t>
      </w:r>
    </w:p>
    <w:sectPr w:rsidR="007A3B8A" w:rsidRPr="00F01848" w:rsidSect="001A5D77">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72" w:rsidRPr="00FB1744" w:rsidRDefault="00CB6572" w:rsidP="00FB1744">
      <w:pPr>
        <w:pStyle w:val="Footer"/>
      </w:pPr>
    </w:p>
  </w:endnote>
  <w:endnote w:type="continuationSeparator" w:id="0">
    <w:p w:rsidR="00CB6572" w:rsidRPr="00FB1744" w:rsidRDefault="00CB657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48" w:rsidRPr="00F01848" w:rsidRDefault="00F01848" w:rsidP="00F01848">
    <w:pPr>
      <w:tabs>
        <w:tab w:val="center" w:pos="4536"/>
        <w:tab w:val="left" w:pos="7177"/>
        <w:tab w:val="right" w:pos="9070"/>
      </w:tabs>
      <w:suppressAutoHyphens w:val="0"/>
      <w:spacing w:line="240" w:lineRule="auto"/>
      <w:jc w:val="right"/>
      <w:rPr>
        <w:sz w:val="24"/>
        <w:szCs w:val="24"/>
        <w:lang w:val="fr-FR" w:eastAsia="de-DE"/>
      </w:rPr>
    </w:pPr>
    <w:r>
      <w:rPr>
        <w:rFonts w:ascii="Arial" w:hAnsi="Arial"/>
        <w:noProof/>
        <w:sz w:val="12"/>
        <w:szCs w:val="24"/>
        <w:lang w:val="fr-FR" w:eastAsia="fr-FR"/>
      </w:rPr>
      <w:t>m</w:t>
    </w:r>
    <w:r w:rsidRPr="00F01848">
      <w:rPr>
        <w:rFonts w:ascii="Arial" w:hAnsi="Arial"/>
        <w:noProof/>
        <w:sz w:val="12"/>
        <w:szCs w:val="24"/>
        <w:lang w:val="fr-FR" w:eastAsia="fr-FR"/>
      </w:rPr>
      <w:t>m</w:t>
    </w:r>
    <w:r>
      <w:rPr>
        <w:rFonts w:ascii="Arial" w:hAnsi="Arial"/>
        <w:noProof/>
        <w:sz w:val="12"/>
        <w:szCs w:val="24"/>
        <w:lang w:val="fr-FR" w:eastAsia="fr-FR"/>
      </w:rPr>
      <w:t>_ba</w:t>
    </w:r>
    <w:r w:rsidRPr="00F01848">
      <w:rPr>
        <w:rFonts w:ascii="Arial" w:hAnsi="Arial"/>
        <w:noProof/>
        <w:sz w:val="12"/>
        <w:szCs w:val="24"/>
        <w:lang w:val="fr-FR" w:eastAsia="fr-FR"/>
      </w:rPr>
      <w:t>/adn_wp15_ac2_2016_</w:t>
    </w:r>
    <w:r>
      <w:rPr>
        <w:rFonts w:ascii="Arial" w:hAnsi="Arial"/>
        <w:noProof/>
        <w:sz w:val="12"/>
        <w:szCs w:val="24"/>
        <w:lang w:val="fr-FR" w:eastAsia="fr-FR"/>
      </w:rPr>
      <w:t>23</w:t>
    </w:r>
    <w:r w:rsidRPr="00F01848">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Footer"/>
      <w:tabs>
        <w:tab w:val="right" w:pos="9598"/>
      </w:tabs>
      <w:rPr>
        <w:b/>
        <w:sz w:val="18"/>
      </w:rPr>
    </w:pPr>
    <w:r>
      <w:t>GE.15-08536</w:t>
    </w:r>
    <w:r>
      <w:tab/>
    </w:r>
    <w:r w:rsidRPr="001A5D77">
      <w:rPr>
        <w:b/>
        <w:sz w:val="18"/>
      </w:rPr>
      <w:fldChar w:fldCharType="begin"/>
    </w:r>
    <w:r w:rsidRPr="001A5D77">
      <w:rPr>
        <w:b/>
        <w:sz w:val="18"/>
      </w:rPr>
      <w:instrText xml:space="preserve"> PAGE  \* MERGEFORMAT </w:instrText>
    </w:r>
    <w:r w:rsidRPr="001A5D77">
      <w:rPr>
        <w:b/>
        <w:sz w:val="18"/>
      </w:rPr>
      <w:fldChar w:fldCharType="separate"/>
    </w:r>
    <w:r w:rsidR="00EF5212">
      <w:rPr>
        <w:b/>
        <w:noProof/>
        <w:sz w:val="18"/>
      </w:rPr>
      <w:t>3</w:t>
    </w:r>
    <w:r w:rsidRPr="001A5D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72" w:rsidRPr="00FB1744" w:rsidRDefault="00CB6572" w:rsidP="00FB1744">
      <w:pPr>
        <w:tabs>
          <w:tab w:val="right" w:pos="2155"/>
        </w:tabs>
        <w:spacing w:after="80" w:line="240" w:lineRule="auto"/>
        <w:ind w:left="680"/>
      </w:pPr>
      <w:r>
        <w:rPr>
          <w:u w:val="single"/>
        </w:rPr>
        <w:tab/>
      </w:r>
    </w:p>
  </w:footnote>
  <w:footnote w:type="continuationSeparator" w:id="0">
    <w:p w:rsidR="00CB6572" w:rsidRPr="00FB1744" w:rsidRDefault="00CB6572" w:rsidP="00FB1744">
      <w:pPr>
        <w:tabs>
          <w:tab w:val="right" w:pos="2155"/>
        </w:tabs>
        <w:spacing w:after="80" w:line="240" w:lineRule="auto"/>
        <w:ind w:left="680"/>
      </w:pPr>
      <w:r>
        <w:rPr>
          <w:u w:val="single"/>
        </w:rPr>
        <w:tab/>
      </w:r>
    </w:p>
  </w:footnote>
  <w:footnote w:id="1">
    <w:p w:rsidR="000B1F9C" w:rsidRPr="00F01848" w:rsidRDefault="000B1F9C" w:rsidP="000B1F9C">
      <w:pPr>
        <w:pStyle w:val="FootnoteText"/>
        <w:widowControl w:val="0"/>
        <w:tabs>
          <w:tab w:val="clear" w:pos="1021"/>
          <w:tab w:val="right" w:pos="1020"/>
        </w:tabs>
        <w:rPr>
          <w:lang w:val="de-DE"/>
        </w:rPr>
      </w:pPr>
      <w:r>
        <w:tab/>
      </w:r>
      <w:r>
        <w:rPr>
          <w:rStyle w:val="FootnoteReference"/>
        </w:rPr>
        <w:footnoteRef/>
      </w:r>
      <w:r w:rsidRPr="00F01848">
        <w:rPr>
          <w:lang w:val="de-DE"/>
        </w:rPr>
        <w:tab/>
      </w:r>
      <w:r w:rsidR="00415B02" w:rsidRPr="00415B02">
        <w:rPr>
          <w:lang w:val="de-DE"/>
        </w:rPr>
        <w:t>Von der UN-ECE in Englisch, Französisch und Russisch unter dem Aktenzeichen TRANS/WP.15/AC.2/2016/23 verteilt.</w:t>
      </w:r>
      <w:r w:rsidRPr="00F01848">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48" w:rsidRPr="00F01848" w:rsidRDefault="00F01848" w:rsidP="00F01848">
    <w:pPr>
      <w:spacing w:line="240" w:lineRule="auto"/>
      <w:rPr>
        <w:rFonts w:ascii="Arial" w:hAnsi="Arial"/>
        <w:sz w:val="16"/>
        <w:szCs w:val="16"/>
        <w:lang w:eastAsia="fr-FR"/>
      </w:rPr>
    </w:pPr>
    <w:r w:rsidRPr="00F01848">
      <w:rPr>
        <w:rFonts w:ascii="Arial" w:hAnsi="Arial"/>
        <w:sz w:val="16"/>
        <w:szCs w:val="16"/>
        <w:lang w:eastAsia="fr-FR"/>
      </w:rPr>
      <w:t>CCNR-ZKR/ADN/WP.15/AC.2/2016/</w:t>
    </w:r>
    <w:r>
      <w:rPr>
        <w:rFonts w:ascii="Arial" w:hAnsi="Arial"/>
        <w:sz w:val="16"/>
        <w:szCs w:val="16"/>
        <w:lang w:eastAsia="fr-FR"/>
      </w:rPr>
      <w:t>23</w:t>
    </w:r>
  </w:p>
  <w:p w:rsidR="001A5D77" w:rsidRPr="00F01848" w:rsidRDefault="00F01848" w:rsidP="00F01848">
    <w:pPr>
      <w:spacing w:line="240" w:lineRule="auto"/>
    </w:pPr>
    <w:r w:rsidRPr="00F01848">
      <w:rPr>
        <w:rFonts w:ascii="Arial" w:hAnsi="Arial"/>
        <w:sz w:val="16"/>
        <w:szCs w:val="16"/>
        <w:lang w:val="fr-CH" w:eastAsia="fr-FR"/>
      </w:rPr>
      <w:t xml:space="preserve">Seite </w:t>
    </w:r>
    <w:r w:rsidRPr="00F01848">
      <w:rPr>
        <w:rFonts w:ascii="Arial" w:hAnsi="Arial"/>
        <w:sz w:val="16"/>
        <w:szCs w:val="16"/>
        <w:lang w:val="fr-CH" w:eastAsia="fr-FR"/>
      </w:rPr>
      <w:fldChar w:fldCharType="begin"/>
    </w:r>
    <w:r w:rsidRPr="00F01848">
      <w:rPr>
        <w:rFonts w:ascii="Arial" w:hAnsi="Arial"/>
        <w:sz w:val="16"/>
        <w:szCs w:val="16"/>
        <w:lang w:val="fr-CH" w:eastAsia="fr-FR"/>
      </w:rPr>
      <w:instrText xml:space="preserve"> PAGE  \* MERGEFORMAT </w:instrText>
    </w:r>
    <w:r w:rsidRPr="00F01848">
      <w:rPr>
        <w:rFonts w:ascii="Arial" w:hAnsi="Arial"/>
        <w:sz w:val="16"/>
        <w:szCs w:val="16"/>
        <w:lang w:val="fr-CH" w:eastAsia="fr-FR"/>
      </w:rPr>
      <w:fldChar w:fldCharType="separate"/>
    </w:r>
    <w:r w:rsidR="00EF69B5">
      <w:rPr>
        <w:rFonts w:ascii="Arial" w:hAnsi="Arial"/>
        <w:noProof/>
        <w:sz w:val="16"/>
        <w:szCs w:val="16"/>
        <w:lang w:val="fr-CH" w:eastAsia="fr-FR"/>
      </w:rPr>
      <w:t>2</w:t>
    </w:r>
    <w:r w:rsidRPr="00F01848">
      <w:rPr>
        <w:rFonts w:ascii="Arial" w:hAnsi="Arial"/>
        <w:sz w:val="16"/>
        <w:szCs w:val="16"/>
        <w:lang w:val="fr-CH"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7" w:rsidRPr="001A5D77" w:rsidRDefault="001A5D77" w:rsidP="001A5D77">
    <w:pPr>
      <w:pStyle w:val="Header"/>
      <w:jc w:val="right"/>
    </w:pPr>
    <w:r w:rsidRPr="001A5D77">
      <w:t>ECE/TRANS/WP.15/AC.2/2015/14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2662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46E92"/>
    <w:rsid w:val="0007681F"/>
    <w:rsid w:val="00092A39"/>
    <w:rsid w:val="000B1F9C"/>
    <w:rsid w:val="001170DC"/>
    <w:rsid w:val="001A0536"/>
    <w:rsid w:val="001A5D77"/>
    <w:rsid w:val="001E0828"/>
    <w:rsid w:val="00247E2C"/>
    <w:rsid w:val="00276EF1"/>
    <w:rsid w:val="002D6C53"/>
    <w:rsid w:val="002F5595"/>
    <w:rsid w:val="00334F6A"/>
    <w:rsid w:val="00336ADA"/>
    <w:rsid w:val="00342AC8"/>
    <w:rsid w:val="003B1001"/>
    <w:rsid w:val="003B1A31"/>
    <w:rsid w:val="003B4550"/>
    <w:rsid w:val="00415B02"/>
    <w:rsid w:val="00425286"/>
    <w:rsid w:val="00461253"/>
    <w:rsid w:val="00470FE6"/>
    <w:rsid w:val="005042C2"/>
    <w:rsid w:val="00527D5A"/>
    <w:rsid w:val="005E769A"/>
    <w:rsid w:val="00671529"/>
    <w:rsid w:val="00694649"/>
    <w:rsid w:val="006A3BE4"/>
    <w:rsid w:val="006A7DCE"/>
    <w:rsid w:val="00717266"/>
    <w:rsid w:val="007268F9"/>
    <w:rsid w:val="007A3B8A"/>
    <w:rsid w:val="007C52B0"/>
    <w:rsid w:val="007D23EB"/>
    <w:rsid w:val="008041D0"/>
    <w:rsid w:val="008C0AF4"/>
    <w:rsid w:val="009411B4"/>
    <w:rsid w:val="009D0139"/>
    <w:rsid w:val="009F5CDC"/>
    <w:rsid w:val="00A27070"/>
    <w:rsid w:val="00A775CF"/>
    <w:rsid w:val="00AB3C7E"/>
    <w:rsid w:val="00AC4F13"/>
    <w:rsid w:val="00B06045"/>
    <w:rsid w:val="00B72FE0"/>
    <w:rsid w:val="00C35A27"/>
    <w:rsid w:val="00C60377"/>
    <w:rsid w:val="00CB6572"/>
    <w:rsid w:val="00D74315"/>
    <w:rsid w:val="00E02C2B"/>
    <w:rsid w:val="00E60370"/>
    <w:rsid w:val="00E633DF"/>
    <w:rsid w:val="00ED6C48"/>
    <w:rsid w:val="00EF5212"/>
    <w:rsid w:val="00EF58C8"/>
    <w:rsid w:val="00EF69B5"/>
    <w:rsid w:val="00F01848"/>
    <w:rsid w:val="00F65F5D"/>
    <w:rsid w:val="00F83D07"/>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558D-6F96-4920-81EC-F941B438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1508536</vt:lpstr>
      <vt:lpstr>1508536</vt:lpstr>
    </vt:vector>
  </TitlesOfParts>
  <Company>DCM</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Caillot</cp:lastModifiedBy>
  <cp:revision>2</cp:revision>
  <cp:lastPrinted>2015-12-14T08:01:00Z</cp:lastPrinted>
  <dcterms:created xsi:type="dcterms:W3CDTF">2015-12-14T10:36:00Z</dcterms:created>
  <dcterms:modified xsi:type="dcterms:W3CDTF">2015-12-14T10:36:00Z</dcterms:modified>
</cp:coreProperties>
</file>