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rsidTr="00F01516">
        <w:trPr>
          <w:trHeight w:hRule="exact" w:val="851"/>
        </w:trPr>
        <w:tc>
          <w:tcPr>
            <w:tcW w:w="1277" w:type="dxa"/>
            <w:tcBorders>
              <w:bottom w:val="single" w:sz="4" w:space="0" w:color="auto"/>
            </w:tcBorders>
          </w:tcPr>
          <w:p w:rsidR="003D1DF3" w:rsidRPr="00DB58B5" w:rsidRDefault="003D1DF3" w:rsidP="00F01516"/>
        </w:tc>
        <w:tc>
          <w:tcPr>
            <w:tcW w:w="2268" w:type="dxa"/>
            <w:tcBorders>
              <w:bottom w:val="single" w:sz="4" w:space="0" w:color="auto"/>
            </w:tcBorders>
            <w:vAlign w:val="bottom"/>
          </w:tcPr>
          <w:p w:rsidR="003D1DF3" w:rsidRPr="00DB58B5" w:rsidRDefault="003D1DF3" w:rsidP="00F01516">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rsidR="003D1DF3" w:rsidRPr="00DB58B5" w:rsidRDefault="00CD4281" w:rsidP="00983A20">
            <w:pPr>
              <w:jc w:val="right"/>
            </w:pPr>
            <w:r w:rsidRPr="00CD4281">
              <w:rPr>
                <w:sz w:val="40"/>
              </w:rPr>
              <w:t>ECE</w:t>
            </w:r>
            <w:r w:rsidR="00AF1499">
              <w:t>/TRANS/WP.15/AC.2/201</w:t>
            </w:r>
            <w:r w:rsidR="00CB0B63">
              <w:t>6</w:t>
            </w:r>
            <w:r>
              <w:t>/</w:t>
            </w:r>
            <w:r w:rsidR="007D70C8">
              <w:t>1</w:t>
            </w:r>
            <w:r w:rsidR="00983A20">
              <w:t>8</w:t>
            </w:r>
          </w:p>
        </w:tc>
      </w:tr>
      <w:tr w:rsidR="003D1DF3" w:rsidRPr="00DB58B5" w:rsidTr="00F01516">
        <w:trPr>
          <w:trHeight w:hRule="exact" w:val="2835"/>
        </w:trPr>
        <w:tc>
          <w:tcPr>
            <w:tcW w:w="1276" w:type="dxa"/>
            <w:tcBorders>
              <w:top w:val="single" w:sz="4" w:space="0" w:color="auto"/>
              <w:bottom w:val="single" w:sz="12" w:space="0" w:color="auto"/>
            </w:tcBorders>
          </w:tcPr>
          <w:p w:rsidR="003D1DF3" w:rsidRPr="00DB58B5" w:rsidRDefault="00523538" w:rsidP="00F01516">
            <w:pPr>
              <w:spacing w:before="120"/>
              <w:jc w:val="center"/>
            </w:pPr>
            <w:r>
              <w:rPr>
                <w:noProof/>
                <w:lang w:val="en-GB" w:eastAsia="en-GB"/>
              </w:rPr>
              <w:drawing>
                <wp:inline distT="0" distB="0" distL="0" distR="0">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740562" w:rsidRDefault="003D1DF3" w:rsidP="00F0151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CD4281" w:rsidRDefault="00CD4281" w:rsidP="00F01516">
            <w:pPr>
              <w:spacing w:before="240"/>
            </w:pPr>
            <w:proofErr w:type="spellStart"/>
            <w:r>
              <w:t>Distr</w:t>
            </w:r>
            <w:proofErr w:type="spellEnd"/>
            <w:r>
              <w:t>. générale</w:t>
            </w:r>
          </w:p>
          <w:p w:rsidR="00CD4281" w:rsidRDefault="00127A23" w:rsidP="00CD4281">
            <w:pPr>
              <w:spacing w:line="240" w:lineRule="exact"/>
            </w:pPr>
            <w:r>
              <w:t>3</w:t>
            </w:r>
            <w:r w:rsidR="00E61E81">
              <w:t xml:space="preserve"> novembre</w:t>
            </w:r>
            <w:r w:rsidR="00911DA7">
              <w:t xml:space="preserve"> </w:t>
            </w:r>
            <w:r w:rsidR="00CD4281">
              <w:t>201</w:t>
            </w:r>
            <w:r w:rsidR="006B6C93">
              <w:t>5</w:t>
            </w:r>
          </w:p>
          <w:p w:rsidR="001B0BE2" w:rsidRDefault="001B0BE2" w:rsidP="00CD4281">
            <w:pPr>
              <w:spacing w:line="240" w:lineRule="exact"/>
            </w:pPr>
          </w:p>
          <w:p w:rsidR="003D1DF3" w:rsidRPr="00DB58B5" w:rsidRDefault="00CD4281" w:rsidP="00AF1499">
            <w:pPr>
              <w:spacing w:line="240" w:lineRule="exact"/>
            </w:pPr>
            <w:r>
              <w:t xml:space="preserve">Original: </w:t>
            </w:r>
            <w:r w:rsidR="001B0BE2">
              <w:t>français</w:t>
            </w:r>
          </w:p>
        </w:tc>
      </w:tr>
    </w:tbl>
    <w:p w:rsidR="00FF1DBD" w:rsidRPr="000312C0" w:rsidRDefault="000312C0" w:rsidP="000312C0">
      <w:pPr>
        <w:spacing w:before="120"/>
        <w:rPr>
          <w:b/>
          <w:sz w:val="28"/>
          <w:szCs w:val="28"/>
        </w:rPr>
      </w:pPr>
      <w:r w:rsidRPr="000312C0">
        <w:rPr>
          <w:b/>
          <w:sz w:val="28"/>
          <w:szCs w:val="28"/>
        </w:rPr>
        <w:t>Commission économique pour l</w:t>
      </w:r>
      <w:r w:rsidR="004D0439">
        <w:rPr>
          <w:b/>
          <w:sz w:val="28"/>
          <w:szCs w:val="28"/>
        </w:rPr>
        <w:t>’</w:t>
      </w:r>
      <w:r w:rsidRPr="000312C0">
        <w:rPr>
          <w:b/>
          <w:sz w:val="28"/>
          <w:szCs w:val="28"/>
        </w:rPr>
        <w:t>Europe</w:t>
      </w:r>
    </w:p>
    <w:p w:rsidR="00B93E72" w:rsidRPr="009E01B8" w:rsidRDefault="00B93E72" w:rsidP="00B93E72">
      <w:pPr>
        <w:spacing w:before="120"/>
        <w:rPr>
          <w:sz w:val="28"/>
          <w:szCs w:val="28"/>
        </w:rPr>
      </w:pPr>
      <w:r w:rsidRPr="009E01B8">
        <w:rPr>
          <w:sz w:val="28"/>
          <w:szCs w:val="28"/>
        </w:rPr>
        <w:t>Comité des transports intérieurs</w:t>
      </w:r>
    </w:p>
    <w:p w:rsidR="00B93E72" w:rsidRPr="009E01B8" w:rsidRDefault="00B93E72" w:rsidP="00B93E72">
      <w:pPr>
        <w:spacing w:before="120"/>
        <w:rPr>
          <w:b/>
          <w:sz w:val="24"/>
          <w:szCs w:val="24"/>
        </w:rPr>
      </w:pPr>
      <w:r w:rsidRPr="009E01B8">
        <w:rPr>
          <w:b/>
          <w:sz w:val="24"/>
          <w:szCs w:val="24"/>
        </w:rPr>
        <w:t>Groupe de travail des transports</w:t>
      </w:r>
      <w:r w:rsidR="00CE5BF6">
        <w:rPr>
          <w:b/>
          <w:sz w:val="24"/>
          <w:szCs w:val="24"/>
        </w:rPr>
        <w:t xml:space="preserve"> </w:t>
      </w:r>
      <w:r w:rsidRPr="009E01B8">
        <w:rPr>
          <w:b/>
          <w:sz w:val="24"/>
          <w:szCs w:val="24"/>
        </w:rPr>
        <w:t>de marchandises dangereuses</w:t>
      </w:r>
    </w:p>
    <w:p w:rsidR="00B93E72" w:rsidRPr="004812F5" w:rsidRDefault="00234E40" w:rsidP="00B93E72">
      <w:pPr>
        <w:spacing w:before="120"/>
        <w:rPr>
          <w:b/>
        </w:rPr>
      </w:pPr>
      <w:r w:rsidRPr="004812F5">
        <w:rPr>
          <w:b/>
          <w:lang w:val="fr-FR"/>
        </w:rPr>
        <w:t>Réunion commune d</w:t>
      </w:r>
      <w:r w:rsidR="004D0439">
        <w:rPr>
          <w:b/>
          <w:lang w:val="fr-FR"/>
        </w:rPr>
        <w:t>’</w:t>
      </w:r>
      <w:r w:rsidRPr="004812F5">
        <w:rPr>
          <w:b/>
          <w:lang w:val="fr-FR"/>
        </w:rPr>
        <w:t>experts sur le Règlement annexé</w:t>
      </w:r>
      <w:r w:rsidR="00CE5BF6">
        <w:rPr>
          <w:b/>
          <w:lang w:val="fr-FR"/>
        </w:rPr>
        <w:br/>
      </w:r>
      <w:r w:rsidRPr="004812F5">
        <w:rPr>
          <w:b/>
          <w:lang w:val="fr-FR"/>
        </w:rPr>
        <w:t>à l</w:t>
      </w:r>
      <w:r w:rsidR="004D0439">
        <w:rPr>
          <w:b/>
          <w:lang w:val="fr-FR"/>
        </w:rPr>
        <w:t>’</w:t>
      </w:r>
      <w:r w:rsidRPr="004812F5">
        <w:rPr>
          <w:b/>
          <w:lang w:val="fr-FR"/>
        </w:rPr>
        <w:t>Accord européen</w:t>
      </w:r>
      <w:r w:rsidR="00CE5BF6">
        <w:rPr>
          <w:b/>
          <w:lang w:val="fr-FR"/>
        </w:rPr>
        <w:t xml:space="preserve"> </w:t>
      </w:r>
      <w:r w:rsidRPr="004812F5">
        <w:rPr>
          <w:b/>
          <w:lang w:val="fr-FR"/>
        </w:rPr>
        <w:t>relatif au transport international</w:t>
      </w:r>
      <w:r w:rsidR="00CE5BF6">
        <w:rPr>
          <w:b/>
          <w:lang w:val="fr-FR"/>
        </w:rPr>
        <w:br/>
      </w:r>
      <w:r w:rsidRPr="004812F5">
        <w:rPr>
          <w:b/>
          <w:lang w:val="fr-FR"/>
        </w:rPr>
        <w:t xml:space="preserve">des marchandises </w:t>
      </w:r>
      <w:r w:rsidRPr="004812F5">
        <w:rPr>
          <w:b/>
          <w:bCs/>
          <w:iCs/>
          <w:lang w:val="fr-FR"/>
        </w:rPr>
        <w:t>dangereuses par voies</w:t>
      </w:r>
      <w:r w:rsidR="00CE5BF6">
        <w:rPr>
          <w:b/>
          <w:bCs/>
          <w:iCs/>
          <w:lang w:val="fr-FR"/>
        </w:rPr>
        <w:t xml:space="preserve"> </w:t>
      </w:r>
      <w:r w:rsidRPr="004812F5">
        <w:rPr>
          <w:b/>
          <w:bCs/>
          <w:iCs/>
          <w:lang w:val="fr-FR"/>
        </w:rPr>
        <w:t>de navigation</w:t>
      </w:r>
      <w:r w:rsidR="00CE5BF6">
        <w:rPr>
          <w:b/>
          <w:bCs/>
          <w:iCs/>
          <w:lang w:val="fr-FR"/>
        </w:rPr>
        <w:br/>
      </w:r>
      <w:r w:rsidRPr="004812F5">
        <w:rPr>
          <w:b/>
          <w:bCs/>
          <w:iCs/>
          <w:lang w:val="fr-FR"/>
        </w:rPr>
        <w:t xml:space="preserve">intérieures (ADN) </w:t>
      </w:r>
      <w:r w:rsidRPr="004812F5">
        <w:rPr>
          <w:b/>
          <w:bCs/>
          <w:lang w:val="fr-FR"/>
        </w:rPr>
        <w:t>(Comité de sécurité de l</w:t>
      </w:r>
      <w:r w:rsidR="004D0439">
        <w:rPr>
          <w:b/>
          <w:bCs/>
          <w:lang w:val="fr-FR"/>
        </w:rPr>
        <w:t>’</w:t>
      </w:r>
      <w:r w:rsidRPr="004812F5">
        <w:rPr>
          <w:b/>
          <w:bCs/>
          <w:lang w:val="fr-FR"/>
        </w:rPr>
        <w:t>ADN)</w:t>
      </w:r>
    </w:p>
    <w:p w:rsidR="00234E40" w:rsidRPr="00234E40" w:rsidRDefault="004A5935" w:rsidP="004812F5">
      <w:pPr>
        <w:spacing w:before="120"/>
        <w:rPr>
          <w:b/>
        </w:rPr>
      </w:pPr>
      <w:r>
        <w:rPr>
          <w:b/>
        </w:rPr>
        <w:t>Vingt</w:t>
      </w:r>
      <w:r w:rsidR="001B0BE2">
        <w:rPr>
          <w:b/>
        </w:rPr>
        <w:t>-</w:t>
      </w:r>
      <w:r w:rsidR="00523538">
        <w:rPr>
          <w:b/>
        </w:rPr>
        <w:t>huitième</w:t>
      </w:r>
      <w:r>
        <w:rPr>
          <w:b/>
        </w:rPr>
        <w:t xml:space="preserve"> </w:t>
      </w:r>
      <w:r w:rsidR="00234E40" w:rsidRPr="00234E40">
        <w:rPr>
          <w:b/>
        </w:rPr>
        <w:t>session</w:t>
      </w:r>
    </w:p>
    <w:p w:rsidR="00B93E72" w:rsidRDefault="003E5551" w:rsidP="00B93E72">
      <w:r>
        <w:t xml:space="preserve">Genève, </w:t>
      </w:r>
      <w:r w:rsidR="004A5935">
        <w:t>2</w:t>
      </w:r>
      <w:r w:rsidR="00CB0B63">
        <w:t>5</w:t>
      </w:r>
      <w:r w:rsidR="004A5935">
        <w:t>-</w:t>
      </w:r>
      <w:r w:rsidR="006B6C93">
        <w:t>2</w:t>
      </w:r>
      <w:r w:rsidR="00CB0B63">
        <w:t>9</w:t>
      </w:r>
      <w:r w:rsidR="004A5935">
        <w:t xml:space="preserve"> </w:t>
      </w:r>
      <w:r w:rsidR="00CB0B63">
        <w:t>janvier</w:t>
      </w:r>
      <w:r w:rsidR="00B73AAE">
        <w:t xml:space="preserve"> 20</w:t>
      </w:r>
      <w:r w:rsidR="00263074">
        <w:t>1</w:t>
      </w:r>
      <w:r w:rsidR="00CB0B63">
        <w:t>6</w:t>
      </w:r>
    </w:p>
    <w:p w:rsidR="000312C0" w:rsidRDefault="00B93E72" w:rsidP="00B93E72">
      <w:r w:rsidRPr="00B93E72">
        <w:t xml:space="preserve">Point </w:t>
      </w:r>
      <w:r w:rsidR="00D92026">
        <w:t>5</w:t>
      </w:r>
      <w:r w:rsidR="006B6C93">
        <w:t xml:space="preserve"> b</w:t>
      </w:r>
      <w:r w:rsidR="001636E0">
        <w:t>)</w:t>
      </w:r>
      <w:r w:rsidRPr="00B93E72">
        <w:t xml:space="preserve"> de l</w:t>
      </w:r>
      <w:r w:rsidR="004D0439">
        <w:t>’</w:t>
      </w:r>
      <w:r w:rsidRPr="00B93E72">
        <w:t>ordre du jour provisoire</w:t>
      </w:r>
    </w:p>
    <w:p w:rsidR="00602512" w:rsidRPr="00602512" w:rsidRDefault="00602512" w:rsidP="00602512">
      <w:pPr>
        <w:rPr>
          <w:b/>
          <w:lang w:val="fr-FR"/>
        </w:rPr>
      </w:pPr>
      <w:r w:rsidRPr="00602512">
        <w:rPr>
          <w:b/>
          <w:lang w:val="fr-FR"/>
        </w:rPr>
        <w:t>Propositions d’amendements au règlement annexé à l’ADN</w:t>
      </w:r>
      <w:r>
        <w:rPr>
          <w:b/>
          <w:lang w:val="fr-FR"/>
        </w:rPr>
        <w:t>:</w:t>
      </w:r>
    </w:p>
    <w:p w:rsidR="00602512" w:rsidRPr="00602512" w:rsidRDefault="00602512" w:rsidP="00602512">
      <w:pPr>
        <w:suppressAutoHyphens w:val="0"/>
        <w:spacing w:line="240" w:lineRule="auto"/>
        <w:rPr>
          <w:color w:val="000000"/>
          <w:szCs w:val="24"/>
          <w:lang w:val="fr-FR" w:eastAsia="fr-FR"/>
        </w:rPr>
      </w:pPr>
      <w:r w:rsidRPr="00602512">
        <w:rPr>
          <w:b/>
          <w:color w:val="000000"/>
          <w:szCs w:val="24"/>
          <w:lang w:val="fr-FR" w:eastAsia="fr-FR"/>
        </w:rPr>
        <w:t>Autres propositions</w:t>
      </w:r>
    </w:p>
    <w:p w:rsidR="00983A20" w:rsidRPr="00983A20" w:rsidRDefault="00983A20" w:rsidP="00F311BC">
      <w:pPr>
        <w:pStyle w:val="HChG"/>
        <w:rPr>
          <w:lang w:val="fr-FR"/>
        </w:rPr>
      </w:pPr>
      <w:r w:rsidRPr="00983A20">
        <w:rPr>
          <w:lang w:val="fr-FR"/>
        </w:rPr>
        <w:tab/>
      </w:r>
      <w:r w:rsidRPr="00983A20">
        <w:rPr>
          <w:lang w:val="fr-FR"/>
        </w:rPr>
        <w:tab/>
      </w:r>
      <w:r w:rsidRPr="00983A20">
        <w:rPr>
          <w:lang w:val="fr-FR" w:eastAsia="fr-FR"/>
        </w:rPr>
        <w:t xml:space="preserve">1.4.3 </w:t>
      </w:r>
      <w:bookmarkStart w:id="0" w:name="_GoBack"/>
      <w:bookmarkEnd w:id="0"/>
      <w:proofErr w:type="gramStart"/>
      <w:r>
        <w:rPr>
          <w:lang w:val="fr-FR" w:eastAsia="fr-FR"/>
        </w:rPr>
        <w:t>de</w:t>
      </w:r>
      <w:proofErr w:type="gramEnd"/>
      <w:r>
        <w:rPr>
          <w:lang w:val="fr-FR" w:eastAsia="fr-FR"/>
        </w:rPr>
        <w:t xml:space="preserve"> l'</w:t>
      </w:r>
      <w:r w:rsidRPr="00983A20">
        <w:rPr>
          <w:lang w:val="fr-FR" w:eastAsia="fr-FR"/>
        </w:rPr>
        <w:t>ADN, obligations du remplisseur et du déchargeur</w:t>
      </w:r>
    </w:p>
    <w:p w:rsidR="00983A20" w:rsidRPr="00983A20" w:rsidRDefault="00983A20" w:rsidP="00F311BC">
      <w:pPr>
        <w:pStyle w:val="H1G"/>
        <w:rPr>
          <w:lang w:val="fr-FR"/>
        </w:rPr>
      </w:pPr>
      <w:r w:rsidRPr="00983A20">
        <w:rPr>
          <w:lang w:val="fr-FR"/>
        </w:rPr>
        <w:tab/>
      </w:r>
      <w:r w:rsidRPr="00983A20">
        <w:rPr>
          <w:lang w:val="fr-FR"/>
        </w:rPr>
        <w:tab/>
      </w:r>
      <w:r w:rsidRPr="00983A20">
        <w:rPr>
          <w:lang w:val="fr-FR" w:bidi="fr-FR"/>
        </w:rPr>
        <w:t>Communication du Gouvernement de l'Allemagne</w:t>
      </w:r>
      <w:r w:rsidRPr="00C26A6F">
        <w:rPr>
          <w:snapToGrid w:val="0"/>
          <w:sz w:val="22"/>
          <w:szCs w:val="22"/>
          <w:vertAlign w:val="superscript"/>
          <w:lang w:val="fr-FR" w:eastAsia="fr-FR"/>
        </w:rPr>
        <w:footnoteReference w:id="2"/>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5953"/>
      </w:tblGrid>
      <w:tr w:rsidR="00983A20" w:rsidRPr="00983A20" w:rsidTr="006C1D09">
        <w:trPr>
          <w:jc w:val="center"/>
        </w:trPr>
        <w:tc>
          <w:tcPr>
            <w:tcW w:w="2552" w:type="dxa"/>
          </w:tcPr>
          <w:p w:rsidR="00983A20" w:rsidRPr="00983A20" w:rsidRDefault="00983A20" w:rsidP="00983A20">
            <w:pPr>
              <w:tabs>
                <w:tab w:val="left" w:pos="284"/>
              </w:tabs>
              <w:spacing w:before="120" w:after="120"/>
              <w:rPr>
                <w:lang w:val="fr-FR"/>
              </w:rPr>
            </w:pPr>
            <w:r w:rsidRPr="00983A20">
              <w:rPr>
                <w:i/>
                <w:sz w:val="24"/>
                <w:lang w:val="fr-FR"/>
              </w:rPr>
              <w:t>Résumé</w:t>
            </w:r>
          </w:p>
        </w:tc>
        <w:tc>
          <w:tcPr>
            <w:tcW w:w="5953" w:type="dxa"/>
          </w:tcPr>
          <w:p w:rsidR="00983A20" w:rsidRPr="00983A20" w:rsidRDefault="00983A20" w:rsidP="00983A20">
            <w:pPr>
              <w:spacing w:before="120" w:after="120"/>
              <w:rPr>
                <w:lang w:val="de-DE"/>
              </w:rPr>
            </w:pPr>
          </w:p>
        </w:tc>
      </w:tr>
      <w:tr w:rsidR="00983A20" w:rsidRPr="00983A20" w:rsidTr="006C1D09">
        <w:trPr>
          <w:jc w:val="center"/>
        </w:trPr>
        <w:tc>
          <w:tcPr>
            <w:tcW w:w="2552" w:type="dxa"/>
          </w:tcPr>
          <w:p w:rsidR="00983A20" w:rsidRPr="00983A20" w:rsidRDefault="00983A20" w:rsidP="00983A20">
            <w:pPr>
              <w:tabs>
                <w:tab w:val="left" w:pos="284"/>
              </w:tabs>
              <w:spacing w:before="120" w:after="120"/>
              <w:rPr>
                <w:lang w:val="fr-FR"/>
              </w:rPr>
            </w:pPr>
            <w:r w:rsidRPr="00983A20">
              <w:rPr>
                <w:b/>
                <w:lang w:val="fr-FR"/>
              </w:rPr>
              <w:t>Résumé analytique :</w:t>
            </w:r>
          </w:p>
        </w:tc>
        <w:tc>
          <w:tcPr>
            <w:tcW w:w="5953" w:type="dxa"/>
          </w:tcPr>
          <w:p w:rsidR="00983A20" w:rsidRPr="00983A20" w:rsidRDefault="00983A20" w:rsidP="00983A20">
            <w:pPr>
              <w:spacing w:before="120" w:after="120"/>
              <w:rPr>
                <w:lang w:val="fr-FR"/>
              </w:rPr>
            </w:pPr>
            <w:r w:rsidRPr="00983A20">
              <w:rPr>
                <w:lang w:val="fr-FR"/>
              </w:rPr>
              <w:t>Les prescriptions concernant le calcul et le respect des débits de chargement et de déchargement admissibles décrits aux 9.3.2.25.9 et 9.3.3.25.9 sont formulées de manière imprécise et trop vague.</w:t>
            </w:r>
          </w:p>
        </w:tc>
      </w:tr>
      <w:tr w:rsidR="00983A20" w:rsidRPr="00983A20" w:rsidTr="006C1D09">
        <w:trPr>
          <w:jc w:val="center"/>
        </w:trPr>
        <w:tc>
          <w:tcPr>
            <w:tcW w:w="2552" w:type="dxa"/>
          </w:tcPr>
          <w:p w:rsidR="00983A20" w:rsidRPr="00983A20" w:rsidRDefault="00983A20" w:rsidP="00983A20">
            <w:pPr>
              <w:tabs>
                <w:tab w:val="left" w:pos="284"/>
              </w:tabs>
              <w:spacing w:before="120" w:after="120"/>
              <w:rPr>
                <w:b/>
                <w:lang w:val="fr-FR"/>
              </w:rPr>
            </w:pPr>
            <w:r w:rsidRPr="00983A20">
              <w:rPr>
                <w:b/>
                <w:lang w:val="fr-FR"/>
              </w:rPr>
              <w:t>Mesures à prendre :</w:t>
            </w:r>
          </w:p>
        </w:tc>
        <w:tc>
          <w:tcPr>
            <w:tcW w:w="5953" w:type="dxa"/>
          </w:tcPr>
          <w:p w:rsidR="00983A20" w:rsidRPr="00983A20" w:rsidRDefault="00983A20" w:rsidP="00983A20">
            <w:pPr>
              <w:widowControl w:val="0"/>
              <w:suppressAutoHyphens w:val="0"/>
              <w:overflowPunct w:val="0"/>
              <w:autoSpaceDE w:val="0"/>
              <w:autoSpaceDN w:val="0"/>
              <w:adjustRightInd w:val="0"/>
              <w:spacing w:before="60" w:after="60"/>
              <w:ind w:left="11"/>
              <w:jc w:val="both"/>
              <w:textAlignment w:val="baseline"/>
              <w:rPr>
                <w:lang w:val="fr-FR"/>
              </w:rPr>
            </w:pPr>
            <w:r w:rsidRPr="00983A20">
              <w:rPr>
                <w:lang w:val="fr-FR"/>
              </w:rPr>
              <w:t>Modification des obligations relatives au respect des débits de chargement et de déchargement au 1.4.3.3 pour le remplisseur et au 1.4.3.7.1 pour le déchargeur ;</w:t>
            </w:r>
          </w:p>
          <w:p w:rsidR="00983A20" w:rsidRPr="00983A20" w:rsidRDefault="00983A20" w:rsidP="00983A20">
            <w:pPr>
              <w:widowControl w:val="0"/>
              <w:suppressAutoHyphens w:val="0"/>
              <w:overflowPunct w:val="0"/>
              <w:autoSpaceDE w:val="0"/>
              <w:autoSpaceDN w:val="0"/>
              <w:adjustRightInd w:val="0"/>
              <w:spacing w:before="60" w:after="60"/>
              <w:ind w:left="11"/>
              <w:jc w:val="both"/>
              <w:textAlignment w:val="baseline"/>
              <w:rPr>
                <w:lang w:val="fr-FR"/>
              </w:rPr>
            </w:pPr>
            <w:r w:rsidRPr="00983A20">
              <w:rPr>
                <w:lang w:val="fr-FR"/>
              </w:rPr>
              <w:t>modification des indications dans le certificat d’agrément pour les bateaux-citernes ;</w:t>
            </w:r>
          </w:p>
          <w:p w:rsidR="00983A20" w:rsidRPr="00983A20" w:rsidRDefault="00983A20" w:rsidP="00983A20">
            <w:pPr>
              <w:spacing w:before="120" w:after="120"/>
              <w:rPr>
                <w:lang w:val="fr-FR"/>
              </w:rPr>
            </w:pPr>
            <w:r w:rsidRPr="00983A20">
              <w:rPr>
                <w:lang w:val="fr-FR"/>
              </w:rPr>
              <w:t>définir qui doit rédiger les instructions relatives aux débits de chargement et de déchargement admissibles.</w:t>
            </w:r>
          </w:p>
        </w:tc>
      </w:tr>
      <w:tr w:rsidR="00983A20" w:rsidRPr="00983A20" w:rsidTr="006C1D09">
        <w:trPr>
          <w:jc w:val="center"/>
        </w:trPr>
        <w:tc>
          <w:tcPr>
            <w:tcW w:w="2552" w:type="dxa"/>
          </w:tcPr>
          <w:p w:rsidR="00983A20" w:rsidRPr="00983A20" w:rsidRDefault="00983A20" w:rsidP="00983A20">
            <w:pPr>
              <w:tabs>
                <w:tab w:val="left" w:pos="284"/>
              </w:tabs>
              <w:spacing w:before="120" w:after="120"/>
              <w:rPr>
                <w:b/>
                <w:lang w:val="fr-FR"/>
              </w:rPr>
            </w:pPr>
            <w:r w:rsidRPr="00983A20">
              <w:rPr>
                <w:b/>
                <w:snapToGrid w:val="0"/>
                <w:lang w:val="fr-FR" w:eastAsia="fr-FR"/>
              </w:rPr>
              <w:t>Documents connexes :</w:t>
            </w:r>
          </w:p>
        </w:tc>
        <w:tc>
          <w:tcPr>
            <w:tcW w:w="5953" w:type="dxa"/>
          </w:tcPr>
          <w:p w:rsidR="00983A20" w:rsidRPr="00983A20" w:rsidRDefault="00983A20" w:rsidP="00983A20">
            <w:pPr>
              <w:widowControl w:val="0"/>
              <w:suppressAutoHyphens w:val="0"/>
              <w:overflowPunct w:val="0"/>
              <w:autoSpaceDE w:val="0"/>
              <w:autoSpaceDN w:val="0"/>
              <w:adjustRightInd w:val="0"/>
              <w:spacing w:before="120" w:after="120" w:line="240" w:lineRule="auto"/>
              <w:textAlignment w:val="baseline"/>
              <w:rPr>
                <w:lang w:val="fr-FR"/>
              </w:rPr>
            </w:pPr>
            <w:r w:rsidRPr="00983A20">
              <w:rPr>
                <w:lang w:val="fr-FR"/>
              </w:rPr>
              <w:t>Aucun</w:t>
            </w:r>
          </w:p>
        </w:tc>
      </w:tr>
    </w:tbl>
    <w:p w:rsidR="00983A20" w:rsidRPr="00983A20" w:rsidRDefault="00983A20" w:rsidP="00983A20">
      <w:pPr>
        <w:pStyle w:val="HChG"/>
        <w:rPr>
          <w:lang w:val="fr-FR" w:eastAsia="fr-FR"/>
        </w:rPr>
      </w:pPr>
      <w:r>
        <w:rPr>
          <w:lang w:val="fr-FR" w:eastAsia="fr-FR"/>
        </w:rPr>
        <w:lastRenderedPageBreak/>
        <w:tab/>
      </w:r>
      <w:r>
        <w:rPr>
          <w:lang w:val="fr-FR" w:eastAsia="fr-FR"/>
        </w:rPr>
        <w:tab/>
      </w:r>
      <w:r w:rsidRPr="00983A20">
        <w:rPr>
          <w:lang w:val="fr-FR" w:eastAsia="fr-FR"/>
        </w:rPr>
        <w:t>Introduction</w:t>
      </w:r>
    </w:p>
    <w:p w:rsidR="00983A20" w:rsidRPr="00983A20" w:rsidRDefault="00983A20" w:rsidP="00983A20">
      <w:pPr>
        <w:pStyle w:val="SingleTxtG"/>
        <w:rPr>
          <w:lang w:val="fr-FR" w:eastAsia="fr-FR"/>
        </w:rPr>
      </w:pPr>
      <w:r w:rsidRPr="00983A20">
        <w:rPr>
          <w:lang w:val="fr-FR" w:eastAsia="fr-FR"/>
        </w:rPr>
        <w:t>1.</w:t>
      </w:r>
      <w:r w:rsidRPr="00983A20">
        <w:rPr>
          <w:lang w:val="fr-FR" w:eastAsia="fr-FR"/>
        </w:rPr>
        <w:tab/>
        <w:t xml:space="preserve">Les 9.3.2.25.9 et 9.3.3.25.9 établissent que, pour les bateaux-citernes des types C et N, les débits de chargement et de déchargement admissibles doivent être calculés. Les débits maximum admissibles pour le chargement et le déchargement pour chaque citerne à cargaison ou chaque groupe de citernes à cargaison doivent figurer à bord dans des instructions (voir aussi 8.1.2.3 </w:t>
      </w:r>
      <w:proofErr w:type="gramStart"/>
      <w:r w:rsidRPr="00983A20">
        <w:rPr>
          <w:lang w:val="fr-FR" w:eastAsia="fr-FR"/>
        </w:rPr>
        <w:t>lettre</w:t>
      </w:r>
      <w:proofErr w:type="gramEnd"/>
      <w:r w:rsidRPr="00983A20">
        <w:rPr>
          <w:lang w:val="fr-FR" w:eastAsia="fr-FR"/>
        </w:rPr>
        <w:t xml:space="preserve"> i)</w:t>
      </w:r>
      <w:r>
        <w:rPr>
          <w:lang w:val="fr-FR" w:eastAsia="fr-FR"/>
        </w:rPr>
        <w:t>)</w:t>
      </w:r>
      <w:r w:rsidRPr="00983A20">
        <w:rPr>
          <w:lang w:val="fr-FR" w:eastAsia="fr-FR"/>
        </w:rPr>
        <w:t>.</w:t>
      </w:r>
    </w:p>
    <w:p w:rsidR="00983A20" w:rsidRPr="00983A20" w:rsidRDefault="00983A20" w:rsidP="00983A20">
      <w:pPr>
        <w:pStyle w:val="SingleTxtG"/>
        <w:rPr>
          <w:lang w:val="fr-FR" w:eastAsia="fr-FR"/>
        </w:rPr>
      </w:pPr>
      <w:r w:rsidRPr="00983A20">
        <w:rPr>
          <w:lang w:val="fr-FR" w:eastAsia="fr-FR"/>
        </w:rPr>
        <w:t>2.</w:t>
      </w:r>
      <w:r w:rsidRPr="00983A20">
        <w:rPr>
          <w:lang w:val="fr-FR" w:eastAsia="fr-FR"/>
        </w:rPr>
        <w:tab/>
        <w:t xml:space="preserve">Le remplisseur dans le 1.4.3.3, </w:t>
      </w:r>
      <w:r>
        <w:rPr>
          <w:lang w:val="fr-FR" w:eastAsia="fr-FR"/>
        </w:rPr>
        <w:t>lettre s)</w:t>
      </w:r>
      <w:r w:rsidRPr="00983A20">
        <w:rPr>
          <w:lang w:val="fr-FR" w:eastAsia="fr-FR"/>
        </w:rPr>
        <w:t>, respectivement le déchargeur dans le 1.4.3.7.1 lettre j), est tenu d’observer les « instructions de chargement ». Cette expression ne correspond pas au texte des règles de construction aux 9.3.2.25.9 et 9.3.3.25.9 et prête à malentendus.</w:t>
      </w:r>
    </w:p>
    <w:p w:rsidR="00983A20" w:rsidRPr="00983A20" w:rsidRDefault="00983A20" w:rsidP="00983A20">
      <w:pPr>
        <w:pStyle w:val="SingleTxtG"/>
        <w:rPr>
          <w:lang w:val="fr-FR" w:eastAsia="fr-FR"/>
        </w:rPr>
      </w:pPr>
      <w:r w:rsidRPr="00983A20">
        <w:rPr>
          <w:lang w:val="fr-FR" w:eastAsia="fr-FR"/>
        </w:rPr>
        <w:t>3.</w:t>
      </w:r>
      <w:r w:rsidRPr="00983A20">
        <w:rPr>
          <w:lang w:val="fr-FR" w:eastAsia="fr-FR"/>
        </w:rPr>
        <w:tab/>
        <w:t xml:space="preserve">Au 1.4.3.7.1 j), le déchargeur doit s’assurer que les débits de </w:t>
      </w:r>
      <w:r w:rsidRPr="00983A20">
        <w:rPr>
          <w:b/>
          <w:lang w:val="fr-FR" w:eastAsia="fr-FR"/>
        </w:rPr>
        <w:t>chargement</w:t>
      </w:r>
      <w:r w:rsidRPr="00983A20">
        <w:rPr>
          <w:lang w:val="fr-FR" w:eastAsia="fr-FR"/>
        </w:rPr>
        <w:t xml:space="preserve"> sont conformes. Il ne peut pas le faire, car il </w:t>
      </w:r>
      <w:r w:rsidRPr="00983A20">
        <w:rPr>
          <w:b/>
          <w:lang w:val="fr-FR" w:eastAsia="fr-FR"/>
        </w:rPr>
        <w:t>décharge</w:t>
      </w:r>
      <w:r w:rsidRPr="00983A20">
        <w:rPr>
          <w:lang w:val="fr-FR" w:eastAsia="fr-FR"/>
        </w:rPr>
        <w:t xml:space="preserve"> le bateau, et non le charge.</w:t>
      </w:r>
    </w:p>
    <w:p w:rsidR="00983A20" w:rsidRPr="00983A20" w:rsidRDefault="00983A20" w:rsidP="00983A20">
      <w:pPr>
        <w:pStyle w:val="SingleTxtG"/>
        <w:rPr>
          <w:lang w:val="fr-FR" w:eastAsia="fr-FR"/>
        </w:rPr>
      </w:pPr>
      <w:r w:rsidRPr="00983A20">
        <w:rPr>
          <w:lang w:val="fr-FR" w:eastAsia="fr-FR"/>
        </w:rPr>
        <w:t>4.</w:t>
      </w:r>
      <w:r w:rsidRPr="00983A20">
        <w:rPr>
          <w:lang w:val="fr-FR" w:eastAsia="fr-FR"/>
        </w:rPr>
        <w:tab/>
        <w:t xml:space="preserve">Le 8.1.2.3 i) </w:t>
      </w:r>
      <w:r w:rsidR="00C26A6F">
        <w:rPr>
          <w:lang w:val="fr-FR" w:eastAsia="fr-FR"/>
        </w:rPr>
        <w:t>parle de façon pertinente des «</w:t>
      </w:r>
      <w:r w:rsidRPr="00983A20">
        <w:rPr>
          <w:color w:val="231F20"/>
          <w:lang w:val="fr-FR" w:eastAsia="de-DE"/>
        </w:rPr>
        <w:t>instructions relatives aux débits de chargement et de déchargement»</w:t>
      </w:r>
      <w:r w:rsidRPr="00983A20">
        <w:rPr>
          <w:lang w:val="fr-FR" w:eastAsia="fr-FR"/>
        </w:rPr>
        <w:t>.</w:t>
      </w:r>
    </w:p>
    <w:p w:rsidR="00983A20" w:rsidRPr="00983A20" w:rsidRDefault="00983A20" w:rsidP="00983A20">
      <w:pPr>
        <w:pStyle w:val="SingleTxtG"/>
        <w:rPr>
          <w:lang w:val="fr-FR" w:eastAsia="fr-FR"/>
        </w:rPr>
      </w:pPr>
      <w:r w:rsidRPr="00983A20">
        <w:rPr>
          <w:lang w:val="fr-FR" w:eastAsia="fr-FR"/>
        </w:rPr>
        <w:t>5.</w:t>
      </w:r>
      <w:r w:rsidRPr="00983A20">
        <w:rPr>
          <w:lang w:val="fr-FR" w:eastAsia="fr-FR"/>
        </w:rPr>
        <w:tab/>
        <w:t xml:space="preserve">Dans le modèle de certificat d’agrément de bateaux-citernes (8.6.1.3), on parle au point 10 de façon inexacte et </w:t>
      </w:r>
      <w:r w:rsidR="00C26A6F">
        <w:rPr>
          <w:lang w:val="fr-FR" w:eastAsia="fr-FR"/>
        </w:rPr>
        <w:t>trop limitative uniquement de «Débit de chargement» et également «d’instructions de chargement</w:t>
      </w:r>
      <w:r w:rsidRPr="00983A20">
        <w:rPr>
          <w:lang w:val="fr-FR" w:eastAsia="fr-FR"/>
        </w:rPr>
        <w:t>».</w:t>
      </w:r>
    </w:p>
    <w:p w:rsidR="00983A20" w:rsidRPr="00983A20" w:rsidRDefault="00983A20" w:rsidP="00983A20">
      <w:pPr>
        <w:pStyle w:val="SingleTxtG"/>
        <w:rPr>
          <w:lang w:val="fr-FR" w:eastAsia="fr-FR"/>
        </w:rPr>
      </w:pPr>
      <w:r w:rsidRPr="00983A20">
        <w:rPr>
          <w:lang w:val="fr-FR" w:eastAsia="fr-FR"/>
        </w:rPr>
        <w:t>6.</w:t>
      </w:r>
      <w:r w:rsidRPr="00983A20">
        <w:rPr>
          <w:lang w:val="fr-FR" w:eastAsia="fr-FR"/>
        </w:rPr>
        <w:tab/>
        <w:t>Les 9.3.2.25.9 et 9.3.3.25.9 ne définissent pas qui est responsable du contenu correct des instructions relatives aux débits de chargement et de déchargement admissibles.</w:t>
      </w:r>
    </w:p>
    <w:p w:rsidR="00983A20" w:rsidRPr="00983A20" w:rsidRDefault="00983A20" w:rsidP="00983A20">
      <w:pPr>
        <w:pStyle w:val="SingleTxtG"/>
        <w:rPr>
          <w:lang w:val="fr-FR" w:eastAsia="fr-FR"/>
        </w:rPr>
      </w:pPr>
      <w:r w:rsidRPr="00983A20">
        <w:rPr>
          <w:lang w:val="fr-FR" w:eastAsia="fr-FR"/>
        </w:rPr>
        <w:t>7.</w:t>
      </w:r>
      <w:r w:rsidRPr="00983A20">
        <w:rPr>
          <w:lang w:val="fr-FR" w:eastAsia="fr-FR"/>
        </w:rPr>
        <w:tab/>
        <w:t>Lors de sa 27ème session, le Comité de sécurité a confirmé dans le principe ces incohérences et invité la délégation allemande à soumettre un document de travail à la prochaine session.</w:t>
      </w:r>
    </w:p>
    <w:p w:rsidR="00983A20" w:rsidRPr="00983A20" w:rsidRDefault="00983A20" w:rsidP="00983A20">
      <w:pPr>
        <w:pStyle w:val="HChG"/>
        <w:rPr>
          <w:lang w:val="fr-FR" w:eastAsia="fr-FR"/>
        </w:rPr>
      </w:pPr>
      <w:r>
        <w:rPr>
          <w:lang w:val="fr-FR" w:eastAsia="fr-FR"/>
        </w:rPr>
        <w:tab/>
      </w:r>
      <w:r>
        <w:rPr>
          <w:lang w:val="fr-FR" w:eastAsia="fr-FR"/>
        </w:rPr>
        <w:tab/>
      </w:r>
      <w:r w:rsidRPr="00983A20">
        <w:rPr>
          <w:lang w:val="fr-FR" w:eastAsia="fr-FR"/>
        </w:rPr>
        <w:t>Demande</w:t>
      </w:r>
    </w:p>
    <w:p w:rsidR="00983A20" w:rsidRPr="00983A20" w:rsidRDefault="00983A20" w:rsidP="00983A20">
      <w:pPr>
        <w:pStyle w:val="SingleTxtG"/>
        <w:rPr>
          <w:lang w:val="fr-FR" w:eastAsia="fr-FR"/>
        </w:rPr>
      </w:pPr>
      <w:r w:rsidRPr="00983A20">
        <w:rPr>
          <w:lang w:val="fr-FR" w:eastAsia="fr-FR"/>
        </w:rPr>
        <w:t>8.</w:t>
      </w:r>
      <w:r w:rsidRPr="00983A20">
        <w:rPr>
          <w:lang w:val="fr-FR" w:eastAsia="fr-FR"/>
        </w:rPr>
        <w:tab/>
        <w:t>Au 1.4.3.3 (remplisseur), modifier la lettre s) comme suit :</w:t>
      </w:r>
    </w:p>
    <w:p w:rsidR="00983A20" w:rsidRPr="00983A20" w:rsidRDefault="00C26A6F" w:rsidP="00983A20">
      <w:pPr>
        <w:pStyle w:val="SingleTxtG"/>
        <w:rPr>
          <w:lang w:val="fr-FR" w:eastAsia="fr-FR"/>
        </w:rPr>
      </w:pPr>
      <w:r>
        <w:rPr>
          <w:lang w:val="fr-FR" w:eastAsia="fr-FR"/>
        </w:rPr>
        <w:t>«</w:t>
      </w:r>
      <w:proofErr w:type="gramStart"/>
      <w:r w:rsidR="00983A20" w:rsidRPr="00983A20">
        <w:rPr>
          <w:lang w:val="fr-FR" w:eastAsia="fr-FR"/>
        </w:rPr>
        <w:t>s</w:t>
      </w:r>
      <w:proofErr w:type="gramEnd"/>
      <w:r w:rsidR="00983A20" w:rsidRPr="00983A20">
        <w:rPr>
          <w:lang w:val="fr-FR" w:eastAsia="fr-FR"/>
        </w:rPr>
        <w:t xml:space="preserve">) Il doit s‘assurer que les débits de chargement sont conformes aux instructions </w:t>
      </w:r>
      <w:r w:rsidR="00983A20" w:rsidRPr="00983A20">
        <w:rPr>
          <w:u w:val="single"/>
          <w:lang w:val="fr-FR" w:eastAsia="fr-FR"/>
        </w:rPr>
        <w:t>relatives aux débits</w:t>
      </w:r>
      <w:r w:rsidR="00983A20" w:rsidRPr="00983A20">
        <w:rPr>
          <w:lang w:val="fr-FR" w:eastAsia="fr-FR"/>
        </w:rPr>
        <w:t xml:space="preserve"> de chargement </w:t>
      </w:r>
      <w:r w:rsidR="00983A20" w:rsidRPr="00983A20">
        <w:rPr>
          <w:u w:val="single"/>
          <w:lang w:val="fr-FR" w:eastAsia="fr-FR"/>
        </w:rPr>
        <w:t>et de déchargement</w:t>
      </w:r>
      <w:r w:rsidR="00983A20" w:rsidRPr="00983A20">
        <w:rPr>
          <w:lang w:val="fr-FR" w:eastAsia="fr-FR"/>
        </w:rPr>
        <w:t xml:space="preserve"> visées au 9.3.2.25.9 ou 9.3.3.25.9 et que la pression a</w:t>
      </w:r>
      <w:r w:rsidR="00183F4A">
        <w:rPr>
          <w:lang w:val="fr-FR" w:eastAsia="fr-FR"/>
        </w:rPr>
        <w:t>u point de passage de la conduit</w:t>
      </w:r>
      <w:r w:rsidR="00983A20" w:rsidRPr="00983A20">
        <w:rPr>
          <w:lang w:val="fr-FR" w:eastAsia="fr-FR"/>
        </w:rPr>
        <w:t>e de retour ou d’évacuation des gaz n’est pas supérieure à la pression d’ouverture de la soupape d</w:t>
      </w:r>
      <w:r>
        <w:rPr>
          <w:lang w:val="fr-FR" w:eastAsia="fr-FR"/>
        </w:rPr>
        <w:t>e dégagement à grande vitesse ;</w:t>
      </w:r>
      <w:r w:rsidR="00983A20" w:rsidRPr="00983A20">
        <w:rPr>
          <w:lang w:val="fr-FR" w:eastAsia="fr-FR"/>
        </w:rPr>
        <w:t>»</w:t>
      </w:r>
    </w:p>
    <w:p w:rsidR="00983A20" w:rsidRPr="00983A20" w:rsidRDefault="00983A20" w:rsidP="00983A20">
      <w:pPr>
        <w:pStyle w:val="SingleTxtG"/>
        <w:rPr>
          <w:lang w:val="fr-FR" w:eastAsia="fr-FR"/>
        </w:rPr>
      </w:pPr>
      <w:r w:rsidRPr="00983A20">
        <w:rPr>
          <w:lang w:val="fr-FR" w:eastAsia="fr-FR"/>
        </w:rPr>
        <w:t>9.</w:t>
      </w:r>
      <w:r w:rsidRPr="00983A20">
        <w:rPr>
          <w:lang w:val="fr-FR" w:eastAsia="fr-FR"/>
        </w:rPr>
        <w:tab/>
      </w:r>
      <w:r w:rsidR="00183F4A">
        <w:rPr>
          <w:lang w:val="fr-FR" w:eastAsia="fr-FR"/>
        </w:rPr>
        <w:t>A</w:t>
      </w:r>
      <w:r w:rsidRPr="00983A20">
        <w:rPr>
          <w:lang w:val="fr-FR" w:eastAsia="fr-FR"/>
        </w:rPr>
        <w:t>u 1.4.3.7.1, m</w:t>
      </w:r>
      <w:r w:rsidR="00C26A6F">
        <w:rPr>
          <w:lang w:val="fr-FR" w:eastAsia="fr-FR"/>
        </w:rPr>
        <w:t>odifier la lettre j) comme suit</w:t>
      </w:r>
      <w:r w:rsidRPr="00983A20">
        <w:rPr>
          <w:lang w:val="fr-FR" w:eastAsia="fr-FR"/>
        </w:rPr>
        <w:t>:</w:t>
      </w:r>
    </w:p>
    <w:p w:rsidR="00983A20" w:rsidRPr="00183F4A" w:rsidRDefault="00C26A6F" w:rsidP="00983A20">
      <w:pPr>
        <w:pStyle w:val="SingleTxtG"/>
        <w:rPr>
          <w:lang w:val="fr-FR" w:eastAsia="fr-FR"/>
        </w:rPr>
      </w:pPr>
      <w:r>
        <w:rPr>
          <w:lang w:val="fr-FR" w:eastAsia="fr-FR"/>
        </w:rPr>
        <w:t>«</w:t>
      </w:r>
      <w:proofErr w:type="gramStart"/>
      <w:r w:rsidR="00983A20" w:rsidRPr="00183F4A">
        <w:rPr>
          <w:lang w:val="fr-FR" w:eastAsia="fr-FR"/>
        </w:rPr>
        <w:t>j</w:t>
      </w:r>
      <w:proofErr w:type="gramEnd"/>
      <w:r w:rsidR="00983A20" w:rsidRPr="00183F4A">
        <w:rPr>
          <w:lang w:val="fr-FR" w:eastAsia="fr-FR"/>
        </w:rPr>
        <w:t xml:space="preserve">) s'assurer que les débits de </w:t>
      </w:r>
      <w:r w:rsidR="00983A20" w:rsidRPr="00183F4A">
        <w:rPr>
          <w:u w:val="single"/>
          <w:lang w:val="fr-FR" w:eastAsia="fr-FR"/>
        </w:rPr>
        <w:t>dé</w:t>
      </w:r>
      <w:r w:rsidR="00983A20" w:rsidRPr="00183F4A">
        <w:rPr>
          <w:lang w:val="fr-FR" w:eastAsia="fr-FR"/>
        </w:rPr>
        <w:t xml:space="preserve">chargement sont conformes aux instructions </w:t>
      </w:r>
      <w:r w:rsidR="00983A20" w:rsidRPr="00183F4A">
        <w:rPr>
          <w:u w:val="single"/>
          <w:lang w:val="fr-FR" w:eastAsia="fr-FR"/>
        </w:rPr>
        <w:t>relatives aux débits</w:t>
      </w:r>
      <w:r w:rsidR="00983A20" w:rsidRPr="00183F4A">
        <w:rPr>
          <w:lang w:val="fr-FR" w:eastAsia="fr-FR"/>
        </w:rPr>
        <w:t xml:space="preserve"> de chargement </w:t>
      </w:r>
      <w:r w:rsidR="00983A20" w:rsidRPr="00183F4A">
        <w:rPr>
          <w:u w:val="single"/>
          <w:lang w:val="fr-FR" w:eastAsia="fr-FR"/>
        </w:rPr>
        <w:t>et de déchargement</w:t>
      </w:r>
      <w:r w:rsidR="00983A20" w:rsidRPr="00183F4A">
        <w:rPr>
          <w:lang w:val="fr-FR" w:eastAsia="fr-FR"/>
        </w:rPr>
        <w:t xml:space="preserve"> visées au 9.3.2.25.9 ou 9.3.3.25.9 et que la pression au point de passage de la conduite de retour ou d’évacuation des gaz n’est pas supérieure à la pression d’ouverture de la soupape </w:t>
      </w:r>
      <w:r>
        <w:rPr>
          <w:lang w:val="fr-FR" w:eastAsia="fr-FR"/>
        </w:rPr>
        <w:t>de dégagement à grande vitesse;</w:t>
      </w:r>
      <w:r w:rsidR="00983A20" w:rsidRPr="00183F4A">
        <w:rPr>
          <w:lang w:val="fr-FR" w:eastAsia="fr-FR"/>
        </w:rPr>
        <w:t>»</w:t>
      </w:r>
    </w:p>
    <w:p w:rsidR="00983A20" w:rsidRPr="00983A20" w:rsidRDefault="00983A20" w:rsidP="00983A20">
      <w:pPr>
        <w:pStyle w:val="SingleTxtG"/>
        <w:rPr>
          <w:lang w:val="fr-FR" w:eastAsia="fr-FR"/>
        </w:rPr>
      </w:pPr>
      <w:r w:rsidRPr="00983A20">
        <w:rPr>
          <w:lang w:val="fr-FR" w:eastAsia="fr-FR"/>
        </w:rPr>
        <w:t>10.</w:t>
      </w:r>
      <w:r w:rsidRPr="00983A20">
        <w:rPr>
          <w:lang w:val="fr-FR" w:eastAsia="fr-FR"/>
        </w:rPr>
        <w:tab/>
        <w:t>Au 8.6.1.3</w:t>
      </w:r>
      <w:r w:rsidR="00183F4A">
        <w:rPr>
          <w:lang w:val="fr-FR" w:eastAsia="fr-FR"/>
        </w:rPr>
        <w:t>,</w:t>
      </w:r>
      <w:r w:rsidRPr="00983A20">
        <w:rPr>
          <w:lang w:val="fr-FR" w:eastAsia="fr-FR"/>
        </w:rPr>
        <w:t xml:space="preserve"> modifier le point 10 du modèle de certificat d’agrément</w:t>
      </w:r>
      <w:r w:rsidR="00C26A6F">
        <w:rPr>
          <w:lang w:val="fr-FR" w:eastAsia="fr-FR"/>
        </w:rPr>
        <w:t xml:space="preserve"> de bateaux-citernes comme suit</w:t>
      </w:r>
      <w:r w:rsidRPr="00983A20">
        <w:rPr>
          <w:lang w:val="fr-FR" w:eastAsia="fr-FR"/>
        </w:rPr>
        <w:t>:</w:t>
      </w:r>
    </w:p>
    <w:p w:rsidR="00983A20" w:rsidRPr="00183F4A" w:rsidRDefault="00183F4A" w:rsidP="00983A20">
      <w:pPr>
        <w:pStyle w:val="SingleTxtG"/>
        <w:rPr>
          <w:lang w:val="fr-FR" w:eastAsia="fr-FR"/>
        </w:rPr>
      </w:pPr>
      <w:r w:rsidRPr="00183F4A">
        <w:rPr>
          <w:lang w:val="fr-FR" w:eastAsia="fr-FR"/>
        </w:rPr>
        <w:t>«</w:t>
      </w:r>
      <w:r w:rsidR="00983A20" w:rsidRPr="00983A20">
        <w:rPr>
          <w:lang w:val="fr-FR" w:eastAsia="de-DE"/>
        </w:rPr>
        <w:t xml:space="preserve">10. </w:t>
      </w:r>
      <w:r w:rsidR="00C26A6F">
        <w:rPr>
          <w:lang w:val="fr-FR" w:eastAsia="de-DE"/>
        </w:rPr>
        <w:tab/>
      </w:r>
      <w:r w:rsidR="00983A20" w:rsidRPr="00983A20">
        <w:rPr>
          <w:lang w:val="fr-FR" w:eastAsia="de-DE"/>
        </w:rPr>
        <w:t>Débit de chargement</w:t>
      </w:r>
      <w:r w:rsidR="00983A20" w:rsidRPr="00983A20">
        <w:rPr>
          <w:u w:val="single"/>
          <w:lang w:val="fr-FR" w:eastAsia="de-DE"/>
        </w:rPr>
        <w:t>/déchargement</w:t>
      </w:r>
      <w:r w:rsidR="00983A20" w:rsidRPr="00983A20">
        <w:rPr>
          <w:lang w:val="fr-FR" w:eastAsia="de-DE"/>
        </w:rPr>
        <w:t>:</w:t>
      </w:r>
      <w:r w:rsidR="00983A20" w:rsidRPr="00983A20">
        <w:rPr>
          <w:lang w:val="fr-FR" w:eastAsia="de-DE"/>
        </w:rPr>
        <w:tab/>
      </w:r>
      <w:r w:rsidR="00983A20">
        <w:rPr>
          <w:lang w:val="fr-FR" w:eastAsia="de-DE"/>
        </w:rPr>
        <w:t>.....</w:t>
      </w:r>
      <w:r>
        <w:rPr>
          <w:lang w:val="fr-FR" w:eastAsia="de-DE"/>
        </w:rPr>
        <w:t>.............</w:t>
      </w:r>
      <w:r w:rsidR="00983A20" w:rsidRPr="00983A20">
        <w:rPr>
          <w:lang w:val="fr-FR" w:eastAsia="de-DE"/>
        </w:rPr>
        <w:t>m</w:t>
      </w:r>
      <w:r w:rsidR="00983A20" w:rsidRPr="00183F4A">
        <w:rPr>
          <w:sz w:val="14"/>
          <w:szCs w:val="14"/>
          <w:vertAlign w:val="superscript"/>
          <w:lang w:val="fr-FR" w:eastAsia="de-DE"/>
        </w:rPr>
        <w:t>3</w:t>
      </w:r>
      <w:r w:rsidR="00983A20" w:rsidRPr="00983A20">
        <w:rPr>
          <w:lang w:val="fr-FR" w:eastAsia="de-DE"/>
        </w:rPr>
        <w:t xml:space="preserve">/h </w:t>
      </w:r>
      <w:r w:rsidR="00983A20" w:rsidRPr="00C26A6F">
        <w:rPr>
          <w:sz w:val="18"/>
          <w:szCs w:val="18"/>
          <w:vertAlign w:val="superscript"/>
          <w:lang w:val="fr-FR" w:eastAsia="de-DE"/>
        </w:rPr>
        <w:t>1)</w:t>
      </w:r>
      <w:r w:rsidR="00983A20" w:rsidRPr="00983A20">
        <w:rPr>
          <w:sz w:val="14"/>
          <w:szCs w:val="14"/>
          <w:lang w:val="fr-FR" w:eastAsia="de-DE"/>
        </w:rPr>
        <w:t xml:space="preserve"> </w:t>
      </w:r>
      <w:r w:rsidR="00983A20" w:rsidRPr="00983A20">
        <w:rPr>
          <w:lang w:val="fr-FR" w:eastAsia="de-DE"/>
        </w:rPr>
        <w:t>ou voir instructions</w:t>
      </w:r>
      <w:r>
        <w:rPr>
          <w:lang w:val="fr-FR" w:eastAsia="de-DE"/>
        </w:rPr>
        <w:t xml:space="preserve"> </w:t>
      </w:r>
      <w:r w:rsidR="00983A20" w:rsidRPr="00983A20">
        <w:rPr>
          <w:lang w:val="fr-FR" w:eastAsia="de-DE"/>
        </w:rPr>
        <w:t>de chargement</w:t>
      </w:r>
      <w:r w:rsidR="00983A20" w:rsidRPr="00983A20">
        <w:rPr>
          <w:u w:val="single"/>
          <w:lang w:val="fr-FR" w:eastAsia="de-DE"/>
        </w:rPr>
        <w:t>/déchargement</w:t>
      </w:r>
      <w:r w:rsidR="00983A20" w:rsidRPr="00983A20">
        <w:rPr>
          <w:lang w:val="fr-FR" w:eastAsia="de-DE"/>
        </w:rPr>
        <w:t xml:space="preserve"> </w:t>
      </w:r>
      <w:r w:rsidR="00983A20" w:rsidRPr="00C26A6F">
        <w:rPr>
          <w:sz w:val="18"/>
          <w:szCs w:val="18"/>
          <w:vertAlign w:val="superscript"/>
          <w:lang w:val="fr-FR" w:eastAsia="de-DE"/>
        </w:rPr>
        <w:t>1)</w:t>
      </w:r>
      <w:r w:rsidRPr="00183F4A">
        <w:rPr>
          <w:lang w:val="fr-FR" w:eastAsia="fr-FR"/>
        </w:rPr>
        <w:t xml:space="preserve"> </w:t>
      </w:r>
      <w:r w:rsidRPr="00983A20">
        <w:rPr>
          <w:lang w:val="fr-FR" w:eastAsia="fr-FR"/>
        </w:rPr>
        <w:t>»</w:t>
      </w:r>
    </w:p>
    <w:p w:rsidR="00983A20" w:rsidRPr="00983A20" w:rsidRDefault="00983A20" w:rsidP="00983A20">
      <w:pPr>
        <w:pStyle w:val="SingleTxtG"/>
        <w:rPr>
          <w:lang w:val="fr-FR" w:eastAsia="fr-FR"/>
        </w:rPr>
      </w:pPr>
      <w:r w:rsidRPr="00983A20">
        <w:rPr>
          <w:lang w:val="fr-FR" w:eastAsia="fr-FR"/>
        </w:rPr>
        <w:t>11.</w:t>
      </w:r>
      <w:r w:rsidRPr="00983A20">
        <w:rPr>
          <w:lang w:val="fr-FR" w:eastAsia="fr-FR"/>
        </w:rPr>
        <w:tab/>
      </w:r>
      <w:r w:rsidR="00183F4A">
        <w:rPr>
          <w:lang w:val="fr-FR" w:eastAsia="fr-FR"/>
        </w:rPr>
        <w:t>Au 8.6.1.4</w:t>
      </w:r>
      <w:r w:rsidRPr="00983A20">
        <w:rPr>
          <w:lang w:val="fr-FR" w:eastAsia="fr-FR"/>
        </w:rPr>
        <w:t>, modifier le point 10 du modèle de certificat d’agrément provisoi</w:t>
      </w:r>
      <w:r w:rsidR="00C26A6F">
        <w:rPr>
          <w:lang w:val="fr-FR" w:eastAsia="fr-FR"/>
        </w:rPr>
        <w:t>re de bateau-citerne comme suit</w:t>
      </w:r>
      <w:r w:rsidRPr="00983A20">
        <w:rPr>
          <w:lang w:val="fr-FR" w:eastAsia="fr-FR"/>
        </w:rPr>
        <w:t>:</w:t>
      </w:r>
    </w:p>
    <w:p w:rsidR="00183F4A" w:rsidRPr="00183F4A" w:rsidRDefault="00183F4A" w:rsidP="00183F4A">
      <w:pPr>
        <w:pStyle w:val="SingleTxtG"/>
        <w:rPr>
          <w:lang w:val="fr-FR" w:eastAsia="fr-FR"/>
        </w:rPr>
      </w:pPr>
      <w:r w:rsidRPr="00183F4A">
        <w:rPr>
          <w:lang w:val="fr-FR" w:eastAsia="fr-FR"/>
        </w:rPr>
        <w:t>«</w:t>
      </w:r>
      <w:r w:rsidRPr="00983A20">
        <w:rPr>
          <w:lang w:val="fr-FR" w:eastAsia="de-DE"/>
        </w:rPr>
        <w:t xml:space="preserve">10. </w:t>
      </w:r>
      <w:r w:rsidR="00C26A6F">
        <w:rPr>
          <w:lang w:val="fr-FR" w:eastAsia="de-DE"/>
        </w:rPr>
        <w:tab/>
      </w:r>
      <w:r w:rsidRPr="00983A20">
        <w:rPr>
          <w:lang w:val="fr-FR" w:eastAsia="de-DE"/>
        </w:rPr>
        <w:t>Débit de chargement</w:t>
      </w:r>
      <w:r w:rsidRPr="00983A20">
        <w:rPr>
          <w:u w:val="single"/>
          <w:lang w:val="fr-FR" w:eastAsia="de-DE"/>
        </w:rPr>
        <w:t>/déchargement</w:t>
      </w:r>
      <w:r w:rsidRPr="00983A20">
        <w:rPr>
          <w:lang w:val="fr-FR" w:eastAsia="de-DE"/>
        </w:rPr>
        <w:t>:</w:t>
      </w:r>
      <w:r w:rsidRPr="00983A20">
        <w:rPr>
          <w:lang w:val="fr-FR" w:eastAsia="de-DE"/>
        </w:rPr>
        <w:tab/>
      </w:r>
      <w:r>
        <w:rPr>
          <w:lang w:val="fr-FR" w:eastAsia="de-DE"/>
        </w:rPr>
        <w:t>....................</w:t>
      </w:r>
      <w:r w:rsidRPr="00983A20">
        <w:rPr>
          <w:lang w:val="fr-FR" w:eastAsia="de-DE"/>
        </w:rPr>
        <w:t>m</w:t>
      </w:r>
      <w:r w:rsidRPr="00183F4A">
        <w:rPr>
          <w:sz w:val="14"/>
          <w:szCs w:val="14"/>
          <w:vertAlign w:val="superscript"/>
          <w:lang w:val="fr-FR" w:eastAsia="de-DE"/>
        </w:rPr>
        <w:t>3</w:t>
      </w:r>
      <w:r w:rsidRPr="00983A20">
        <w:rPr>
          <w:lang w:val="fr-FR" w:eastAsia="de-DE"/>
        </w:rPr>
        <w:t xml:space="preserve">/h </w:t>
      </w:r>
      <w:r w:rsidRPr="00C26A6F">
        <w:rPr>
          <w:sz w:val="18"/>
          <w:szCs w:val="18"/>
          <w:vertAlign w:val="superscript"/>
          <w:lang w:val="fr-FR" w:eastAsia="de-DE"/>
        </w:rPr>
        <w:t>1)</w:t>
      </w:r>
      <w:r w:rsidRPr="00983A20">
        <w:rPr>
          <w:sz w:val="14"/>
          <w:szCs w:val="14"/>
          <w:lang w:val="fr-FR" w:eastAsia="de-DE"/>
        </w:rPr>
        <w:t xml:space="preserve"> </w:t>
      </w:r>
      <w:r w:rsidRPr="00983A20">
        <w:rPr>
          <w:lang w:val="fr-FR" w:eastAsia="de-DE"/>
        </w:rPr>
        <w:t>ou voir instructions</w:t>
      </w:r>
      <w:r>
        <w:rPr>
          <w:lang w:val="fr-FR" w:eastAsia="de-DE"/>
        </w:rPr>
        <w:t xml:space="preserve"> </w:t>
      </w:r>
      <w:r w:rsidRPr="00983A20">
        <w:rPr>
          <w:lang w:val="fr-FR" w:eastAsia="de-DE"/>
        </w:rPr>
        <w:t>de chargement</w:t>
      </w:r>
      <w:r w:rsidRPr="00983A20">
        <w:rPr>
          <w:u w:val="single"/>
          <w:lang w:val="fr-FR" w:eastAsia="de-DE"/>
        </w:rPr>
        <w:t>/déchargement</w:t>
      </w:r>
      <w:r w:rsidRPr="00983A20">
        <w:rPr>
          <w:lang w:val="fr-FR" w:eastAsia="de-DE"/>
        </w:rPr>
        <w:t xml:space="preserve"> </w:t>
      </w:r>
      <w:r w:rsidRPr="00C26A6F">
        <w:rPr>
          <w:sz w:val="18"/>
          <w:szCs w:val="18"/>
          <w:vertAlign w:val="superscript"/>
          <w:lang w:val="fr-FR" w:eastAsia="de-DE"/>
        </w:rPr>
        <w:t>1)</w:t>
      </w:r>
      <w:r w:rsidRPr="00183F4A">
        <w:rPr>
          <w:lang w:val="fr-FR" w:eastAsia="fr-FR"/>
        </w:rPr>
        <w:t xml:space="preserve"> </w:t>
      </w:r>
      <w:r w:rsidRPr="00983A20">
        <w:rPr>
          <w:lang w:val="fr-FR" w:eastAsia="fr-FR"/>
        </w:rPr>
        <w:t>»</w:t>
      </w:r>
    </w:p>
    <w:p w:rsidR="00983A20" w:rsidRPr="00983A20" w:rsidRDefault="00983A20" w:rsidP="00983A20">
      <w:pPr>
        <w:pStyle w:val="SingleTxtG"/>
      </w:pPr>
      <w:r w:rsidRPr="00983A20">
        <w:lastRenderedPageBreak/>
        <w:t>12.</w:t>
      </w:r>
      <w:r w:rsidRPr="00983A20">
        <w:tab/>
        <w:t xml:space="preserve">Aux 9.3.2.25.9 et 9.3.3.25.9, modifier dans chaque cas la dernière phrase comme suit: </w:t>
      </w:r>
    </w:p>
    <w:p w:rsidR="00983A20" w:rsidRPr="00983A20" w:rsidRDefault="00183F4A" w:rsidP="00983A20">
      <w:pPr>
        <w:pStyle w:val="SingleTxtG"/>
        <w:rPr>
          <w:lang w:val="fr-FR" w:eastAsia="fr-FR"/>
        </w:rPr>
      </w:pPr>
      <w:r w:rsidRPr="00183F4A">
        <w:rPr>
          <w:lang w:val="fr-FR" w:eastAsia="fr-FR"/>
        </w:rPr>
        <w:t>«</w:t>
      </w:r>
      <w:r w:rsidR="00983A20" w:rsidRPr="00983A20">
        <w:rPr>
          <w:lang w:val="fr-FR" w:eastAsia="fr-FR"/>
        </w:rPr>
        <w:t>La pression maximale admissible de chargement et de déchargement pour chaque citerne à cargaison ou pour chaque groupe de citernes à cargaison doit figurer dans une instruction à bord</w:t>
      </w:r>
      <w:r w:rsidR="00983A20" w:rsidRPr="00983A20">
        <w:rPr>
          <w:u w:val="single"/>
          <w:lang w:val="fr-FR" w:eastAsia="fr-FR"/>
        </w:rPr>
        <w:t xml:space="preserve"> approuvée par la société de classification agréée qui a classé le bateau</w:t>
      </w:r>
      <w:r w:rsidR="00983A20" w:rsidRPr="00983A20">
        <w:rPr>
          <w:lang w:val="fr-FR" w:eastAsia="fr-FR"/>
        </w:rPr>
        <w:t>.</w:t>
      </w:r>
      <w:r w:rsidRPr="00183F4A">
        <w:rPr>
          <w:lang w:val="fr-FR" w:eastAsia="fr-FR"/>
        </w:rPr>
        <w:t xml:space="preserve"> </w:t>
      </w:r>
      <w:r w:rsidRPr="00983A20">
        <w:rPr>
          <w:lang w:val="fr-FR" w:eastAsia="fr-FR"/>
        </w:rPr>
        <w:t>»</w:t>
      </w:r>
    </w:p>
    <w:p w:rsidR="00983A20" w:rsidRPr="00983A20" w:rsidRDefault="00183F4A" w:rsidP="00183F4A">
      <w:pPr>
        <w:pStyle w:val="HChG"/>
        <w:rPr>
          <w:lang w:val="fr-FR" w:eastAsia="fr-FR"/>
        </w:rPr>
      </w:pPr>
      <w:r>
        <w:rPr>
          <w:lang w:val="fr-FR" w:eastAsia="fr-FR"/>
        </w:rPr>
        <w:tab/>
      </w:r>
      <w:r>
        <w:rPr>
          <w:lang w:val="fr-FR" w:eastAsia="fr-FR"/>
        </w:rPr>
        <w:tab/>
      </w:r>
      <w:r w:rsidR="00983A20" w:rsidRPr="00983A20">
        <w:rPr>
          <w:lang w:val="fr-FR" w:eastAsia="fr-FR"/>
        </w:rPr>
        <w:t>Motif</w:t>
      </w:r>
    </w:p>
    <w:p w:rsidR="00983A20" w:rsidRPr="00983A20" w:rsidRDefault="00983A20" w:rsidP="00983A20">
      <w:pPr>
        <w:pStyle w:val="SingleTxtG"/>
        <w:rPr>
          <w:lang w:val="fr-FR" w:eastAsia="fr-FR"/>
        </w:rPr>
      </w:pPr>
      <w:r w:rsidRPr="00983A20">
        <w:rPr>
          <w:lang w:val="fr-FR" w:eastAsia="fr-FR"/>
        </w:rPr>
        <w:t>13.</w:t>
      </w:r>
      <w:r w:rsidRPr="00983A20">
        <w:rPr>
          <w:lang w:val="fr-FR" w:eastAsia="fr-FR"/>
        </w:rPr>
        <w:tab/>
        <w:t>Par les modifications au point 8, l’obligation du remplisseur est précisée, et les instructions qu’il doit observer sont clairement décrites.</w:t>
      </w:r>
    </w:p>
    <w:p w:rsidR="00983A20" w:rsidRPr="00983A20" w:rsidRDefault="00983A20" w:rsidP="00983A20">
      <w:pPr>
        <w:pStyle w:val="SingleTxtG"/>
        <w:rPr>
          <w:lang w:val="fr-FR" w:eastAsia="fr-FR"/>
        </w:rPr>
      </w:pPr>
      <w:r w:rsidRPr="00983A20">
        <w:rPr>
          <w:lang w:val="fr-FR" w:eastAsia="fr-FR"/>
        </w:rPr>
        <w:t>14.</w:t>
      </w:r>
      <w:r w:rsidRPr="00983A20">
        <w:rPr>
          <w:lang w:val="fr-FR" w:eastAsia="fr-FR"/>
        </w:rPr>
        <w:tab/>
        <w:t>Par la modification au point 9, on supprime pour les obligations du déchargeur une référence erronée au chargement et on précise et décrit clairement les instructions qu’il doit observer.</w:t>
      </w:r>
    </w:p>
    <w:p w:rsidR="00983A20" w:rsidRPr="00983A20" w:rsidRDefault="00983A20" w:rsidP="00983A20">
      <w:pPr>
        <w:pStyle w:val="SingleTxtG"/>
        <w:rPr>
          <w:lang w:val="fr-FR" w:eastAsia="fr-FR"/>
        </w:rPr>
      </w:pPr>
      <w:r w:rsidRPr="00983A20">
        <w:rPr>
          <w:lang w:val="fr-FR" w:eastAsia="fr-FR"/>
        </w:rPr>
        <w:t>15.</w:t>
      </w:r>
      <w:r w:rsidRPr="00983A20">
        <w:rPr>
          <w:lang w:val="fr-FR" w:eastAsia="fr-FR"/>
        </w:rPr>
        <w:tab/>
        <w:t>Par les modifications aux points 10 et 11, on supprime dans le texte du certificat d’agrément et du certificat d’agrément provisoire la limitation infondée au débit de chargement valable uniquement pour le déchargement, et on reprend la désignation exacte des instructions d’après les règles de construction.</w:t>
      </w:r>
    </w:p>
    <w:p w:rsidR="00983A20" w:rsidRPr="00983A20" w:rsidRDefault="00983A20" w:rsidP="00983A20">
      <w:pPr>
        <w:pStyle w:val="SingleTxtG"/>
        <w:rPr>
          <w:b/>
          <w:lang w:val="fr-FR" w:eastAsia="fr-FR"/>
        </w:rPr>
      </w:pPr>
      <w:r w:rsidRPr="00983A20">
        <w:rPr>
          <w:lang w:val="fr-FR" w:eastAsia="fr-FR"/>
        </w:rPr>
        <w:t>16.</w:t>
      </w:r>
      <w:r w:rsidRPr="00983A20">
        <w:rPr>
          <w:lang w:val="fr-FR" w:eastAsia="fr-FR"/>
        </w:rPr>
        <w:tab/>
        <w:t>Par la modification au point 11, on décrit et clarifie pour la première fois qui est responsable du contenu techniquement correct des instructions de chargement et de déchargement. Il faut que cela soit la société de classification qui a classé le bateau, car c’est également elle qui réceptionne la construction des citernes à cargaison et des conduites associées dans la cadre de la procédure de contrôle selon l’ADN et de ses propres règles de construction.</w:t>
      </w:r>
    </w:p>
    <w:p w:rsidR="00983A20" w:rsidRPr="00983A20" w:rsidRDefault="00183F4A" w:rsidP="00183F4A">
      <w:pPr>
        <w:pStyle w:val="HChG"/>
        <w:rPr>
          <w:lang w:val="fr-FR" w:eastAsia="fr-FR"/>
        </w:rPr>
      </w:pPr>
      <w:r>
        <w:rPr>
          <w:lang w:val="fr-FR" w:eastAsia="fr-FR"/>
        </w:rPr>
        <w:tab/>
      </w:r>
      <w:r>
        <w:rPr>
          <w:lang w:val="fr-FR" w:eastAsia="fr-FR"/>
        </w:rPr>
        <w:tab/>
      </w:r>
      <w:r w:rsidR="00983A20" w:rsidRPr="00983A20">
        <w:rPr>
          <w:lang w:val="fr-FR" w:eastAsia="fr-FR"/>
        </w:rPr>
        <w:t>Sécurité</w:t>
      </w:r>
    </w:p>
    <w:p w:rsidR="00983A20" w:rsidRPr="00983A20" w:rsidRDefault="00983A20" w:rsidP="00983A20">
      <w:pPr>
        <w:pStyle w:val="SingleTxtG"/>
        <w:rPr>
          <w:lang w:val="fr-FR" w:eastAsia="fr-FR"/>
        </w:rPr>
      </w:pPr>
      <w:r w:rsidRPr="00983A20">
        <w:rPr>
          <w:lang w:val="fr-FR" w:eastAsia="fr-FR"/>
        </w:rPr>
        <w:t>17.</w:t>
      </w:r>
      <w:r w:rsidRPr="00983A20">
        <w:rPr>
          <w:lang w:val="fr-FR" w:eastAsia="fr-FR"/>
        </w:rPr>
        <w:tab/>
        <w:t>La sécurité du transport est améliorée, car on améliore des dispositions peu claires qui présentent un risque de mauvaise interprétation, et on supprime ainsi les sources d’erreurs techniques pour le chargement et le déchargement.</w:t>
      </w:r>
    </w:p>
    <w:p w:rsidR="00983A20" w:rsidRPr="00983A20" w:rsidRDefault="00183F4A" w:rsidP="00183F4A">
      <w:pPr>
        <w:pStyle w:val="HChG"/>
        <w:rPr>
          <w:lang w:val="fr-FR" w:eastAsia="fr-FR"/>
        </w:rPr>
      </w:pPr>
      <w:r>
        <w:rPr>
          <w:lang w:val="fr-FR" w:eastAsia="fr-FR"/>
        </w:rPr>
        <w:tab/>
      </w:r>
      <w:r>
        <w:rPr>
          <w:lang w:val="fr-FR" w:eastAsia="fr-FR"/>
        </w:rPr>
        <w:tab/>
      </w:r>
      <w:r w:rsidR="00983A20" w:rsidRPr="00983A20">
        <w:rPr>
          <w:lang w:val="fr-FR" w:eastAsia="fr-FR"/>
        </w:rPr>
        <w:t>Mise en œuvre</w:t>
      </w:r>
    </w:p>
    <w:p w:rsidR="000E10DA" w:rsidRPr="00983A20" w:rsidRDefault="00983A20" w:rsidP="00983A20">
      <w:pPr>
        <w:pStyle w:val="SingleTxtG"/>
      </w:pPr>
      <w:r w:rsidRPr="00983A20">
        <w:t>18.</w:t>
      </w:r>
      <w:r w:rsidRPr="00983A20">
        <w:tab/>
        <w:t>Aucune modification de construction sur le bateau ou l’équipement n’est nécessaire. Le personnel des entreprises concernées peut être informé d’une manière simple des modifications à prendre en compte pour le chargement et le déchargement. L’approbation des instructions de chargement et de déchargement correspond à la pratique actuelle.</w:t>
      </w:r>
    </w:p>
    <w:p w:rsidR="00191B0F" w:rsidRPr="00191B0F" w:rsidRDefault="00191B0F" w:rsidP="00191B0F">
      <w:pPr>
        <w:pStyle w:val="SingleTxtG"/>
        <w:spacing w:before="240" w:after="0"/>
        <w:jc w:val="center"/>
        <w:rPr>
          <w:u w:val="single"/>
          <w:lang w:val="fr-FR" w:eastAsia="de-DE"/>
        </w:rPr>
      </w:pPr>
      <w:r>
        <w:rPr>
          <w:u w:val="single"/>
          <w:lang w:val="fr-FR" w:eastAsia="de-DE"/>
        </w:rPr>
        <w:tab/>
      </w:r>
      <w:r>
        <w:rPr>
          <w:u w:val="single"/>
          <w:lang w:val="fr-FR" w:eastAsia="de-DE"/>
        </w:rPr>
        <w:tab/>
      </w:r>
      <w:r>
        <w:rPr>
          <w:u w:val="single"/>
          <w:lang w:val="fr-FR" w:eastAsia="de-DE"/>
        </w:rPr>
        <w:tab/>
      </w:r>
    </w:p>
    <w:sectPr w:rsidR="00191B0F" w:rsidRPr="00191B0F" w:rsidSect="00BD44CD">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214" w:rsidRDefault="00B02214"/>
  </w:endnote>
  <w:endnote w:type="continuationSeparator" w:id="0">
    <w:p w:rsidR="00B02214" w:rsidRDefault="00B02214"/>
  </w:endnote>
  <w:endnote w:type="continuationNotice" w:id="1">
    <w:p w:rsidR="00B02214" w:rsidRPr="00BF38EF" w:rsidRDefault="00B02214" w:rsidP="00BF38EF">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893" w:rsidRPr="00CD4281" w:rsidRDefault="00CF1893" w:rsidP="00CD4281">
    <w:pPr>
      <w:pStyle w:val="Footer"/>
      <w:tabs>
        <w:tab w:val="right" w:pos="9638"/>
      </w:tabs>
    </w:pPr>
    <w:r w:rsidRPr="00CD4281">
      <w:rPr>
        <w:b/>
        <w:sz w:val="18"/>
      </w:rPr>
      <w:fldChar w:fldCharType="begin"/>
    </w:r>
    <w:r w:rsidRPr="00CD4281">
      <w:rPr>
        <w:b/>
        <w:sz w:val="18"/>
      </w:rPr>
      <w:instrText xml:space="preserve"> PAGE  \* MERGEFORMAT </w:instrText>
    </w:r>
    <w:r w:rsidRPr="00CD4281">
      <w:rPr>
        <w:b/>
        <w:sz w:val="18"/>
      </w:rPr>
      <w:fldChar w:fldCharType="separate"/>
    </w:r>
    <w:r w:rsidR="00F311BC">
      <w:rPr>
        <w:b/>
        <w:noProof/>
        <w:sz w:val="18"/>
      </w:rPr>
      <w:t>2</w:t>
    </w:r>
    <w:r w:rsidRPr="00CD4281">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893" w:rsidRPr="00CD4281" w:rsidRDefault="00CF1893" w:rsidP="00CD4281">
    <w:pPr>
      <w:pStyle w:val="Footer"/>
      <w:tabs>
        <w:tab w:val="right" w:pos="9638"/>
      </w:tabs>
      <w:rPr>
        <w:b/>
        <w:sz w:val="18"/>
      </w:rPr>
    </w:pPr>
    <w:r>
      <w:tab/>
    </w:r>
    <w:r w:rsidRPr="00CD4281">
      <w:rPr>
        <w:b/>
        <w:sz w:val="18"/>
      </w:rPr>
      <w:fldChar w:fldCharType="begin"/>
    </w:r>
    <w:r w:rsidRPr="00CD4281">
      <w:rPr>
        <w:b/>
        <w:sz w:val="18"/>
      </w:rPr>
      <w:instrText xml:space="preserve"> PAGE  \* MERGEFORMAT </w:instrText>
    </w:r>
    <w:r w:rsidRPr="00CD4281">
      <w:rPr>
        <w:b/>
        <w:sz w:val="18"/>
      </w:rPr>
      <w:fldChar w:fldCharType="separate"/>
    </w:r>
    <w:r w:rsidR="00F311BC">
      <w:rPr>
        <w:b/>
        <w:noProof/>
        <w:sz w:val="18"/>
      </w:rPr>
      <w:t>3</w:t>
    </w:r>
    <w:r w:rsidRPr="00CD428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893" w:rsidRPr="00CD4281" w:rsidRDefault="00CF1893">
    <w:pPr>
      <w:pStyle w:val="Footer"/>
      <w:rPr>
        <w:sz w:val="20"/>
      </w:rPr>
    </w:pPr>
    <w:r>
      <w:rPr>
        <w:sz w:val="20"/>
      </w:rPr>
      <w:t>GE.</w:t>
    </w:r>
    <w:r w:rsidR="00523538">
      <w:rPr>
        <w:noProof/>
        <w:lang w:val="en-GB" w:eastAsia="en-GB"/>
      </w:rPr>
      <w:drawing>
        <wp:anchor distT="0" distB="0" distL="114300" distR="114300" simplePos="0" relativeHeight="251657728" behindDoc="0" locked="0" layoutInCell="1" allowOverlap="1">
          <wp:simplePos x="0" y="0"/>
          <wp:positionH relativeFrom="column">
            <wp:posOffset>5040630</wp:posOffset>
          </wp:positionH>
          <wp:positionV relativeFrom="line">
            <wp:posOffset>-107950</wp:posOffset>
          </wp:positionV>
          <wp:extent cx="1104265" cy="233045"/>
          <wp:effectExtent l="0" t="0" r="635" b="0"/>
          <wp:wrapNone/>
          <wp:docPr id="2" name="Pictur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a:ln>
                    <a:noFill/>
                  </a:ln>
                </pic:spPr>
              </pic:pic>
            </a:graphicData>
          </a:graphic>
          <wp14:sizeRelH relativeFrom="page">
            <wp14:pctWidth>0</wp14:pctWidth>
          </wp14:sizeRelH>
          <wp14:sizeRelV relativeFrom="page">
            <wp14:pctHeight>0</wp14:pctHeight>
          </wp14:sizeRelV>
        </wp:anchor>
      </w:drawing>
    </w:r>
    <w:r w:rsidR="00263074">
      <w:rPr>
        <w:sz w:val="20"/>
      </w:rPr>
      <w:t>1</w:t>
    </w:r>
    <w:r w:rsidR="006B6C93">
      <w:rPr>
        <w:sz w:val="20"/>
      </w:rPr>
      <w:t>5</w:t>
    </w:r>
    <w:r>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214" w:rsidRPr="00D27D5E" w:rsidRDefault="00B02214" w:rsidP="00D27D5E">
      <w:pPr>
        <w:tabs>
          <w:tab w:val="right" w:pos="2155"/>
        </w:tabs>
        <w:spacing w:after="80"/>
        <w:ind w:left="680"/>
        <w:rPr>
          <w:u w:val="single"/>
        </w:rPr>
      </w:pPr>
      <w:r>
        <w:rPr>
          <w:u w:val="single"/>
        </w:rPr>
        <w:tab/>
      </w:r>
    </w:p>
  </w:footnote>
  <w:footnote w:type="continuationSeparator" w:id="0">
    <w:p w:rsidR="00B02214" w:rsidRPr="00836A24" w:rsidRDefault="00B02214" w:rsidP="00836A24">
      <w:pPr>
        <w:tabs>
          <w:tab w:val="right" w:pos="2155"/>
        </w:tabs>
        <w:spacing w:after="80"/>
        <w:ind w:left="680"/>
        <w:rPr>
          <w:u w:val="single"/>
        </w:rPr>
      </w:pPr>
      <w:r w:rsidRPr="00836A24">
        <w:rPr>
          <w:u w:val="single"/>
        </w:rPr>
        <w:tab/>
      </w:r>
    </w:p>
  </w:footnote>
  <w:footnote w:type="continuationNotice" w:id="1">
    <w:p w:rsidR="00B02214" w:rsidRPr="00BF38EF" w:rsidRDefault="00B02214" w:rsidP="00BF38EF">
      <w:pPr>
        <w:spacing w:line="240" w:lineRule="auto"/>
        <w:rPr>
          <w:sz w:val="2"/>
          <w:szCs w:val="2"/>
        </w:rPr>
      </w:pPr>
    </w:p>
  </w:footnote>
  <w:footnote w:id="2">
    <w:p w:rsidR="00983A20" w:rsidRPr="00CF26B9" w:rsidRDefault="00983A20" w:rsidP="00983A20">
      <w:pPr>
        <w:pStyle w:val="FootnoteText"/>
        <w:rPr>
          <w:sz w:val="16"/>
          <w:szCs w:val="24"/>
          <w:lang w:val="fr-FR"/>
        </w:rPr>
      </w:pPr>
      <w:r>
        <w:rPr>
          <w:sz w:val="16"/>
          <w:szCs w:val="24"/>
          <w:lang w:val="fr-FR"/>
        </w:rPr>
        <w:tab/>
      </w:r>
      <w:r w:rsidRPr="00CF26B9">
        <w:rPr>
          <w:rStyle w:val="FootnoteReference"/>
          <w:sz w:val="16"/>
          <w:szCs w:val="24"/>
          <w:lang w:val="de-DE"/>
        </w:rPr>
        <w:footnoteRef/>
      </w:r>
      <w:r w:rsidRPr="00CF26B9">
        <w:rPr>
          <w:sz w:val="16"/>
          <w:szCs w:val="24"/>
          <w:lang w:val="fr-FR"/>
        </w:rPr>
        <w:tab/>
      </w:r>
      <w:r w:rsidRPr="00CF26B9">
        <w:rPr>
          <w:lang w:val="fr-FR"/>
        </w:rPr>
        <w:t>Texte diffusé en langue allemande par la Commission centrale pour la navigation du Rhin sous la cote CCNR/ZKR/ADN/WP.15/AC.2/2016/</w:t>
      </w:r>
      <w:r>
        <w:rPr>
          <w:lang w:val="fr-FR"/>
        </w:rPr>
        <w:t>18</w:t>
      </w:r>
      <w:r w:rsidRPr="00CF26B9">
        <w:rPr>
          <w:noProof/>
          <w:sz w:val="16"/>
          <w:szCs w:val="24"/>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893" w:rsidRPr="00CD4281" w:rsidRDefault="00263074">
    <w:pPr>
      <w:pStyle w:val="Header"/>
    </w:pPr>
    <w:r>
      <w:t>ECE/TRANS/WP.15/AC.2/201</w:t>
    </w:r>
    <w:r w:rsidR="00CB0B63">
      <w:t>6</w:t>
    </w:r>
    <w:r w:rsidR="006B6C93">
      <w:t>/</w:t>
    </w:r>
    <w:r w:rsidR="007D70C8">
      <w:t>1</w:t>
    </w:r>
    <w:r w:rsidR="00983A20">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893" w:rsidRPr="00CD4281" w:rsidRDefault="00AA4C53" w:rsidP="00CD4281">
    <w:pPr>
      <w:pStyle w:val="Header"/>
      <w:jc w:val="right"/>
    </w:pPr>
    <w:r>
      <w:t>ECE/TRANS/WP.15/AC.2/2015</w:t>
    </w:r>
    <w:r w:rsidR="00983A20">
      <w:t>/18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7212"/>
    <w:multiLevelType w:val="hybridMultilevel"/>
    <w:tmpl w:val="46967074"/>
    <w:lvl w:ilvl="0" w:tplc="81AE7D3A">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nsid w:val="29571F96"/>
    <w:multiLevelType w:val="hybridMultilevel"/>
    <w:tmpl w:val="D58CD566"/>
    <w:lvl w:ilvl="0" w:tplc="E5E2B3DE">
      <w:start w:val="2"/>
      <w:numFmt w:val="bullet"/>
      <w:lvlText w:val="•"/>
      <w:lvlJc w:val="left"/>
      <w:pPr>
        <w:ind w:left="2772" w:hanging="360"/>
      </w:pPr>
      <w:rPr>
        <w:rFonts w:ascii="Arial" w:eastAsia="Calibri" w:hAnsi="Arial" w:cs="Arial" w:hint="default"/>
      </w:rPr>
    </w:lvl>
    <w:lvl w:ilvl="1" w:tplc="04070003" w:tentative="1">
      <w:start w:val="1"/>
      <w:numFmt w:val="bullet"/>
      <w:lvlText w:val="o"/>
      <w:lvlJc w:val="left"/>
      <w:pPr>
        <w:ind w:left="3492" w:hanging="360"/>
      </w:pPr>
      <w:rPr>
        <w:rFonts w:ascii="Courier New" w:hAnsi="Courier New" w:cs="Courier New" w:hint="default"/>
      </w:rPr>
    </w:lvl>
    <w:lvl w:ilvl="2" w:tplc="04070005" w:tentative="1">
      <w:start w:val="1"/>
      <w:numFmt w:val="bullet"/>
      <w:lvlText w:val=""/>
      <w:lvlJc w:val="left"/>
      <w:pPr>
        <w:ind w:left="4212" w:hanging="360"/>
      </w:pPr>
      <w:rPr>
        <w:rFonts w:ascii="Wingdings" w:hAnsi="Wingdings" w:hint="default"/>
      </w:rPr>
    </w:lvl>
    <w:lvl w:ilvl="3" w:tplc="04070001" w:tentative="1">
      <w:start w:val="1"/>
      <w:numFmt w:val="bullet"/>
      <w:lvlText w:val=""/>
      <w:lvlJc w:val="left"/>
      <w:pPr>
        <w:ind w:left="4932" w:hanging="360"/>
      </w:pPr>
      <w:rPr>
        <w:rFonts w:ascii="Symbol" w:hAnsi="Symbol" w:hint="default"/>
      </w:rPr>
    </w:lvl>
    <w:lvl w:ilvl="4" w:tplc="04070003" w:tentative="1">
      <w:start w:val="1"/>
      <w:numFmt w:val="bullet"/>
      <w:lvlText w:val="o"/>
      <w:lvlJc w:val="left"/>
      <w:pPr>
        <w:ind w:left="5652" w:hanging="360"/>
      </w:pPr>
      <w:rPr>
        <w:rFonts w:ascii="Courier New" w:hAnsi="Courier New" w:cs="Courier New" w:hint="default"/>
      </w:rPr>
    </w:lvl>
    <w:lvl w:ilvl="5" w:tplc="04070005" w:tentative="1">
      <w:start w:val="1"/>
      <w:numFmt w:val="bullet"/>
      <w:lvlText w:val=""/>
      <w:lvlJc w:val="left"/>
      <w:pPr>
        <w:ind w:left="6372" w:hanging="360"/>
      </w:pPr>
      <w:rPr>
        <w:rFonts w:ascii="Wingdings" w:hAnsi="Wingdings" w:hint="default"/>
      </w:rPr>
    </w:lvl>
    <w:lvl w:ilvl="6" w:tplc="04070001" w:tentative="1">
      <w:start w:val="1"/>
      <w:numFmt w:val="bullet"/>
      <w:lvlText w:val=""/>
      <w:lvlJc w:val="left"/>
      <w:pPr>
        <w:ind w:left="7092" w:hanging="360"/>
      </w:pPr>
      <w:rPr>
        <w:rFonts w:ascii="Symbol" w:hAnsi="Symbol" w:hint="default"/>
      </w:rPr>
    </w:lvl>
    <w:lvl w:ilvl="7" w:tplc="04070003" w:tentative="1">
      <w:start w:val="1"/>
      <w:numFmt w:val="bullet"/>
      <w:lvlText w:val="o"/>
      <w:lvlJc w:val="left"/>
      <w:pPr>
        <w:ind w:left="7812" w:hanging="360"/>
      </w:pPr>
      <w:rPr>
        <w:rFonts w:ascii="Courier New" w:hAnsi="Courier New" w:cs="Courier New" w:hint="default"/>
      </w:rPr>
    </w:lvl>
    <w:lvl w:ilvl="8" w:tplc="04070005" w:tentative="1">
      <w:start w:val="1"/>
      <w:numFmt w:val="bullet"/>
      <w:lvlText w:val=""/>
      <w:lvlJc w:val="left"/>
      <w:pPr>
        <w:ind w:left="8532" w:hanging="360"/>
      </w:pPr>
      <w:rPr>
        <w:rFonts w:ascii="Wingdings" w:hAnsi="Wingdings" w:hint="default"/>
      </w:r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3BBA7BD7"/>
    <w:multiLevelType w:val="hybridMultilevel"/>
    <w:tmpl w:val="46C2CE76"/>
    <w:lvl w:ilvl="0" w:tplc="41D4EDE0">
      <w:start w:val="5"/>
      <w:numFmt w:val="upperRoman"/>
      <w:lvlText w:val="%1."/>
      <w:lvlJc w:val="left"/>
      <w:pPr>
        <w:tabs>
          <w:tab w:val="num" w:pos="1848"/>
        </w:tabs>
        <w:ind w:left="1848" w:hanging="720"/>
      </w:pPr>
      <w:rPr>
        <w:rFonts w:hint="default"/>
      </w:rPr>
    </w:lvl>
    <w:lvl w:ilvl="1" w:tplc="040C0019" w:tentative="1">
      <w:start w:val="1"/>
      <w:numFmt w:val="lowerLetter"/>
      <w:lvlText w:val="%2."/>
      <w:lvlJc w:val="left"/>
      <w:pPr>
        <w:tabs>
          <w:tab w:val="num" w:pos="2208"/>
        </w:tabs>
        <w:ind w:left="2208" w:hanging="360"/>
      </w:pPr>
    </w:lvl>
    <w:lvl w:ilvl="2" w:tplc="040C001B" w:tentative="1">
      <w:start w:val="1"/>
      <w:numFmt w:val="lowerRoman"/>
      <w:lvlText w:val="%3."/>
      <w:lvlJc w:val="right"/>
      <w:pPr>
        <w:tabs>
          <w:tab w:val="num" w:pos="2928"/>
        </w:tabs>
        <w:ind w:left="2928" w:hanging="180"/>
      </w:pPr>
    </w:lvl>
    <w:lvl w:ilvl="3" w:tplc="040C000F" w:tentative="1">
      <w:start w:val="1"/>
      <w:numFmt w:val="decimal"/>
      <w:lvlText w:val="%4."/>
      <w:lvlJc w:val="left"/>
      <w:pPr>
        <w:tabs>
          <w:tab w:val="num" w:pos="3648"/>
        </w:tabs>
        <w:ind w:left="3648" w:hanging="360"/>
      </w:pPr>
    </w:lvl>
    <w:lvl w:ilvl="4" w:tplc="040C0019" w:tentative="1">
      <w:start w:val="1"/>
      <w:numFmt w:val="lowerLetter"/>
      <w:lvlText w:val="%5."/>
      <w:lvlJc w:val="left"/>
      <w:pPr>
        <w:tabs>
          <w:tab w:val="num" w:pos="4368"/>
        </w:tabs>
        <w:ind w:left="4368" w:hanging="360"/>
      </w:pPr>
    </w:lvl>
    <w:lvl w:ilvl="5" w:tplc="040C001B" w:tentative="1">
      <w:start w:val="1"/>
      <w:numFmt w:val="lowerRoman"/>
      <w:lvlText w:val="%6."/>
      <w:lvlJc w:val="right"/>
      <w:pPr>
        <w:tabs>
          <w:tab w:val="num" w:pos="5088"/>
        </w:tabs>
        <w:ind w:left="5088" w:hanging="180"/>
      </w:pPr>
    </w:lvl>
    <w:lvl w:ilvl="6" w:tplc="040C000F" w:tentative="1">
      <w:start w:val="1"/>
      <w:numFmt w:val="decimal"/>
      <w:lvlText w:val="%7."/>
      <w:lvlJc w:val="left"/>
      <w:pPr>
        <w:tabs>
          <w:tab w:val="num" w:pos="5808"/>
        </w:tabs>
        <w:ind w:left="5808" w:hanging="360"/>
      </w:pPr>
    </w:lvl>
    <w:lvl w:ilvl="7" w:tplc="040C0019" w:tentative="1">
      <w:start w:val="1"/>
      <w:numFmt w:val="lowerLetter"/>
      <w:lvlText w:val="%8."/>
      <w:lvlJc w:val="left"/>
      <w:pPr>
        <w:tabs>
          <w:tab w:val="num" w:pos="6528"/>
        </w:tabs>
        <w:ind w:left="6528" w:hanging="360"/>
      </w:pPr>
    </w:lvl>
    <w:lvl w:ilvl="8" w:tplc="040C001B" w:tentative="1">
      <w:start w:val="1"/>
      <w:numFmt w:val="lowerRoman"/>
      <w:lvlText w:val="%9."/>
      <w:lvlJc w:val="right"/>
      <w:pPr>
        <w:tabs>
          <w:tab w:val="num" w:pos="7248"/>
        </w:tabs>
        <w:ind w:left="7248" w:hanging="180"/>
      </w:p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336"/>
    <w:rsid w:val="00016AC5"/>
    <w:rsid w:val="000229BE"/>
    <w:rsid w:val="00023FAD"/>
    <w:rsid w:val="000260D3"/>
    <w:rsid w:val="00030ADE"/>
    <w:rsid w:val="000312C0"/>
    <w:rsid w:val="00075AF8"/>
    <w:rsid w:val="00090A5D"/>
    <w:rsid w:val="000A0D7D"/>
    <w:rsid w:val="000A55CE"/>
    <w:rsid w:val="000B0D4D"/>
    <w:rsid w:val="000B60CE"/>
    <w:rsid w:val="000D17BF"/>
    <w:rsid w:val="000E10DA"/>
    <w:rsid w:val="000F41F2"/>
    <w:rsid w:val="00103471"/>
    <w:rsid w:val="00111648"/>
    <w:rsid w:val="00114D3F"/>
    <w:rsid w:val="001260A6"/>
    <w:rsid w:val="00127A23"/>
    <w:rsid w:val="00133F18"/>
    <w:rsid w:val="00135C0D"/>
    <w:rsid w:val="001542D1"/>
    <w:rsid w:val="00160540"/>
    <w:rsid w:val="001636E0"/>
    <w:rsid w:val="001701DC"/>
    <w:rsid w:val="0017182C"/>
    <w:rsid w:val="0017360A"/>
    <w:rsid w:val="00177007"/>
    <w:rsid w:val="001823D4"/>
    <w:rsid w:val="00183F4A"/>
    <w:rsid w:val="00186EE9"/>
    <w:rsid w:val="00191B0F"/>
    <w:rsid w:val="00192EEB"/>
    <w:rsid w:val="001947FF"/>
    <w:rsid w:val="001A20FB"/>
    <w:rsid w:val="001B0BE2"/>
    <w:rsid w:val="001B46BD"/>
    <w:rsid w:val="001B6F40"/>
    <w:rsid w:val="001C4184"/>
    <w:rsid w:val="001C61AA"/>
    <w:rsid w:val="001D7F8A"/>
    <w:rsid w:val="001E3FEB"/>
    <w:rsid w:val="001E4A02"/>
    <w:rsid w:val="00223B89"/>
    <w:rsid w:val="002255DD"/>
    <w:rsid w:val="00225A8C"/>
    <w:rsid w:val="00234E40"/>
    <w:rsid w:val="00243103"/>
    <w:rsid w:val="00251000"/>
    <w:rsid w:val="00263074"/>
    <w:rsid w:val="002659F1"/>
    <w:rsid w:val="00271AAD"/>
    <w:rsid w:val="00271C7C"/>
    <w:rsid w:val="00287E79"/>
    <w:rsid w:val="002928F9"/>
    <w:rsid w:val="002A5D07"/>
    <w:rsid w:val="002B4585"/>
    <w:rsid w:val="002B64EB"/>
    <w:rsid w:val="002C4C91"/>
    <w:rsid w:val="002D31AC"/>
    <w:rsid w:val="002D7669"/>
    <w:rsid w:val="002E6444"/>
    <w:rsid w:val="002E6F0D"/>
    <w:rsid w:val="003016B7"/>
    <w:rsid w:val="003044AA"/>
    <w:rsid w:val="00330F9C"/>
    <w:rsid w:val="00331156"/>
    <w:rsid w:val="00340C35"/>
    <w:rsid w:val="00343C15"/>
    <w:rsid w:val="003515AA"/>
    <w:rsid w:val="00364866"/>
    <w:rsid w:val="00370352"/>
    <w:rsid w:val="00370E0F"/>
    <w:rsid w:val="00374106"/>
    <w:rsid w:val="003976D5"/>
    <w:rsid w:val="003A2976"/>
    <w:rsid w:val="003C3BD4"/>
    <w:rsid w:val="003D1DF3"/>
    <w:rsid w:val="003D46A7"/>
    <w:rsid w:val="003D6C68"/>
    <w:rsid w:val="003E5551"/>
    <w:rsid w:val="004159D0"/>
    <w:rsid w:val="00416747"/>
    <w:rsid w:val="00416BBB"/>
    <w:rsid w:val="0042377E"/>
    <w:rsid w:val="004249E7"/>
    <w:rsid w:val="00426657"/>
    <w:rsid w:val="0043292F"/>
    <w:rsid w:val="00442D65"/>
    <w:rsid w:val="004532CE"/>
    <w:rsid w:val="00460C54"/>
    <w:rsid w:val="004812F5"/>
    <w:rsid w:val="004856F9"/>
    <w:rsid w:val="00493C5D"/>
    <w:rsid w:val="004958E9"/>
    <w:rsid w:val="00497E7A"/>
    <w:rsid w:val="004A5935"/>
    <w:rsid w:val="004D0439"/>
    <w:rsid w:val="004E6373"/>
    <w:rsid w:val="00523538"/>
    <w:rsid w:val="00530F2E"/>
    <w:rsid w:val="00543D5E"/>
    <w:rsid w:val="00571F41"/>
    <w:rsid w:val="00580744"/>
    <w:rsid w:val="00580EEC"/>
    <w:rsid w:val="00595BE4"/>
    <w:rsid w:val="005A20B5"/>
    <w:rsid w:val="005A69D3"/>
    <w:rsid w:val="005B76A3"/>
    <w:rsid w:val="005E0BAE"/>
    <w:rsid w:val="005E5D1F"/>
    <w:rsid w:val="00602512"/>
    <w:rsid w:val="00603391"/>
    <w:rsid w:val="00610771"/>
    <w:rsid w:val="00611D43"/>
    <w:rsid w:val="00612D48"/>
    <w:rsid w:val="00616B45"/>
    <w:rsid w:val="00626D5C"/>
    <w:rsid w:val="00630D9B"/>
    <w:rsid w:val="00631953"/>
    <w:rsid w:val="006320E9"/>
    <w:rsid w:val="006439EC"/>
    <w:rsid w:val="00650FD4"/>
    <w:rsid w:val="00653D13"/>
    <w:rsid w:val="006606BB"/>
    <w:rsid w:val="006834E6"/>
    <w:rsid w:val="00694F83"/>
    <w:rsid w:val="006B4590"/>
    <w:rsid w:val="006B6C93"/>
    <w:rsid w:val="006C340C"/>
    <w:rsid w:val="006C7F8A"/>
    <w:rsid w:val="006D3C84"/>
    <w:rsid w:val="006E5FC7"/>
    <w:rsid w:val="0070347C"/>
    <w:rsid w:val="007176C1"/>
    <w:rsid w:val="007330FE"/>
    <w:rsid w:val="00735A79"/>
    <w:rsid w:val="00757352"/>
    <w:rsid w:val="00763EB9"/>
    <w:rsid w:val="00790336"/>
    <w:rsid w:val="00790F2F"/>
    <w:rsid w:val="007A1954"/>
    <w:rsid w:val="007B0F68"/>
    <w:rsid w:val="007C3462"/>
    <w:rsid w:val="007C3C4F"/>
    <w:rsid w:val="007D70C8"/>
    <w:rsid w:val="007E6519"/>
    <w:rsid w:val="007F55CB"/>
    <w:rsid w:val="00805BAD"/>
    <w:rsid w:val="00812C1A"/>
    <w:rsid w:val="00812C43"/>
    <w:rsid w:val="00830891"/>
    <w:rsid w:val="008317F6"/>
    <w:rsid w:val="00836A24"/>
    <w:rsid w:val="00844750"/>
    <w:rsid w:val="00846C19"/>
    <w:rsid w:val="00852754"/>
    <w:rsid w:val="0086369F"/>
    <w:rsid w:val="008940D7"/>
    <w:rsid w:val="008A767B"/>
    <w:rsid w:val="008B09B3"/>
    <w:rsid w:val="008B44C4"/>
    <w:rsid w:val="008B7879"/>
    <w:rsid w:val="008D3919"/>
    <w:rsid w:val="008E7FAE"/>
    <w:rsid w:val="008F059B"/>
    <w:rsid w:val="00911BF7"/>
    <w:rsid w:val="00911DA7"/>
    <w:rsid w:val="00916183"/>
    <w:rsid w:val="009165B3"/>
    <w:rsid w:val="00935909"/>
    <w:rsid w:val="00945FF8"/>
    <w:rsid w:val="009461E5"/>
    <w:rsid w:val="00952FDB"/>
    <w:rsid w:val="0095536D"/>
    <w:rsid w:val="00974DF0"/>
    <w:rsid w:val="00975B8F"/>
    <w:rsid w:val="009761FC"/>
    <w:rsid w:val="00977EC8"/>
    <w:rsid w:val="00980B3E"/>
    <w:rsid w:val="00983A20"/>
    <w:rsid w:val="00984468"/>
    <w:rsid w:val="009A5E81"/>
    <w:rsid w:val="009B18A3"/>
    <w:rsid w:val="009D3A8C"/>
    <w:rsid w:val="009E01B8"/>
    <w:rsid w:val="009E2194"/>
    <w:rsid w:val="009E7956"/>
    <w:rsid w:val="00A15CB2"/>
    <w:rsid w:val="00A24903"/>
    <w:rsid w:val="00A2492E"/>
    <w:rsid w:val="00A31A6B"/>
    <w:rsid w:val="00A666CE"/>
    <w:rsid w:val="00A70163"/>
    <w:rsid w:val="00A96408"/>
    <w:rsid w:val="00A97D9A"/>
    <w:rsid w:val="00AA4C53"/>
    <w:rsid w:val="00AA5935"/>
    <w:rsid w:val="00AB40FF"/>
    <w:rsid w:val="00AB7D3D"/>
    <w:rsid w:val="00AC2802"/>
    <w:rsid w:val="00AC67A1"/>
    <w:rsid w:val="00AC7977"/>
    <w:rsid w:val="00AE352C"/>
    <w:rsid w:val="00AF1499"/>
    <w:rsid w:val="00AF4C64"/>
    <w:rsid w:val="00B02214"/>
    <w:rsid w:val="00B03463"/>
    <w:rsid w:val="00B32E2D"/>
    <w:rsid w:val="00B4466B"/>
    <w:rsid w:val="00B5393D"/>
    <w:rsid w:val="00B57132"/>
    <w:rsid w:val="00B60BEC"/>
    <w:rsid w:val="00B61990"/>
    <w:rsid w:val="00B6334B"/>
    <w:rsid w:val="00B73AAE"/>
    <w:rsid w:val="00B75DC2"/>
    <w:rsid w:val="00B75EC5"/>
    <w:rsid w:val="00B85D99"/>
    <w:rsid w:val="00B86EA9"/>
    <w:rsid w:val="00B93E72"/>
    <w:rsid w:val="00BA5250"/>
    <w:rsid w:val="00BB5362"/>
    <w:rsid w:val="00BC5FA7"/>
    <w:rsid w:val="00BD44CD"/>
    <w:rsid w:val="00BD67A2"/>
    <w:rsid w:val="00BF0556"/>
    <w:rsid w:val="00BF38EF"/>
    <w:rsid w:val="00C24B53"/>
    <w:rsid w:val="00C261F8"/>
    <w:rsid w:val="00C26A6F"/>
    <w:rsid w:val="00C26F66"/>
    <w:rsid w:val="00C27150"/>
    <w:rsid w:val="00C33100"/>
    <w:rsid w:val="00C57892"/>
    <w:rsid w:val="00C7089E"/>
    <w:rsid w:val="00C74D15"/>
    <w:rsid w:val="00C908B9"/>
    <w:rsid w:val="00C940E9"/>
    <w:rsid w:val="00CA1414"/>
    <w:rsid w:val="00CB0B63"/>
    <w:rsid w:val="00CB373C"/>
    <w:rsid w:val="00CB6267"/>
    <w:rsid w:val="00CB694A"/>
    <w:rsid w:val="00CD1A25"/>
    <w:rsid w:val="00CD1A71"/>
    <w:rsid w:val="00CD1FBB"/>
    <w:rsid w:val="00CD3488"/>
    <w:rsid w:val="00CD4281"/>
    <w:rsid w:val="00CE5BF6"/>
    <w:rsid w:val="00CF1893"/>
    <w:rsid w:val="00CF7A47"/>
    <w:rsid w:val="00D016B5"/>
    <w:rsid w:val="00D034F1"/>
    <w:rsid w:val="00D04D8B"/>
    <w:rsid w:val="00D11B17"/>
    <w:rsid w:val="00D205A3"/>
    <w:rsid w:val="00D24779"/>
    <w:rsid w:val="00D24B1D"/>
    <w:rsid w:val="00D27D5E"/>
    <w:rsid w:val="00D46004"/>
    <w:rsid w:val="00D60301"/>
    <w:rsid w:val="00D64213"/>
    <w:rsid w:val="00D73AC5"/>
    <w:rsid w:val="00D761E2"/>
    <w:rsid w:val="00D92026"/>
    <w:rsid w:val="00DA4A3C"/>
    <w:rsid w:val="00DA57D4"/>
    <w:rsid w:val="00DB4793"/>
    <w:rsid w:val="00DB6CD1"/>
    <w:rsid w:val="00DC794A"/>
    <w:rsid w:val="00DE01E3"/>
    <w:rsid w:val="00DE45DF"/>
    <w:rsid w:val="00DE56E5"/>
    <w:rsid w:val="00DE6D90"/>
    <w:rsid w:val="00DF002F"/>
    <w:rsid w:val="00E00351"/>
    <w:rsid w:val="00E0244D"/>
    <w:rsid w:val="00E0331A"/>
    <w:rsid w:val="00E2484C"/>
    <w:rsid w:val="00E37AE2"/>
    <w:rsid w:val="00E401F2"/>
    <w:rsid w:val="00E413D8"/>
    <w:rsid w:val="00E47862"/>
    <w:rsid w:val="00E50079"/>
    <w:rsid w:val="00E55D71"/>
    <w:rsid w:val="00E56ED3"/>
    <w:rsid w:val="00E61E81"/>
    <w:rsid w:val="00E75221"/>
    <w:rsid w:val="00E81E94"/>
    <w:rsid w:val="00E82607"/>
    <w:rsid w:val="00EA31C2"/>
    <w:rsid w:val="00EA320D"/>
    <w:rsid w:val="00EC510E"/>
    <w:rsid w:val="00EE2EA3"/>
    <w:rsid w:val="00EE56CB"/>
    <w:rsid w:val="00EF1183"/>
    <w:rsid w:val="00EF486C"/>
    <w:rsid w:val="00F01516"/>
    <w:rsid w:val="00F311BC"/>
    <w:rsid w:val="00F32462"/>
    <w:rsid w:val="00F50F4F"/>
    <w:rsid w:val="00F56DE8"/>
    <w:rsid w:val="00F57129"/>
    <w:rsid w:val="00FA5A79"/>
    <w:rsid w:val="00FB00CB"/>
    <w:rsid w:val="00FB0BFE"/>
    <w:rsid w:val="00FB44CA"/>
    <w:rsid w:val="00FB4C51"/>
    <w:rsid w:val="00FC017A"/>
    <w:rsid w:val="00FD3CA2"/>
    <w:rsid w:val="00FF0745"/>
    <w:rsid w:val="00FF10CF"/>
    <w:rsid w:val="00FF1DBD"/>
    <w:rsid w:val="00FF4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8EF"/>
    <w:pPr>
      <w:suppressAutoHyphens/>
      <w:spacing w:line="240" w:lineRule="atLeast"/>
    </w:pPr>
    <w:rPr>
      <w:lang w:val="fr-CH" w:eastAsia="en-US"/>
    </w:rPr>
  </w:style>
  <w:style w:type="paragraph" w:styleId="Heading1">
    <w:name w:val="heading 1"/>
    <w:aliases w:val="Table_G"/>
    <w:basedOn w:val="SingleTxtG"/>
    <w:next w:val="SingleTxtG"/>
    <w:qFormat/>
    <w:rsid w:val="00BF38EF"/>
    <w:pPr>
      <w:keepNext/>
      <w:keepLines/>
      <w:spacing w:after="0" w:line="240" w:lineRule="auto"/>
      <w:ind w:right="0"/>
      <w:jc w:val="left"/>
      <w:outlineLvl w:val="0"/>
    </w:pPr>
  </w:style>
  <w:style w:type="paragraph" w:styleId="Heading2">
    <w:name w:val="heading 2"/>
    <w:basedOn w:val="Normal"/>
    <w:next w:val="Normal"/>
    <w:qFormat/>
    <w:rsid w:val="00BF38EF"/>
    <w:pPr>
      <w:outlineLvl w:val="1"/>
    </w:pPr>
  </w:style>
  <w:style w:type="paragraph" w:styleId="Heading3">
    <w:name w:val="heading 3"/>
    <w:basedOn w:val="Normal"/>
    <w:next w:val="Normal"/>
    <w:qFormat/>
    <w:rsid w:val="00BF38EF"/>
    <w:pPr>
      <w:outlineLvl w:val="2"/>
    </w:pPr>
  </w:style>
  <w:style w:type="paragraph" w:styleId="Heading4">
    <w:name w:val="heading 4"/>
    <w:basedOn w:val="Normal"/>
    <w:next w:val="Normal"/>
    <w:qFormat/>
    <w:rsid w:val="00BF38EF"/>
    <w:pPr>
      <w:outlineLvl w:val="3"/>
    </w:pPr>
  </w:style>
  <w:style w:type="paragraph" w:styleId="Heading5">
    <w:name w:val="heading 5"/>
    <w:basedOn w:val="Normal"/>
    <w:next w:val="Normal"/>
    <w:qFormat/>
    <w:rsid w:val="00BF38EF"/>
    <w:pPr>
      <w:outlineLvl w:val="4"/>
    </w:pPr>
  </w:style>
  <w:style w:type="paragraph" w:styleId="Heading6">
    <w:name w:val="heading 6"/>
    <w:basedOn w:val="Normal"/>
    <w:next w:val="Normal"/>
    <w:qFormat/>
    <w:rsid w:val="00BF38EF"/>
    <w:pPr>
      <w:outlineLvl w:val="5"/>
    </w:pPr>
  </w:style>
  <w:style w:type="paragraph" w:styleId="Heading7">
    <w:name w:val="heading 7"/>
    <w:basedOn w:val="Normal"/>
    <w:next w:val="Normal"/>
    <w:qFormat/>
    <w:rsid w:val="00BF38EF"/>
    <w:pPr>
      <w:outlineLvl w:val="6"/>
    </w:pPr>
  </w:style>
  <w:style w:type="paragraph" w:styleId="Heading8">
    <w:name w:val="heading 8"/>
    <w:basedOn w:val="Normal"/>
    <w:next w:val="Normal"/>
    <w:qFormat/>
    <w:rsid w:val="00BF38EF"/>
    <w:pPr>
      <w:outlineLvl w:val="7"/>
    </w:pPr>
  </w:style>
  <w:style w:type="paragraph" w:styleId="Heading9">
    <w:name w:val="heading 9"/>
    <w:basedOn w:val="Normal"/>
    <w:next w:val="Normal"/>
    <w:qFormat/>
    <w:rsid w:val="00BF38E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BF38E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F38E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BF38E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BF38E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F38E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F38EF"/>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BF38EF"/>
    <w:pPr>
      <w:spacing w:after="120"/>
      <w:ind w:left="1134" w:right="1134"/>
      <w:jc w:val="both"/>
    </w:pPr>
  </w:style>
  <w:style w:type="paragraph" w:customStyle="1" w:styleId="SLG">
    <w:name w:val="__S_L_G"/>
    <w:basedOn w:val="Normal"/>
    <w:next w:val="Normal"/>
    <w:rsid w:val="00BF38EF"/>
    <w:pPr>
      <w:keepNext/>
      <w:keepLines/>
      <w:spacing w:before="240" w:after="240" w:line="580" w:lineRule="exact"/>
      <w:ind w:left="1134" w:right="1134"/>
    </w:pPr>
    <w:rPr>
      <w:b/>
      <w:sz w:val="56"/>
    </w:rPr>
  </w:style>
  <w:style w:type="paragraph" w:customStyle="1" w:styleId="SMG">
    <w:name w:val="__S_M_G"/>
    <w:basedOn w:val="Normal"/>
    <w:next w:val="Normal"/>
    <w:rsid w:val="00BF38EF"/>
    <w:pPr>
      <w:keepNext/>
      <w:keepLines/>
      <w:spacing w:before="240" w:after="240" w:line="420" w:lineRule="exact"/>
      <w:ind w:left="1134" w:right="1134"/>
    </w:pPr>
    <w:rPr>
      <w:b/>
      <w:sz w:val="40"/>
    </w:rPr>
  </w:style>
  <w:style w:type="paragraph" w:customStyle="1" w:styleId="SSG">
    <w:name w:val="__S_S_G"/>
    <w:basedOn w:val="Normal"/>
    <w:next w:val="Normal"/>
    <w:rsid w:val="00BF38EF"/>
    <w:pPr>
      <w:keepNext/>
      <w:keepLines/>
      <w:spacing w:before="240" w:after="240" w:line="300" w:lineRule="exact"/>
      <w:ind w:left="1134" w:right="1134"/>
    </w:pPr>
    <w:rPr>
      <w:b/>
      <w:sz w:val="28"/>
    </w:rPr>
  </w:style>
  <w:style w:type="paragraph" w:customStyle="1" w:styleId="XLargeG">
    <w:name w:val="__XLarge_G"/>
    <w:basedOn w:val="Normal"/>
    <w:next w:val="Normal"/>
    <w:rsid w:val="00BF38EF"/>
    <w:pPr>
      <w:keepNext/>
      <w:keepLines/>
      <w:spacing w:before="240" w:after="240" w:line="420" w:lineRule="exact"/>
      <w:ind w:left="1134" w:right="1134"/>
    </w:pPr>
    <w:rPr>
      <w:b/>
      <w:sz w:val="40"/>
    </w:rPr>
  </w:style>
  <w:style w:type="paragraph" w:customStyle="1" w:styleId="Bullet1G">
    <w:name w:val="_Bullet 1_G"/>
    <w:basedOn w:val="Normal"/>
    <w:rsid w:val="00BF38EF"/>
    <w:pPr>
      <w:numPr>
        <w:numId w:val="1"/>
      </w:numPr>
      <w:spacing w:after="120"/>
      <w:ind w:right="1134"/>
      <w:jc w:val="both"/>
    </w:pPr>
  </w:style>
  <w:style w:type="paragraph" w:customStyle="1" w:styleId="Bullet2G">
    <w:name w:val="_Bullet 2_G"/>
    <w:basedOn w:val="Normal"/>
    <w:rsid w:val="00BF38EF"/>
    <w:pPr>
      <w:numPr>
        <w:numId w:val="2"/>
      </w:numPr>
      <w:spacing w:after="120"/>
      <w:ind w:right="1134"/>
      <w:jc w:val="both"/>
    </w:pPr>
  </w:style>
  <w:style w:type="character" w:styleId="FootnoteReference">
    <w:name w:val="footnote reference"/>
    <w:aliases w:val="4_G"/>
    <w:rsid w:val="00BF38EF"/>
    <w:rPr>
      <w:rFonts w:ascii="Times New Roman" w:hAnsi="Times New Roman"/>
      <w:sz w:val="18"/>
      <w:vertAlign w:val="superscript"/>
      <w:lang w:val="fr-CH"/>
    </w:rPr>
  </w:style>
  <w:style w:type="character" w:styleId="EndnoteReference">
    <w:name w:val="endnote reference"/>
    <w:aliases w:val="1_G"/>
    <w:basedOn w:val="FootnoteReference"/>
    <w:rsid w:val="00BF38EF"/>
    <w:rPr>
      <w:rFonts w:ascii="Times New Roman" w:hAnsi="Times New Roman"/>
      <w:sz w:val="18"/>
      <w:vertAlign w:val="superscript"/>
      <w:lang w:val="fr-CH"/>
    </w:rPr>
  </w:style>
  <w:style w:type="paragraph" w:styleId="Header">
    <w:name w:val="header"/>
    <w:aliases w:val="6_G"/>
    <w:basedOn w:val="Normal"/>
    <w:next w:val="Normal"/>
    <w:rsid w:val="00BF38EF"/>
    <w:pPr>
      <w:pBdr>
        <w:bottom w:val="single" w:sz="4" w:space="4" w:color="auto"/>
      </w:pBdr>
      <w:spacing w:line="240" w:lineRule="auto"/>
    </w:pPr>
    <w:rPr>
      <w:b/>
      <w:sz w:val="18"/>
    </w:rPr>
  </w:style>
  <w:style w:type="paragraph" w:styleId="FootnoteText">
    <w:name w:val="footnote text"/>
    <w:aliases w:val="5_G"/>
    <w:basedOn w:val="Normal"/>
    <w:rsid w:val="00BF38EF"/>
    <w:pPr>
      <w:tabs>
        <w:tab w:val="right" w:pos="1021"/>
      </w:tabs>
      <w:spacing w:line="220" w:lineRule="exact"/>
      <w:ind w:left="1134" w:right="1134" w:hanging="1134"/>
    </w:pPr>
    <w:rPr>
      <w:sz w:val="18"/>
    </w:rPr>
  </w:style>
  <w:style w:type="paragraph" w:styleId="EndnoteText">
    <w:name w:val="endnote text"/>
    <w:aliases w:val="2_G"/>
    <w:basedOn w:val="FootnoteText"/>
    <w:rsid w:val="00BF38EF"/>
  </w:style>
  <w:style w:type="character" w:styleId="PageNumber">
    <w:name w:val="page number"/>
    <w:aliases w:val="7_G"/>
    <w:rsid w:val="00BF38EF"/>
    <w:rPr>
      <w:rFonts w:ascii="Times New Roman" w:hAnsi="Times New Roman"/>
      <w:b/>
      <w:sz w:val="18"/>
      <w:lang w:val="fr-CH"/>
    </w:rPr>
  </w:style>
  <w:style w:type="paragraph" w:styleId="Footer">
    <w:name w:val="footer"/>
    <w:aliases w:val="3_G"/>
    <w:basedOn w:val="Normal"/>
    <w:next w:val="Normal"/>
    <w:rsid w:val="00BF38EF"/>
    <w:pPr>
      <w:spacing w:line="240" w:lineRule="auto"/>
    </w:pPr>
    <w:rPr>
      <w:sz w:val="16"/>
    </w:rPr>
  </w:style>
  <w:style w:type="character" w:styleId="Hyperlink">
    <w:name w:val="Hyperlink"/>
    <w:semiHidden/>
    <w:rsid w:val="00BF38EF"/>
    <w:rPr>
      <w:color w:val="auto"/>
      <w:u w:val="none"/>
    </w:rPr>
  </w:style>
  <w:style w:type="character" w:styleId="FollowedHyperlink">
    <w:name w:val="FollowedHyperlink"/>
    <w:semiHidden/>
    <w:rsid w:val="00BF38EF"/>
    <w:rPr>
      <w:color w:val="auto"/>
      <w:u w:val="none"/>
    </w:rPr>
  </w:style>
  <w:style w:type="character" w:customStyle="1" w:styleId="H1GChar">
    <w:name w:val="_ H_1_G Char"/>
    <w:link w:val="H1G"/>
    <w:rsid w:val="00CD4281"/>
    <w:rPr>
      <w:b/>
      <w:sz w:val="24"/>
      <w:lang w:val="fr-CH" w:eastAsia="en-US" w:bidi="ar-SA"/>
    </w:rPr>
  </w:style>
  <w:style w:type="table" w:styleId="TableGrid">
    <w:name w:val="Table Grid"/>
    <w:basedOn w:val="TableNormal"/>
    <w:semiHidden/>
    <w:rsid w:val="00BF38E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har">
    <w:name w:val="_ Single Txt_G Char"/>
    <w:link w:val="SingleTxtG"/>
    <w:locked/>
    <w:rsid w:val="002E6F0D"/>
    <w:rPr>
      <w:lang w:val="fr-CH" w:eastAsia="en-US"/>
    </w:rPr>
  </w:style>
  <w:style w:type="character" w:customStyle="1" w:styleId="H23GChar">
    <w:name w:val="_ H_2/3_G Char"/>
    <w:link w:val="H23G"/>
    <w:rsid w:val="002E6F0D"/>
    <w:rPr>
      <w:b/>
      <w:lang w:val="fr-CH" w:eastAsia="en-US"/>
    </w:rPr>
  </w:style>
  <w:style w:type="paragraph" w:styleId="BalloonText">
    <w:name w:val="Balloon Text"/>
    <w:basedOn w:val="Normal"/>
    <w:link w:val="BalloonTextChar"/>
    <w:rsid w:val="00023FAD"/>
    <w:pPr>
      <w:spacing w:line="240" w:lineRule="auto"/>
    </w:pPr>
    <w:rPr>
      <w:rFonts w:ascii="Tahoma" w:hAnsi="Tahoma" w:cs="Tahoma"/>
      <w:sz w:val="16"/>
      <w:szCs w:val="16"/>
    </w:rPr>
  </w:style>
  <w:style w:type="character" w:customStyle="1" w:styleId="BalloonTextChar">
    <w:name w:val="Balloon Text Char"/>
    <w:link w:val="BalloonText"/>
    <w:rsid w:val="00023FAD"/>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8EF"/>
    <w:pPr>
      <w:suppressAutoHyphens/>
      <w:spacing w:line="240" w:lineRule="atLeast"/>
    </w:pPr>
    <w:rPr>
      <w:lang w:val="fr-CH" w:eastAsia="en-US"/>
    </w:rPr>
  </w:style>
  <w:style w:type="paragraph" w:styleId="Heading1">
    <w:name w:val="heading 1"/>
    <w:aliases w:val="Table_G"/>
    <w:basedOn w:val="SingleTxtG"/>
    <w:next w:val="SingleTxtG"/>
    <w:qFormat/>
    <w:rsid w:val="00BF38EF"/>
    <w:pPr>
      <w:keepNext/>
      <w:keepLines/>
      <w:spacing w:after="0" w:line="240" w:lineRule="auto"/>
      <w:ind w:right="0"/>
      <w:jc w:val="left"/>
      <w:outlineLvl w:val="0"/>
    </w:pPr>
  </w:style>
  <w:style w:type="paragraph" w:styleId="Heading2">
    <w:name w:val="heading 2"/>
    <w:basedOn w:val="Normal"/>
    <w:next w:val="Normal"/>
    <w:qFormat/>
    <w:rsid w:val="00BF38EF"/>
    <w:pPr>
      <w:outlineLvl w:val="1"/>
    </w:pPr>
  </w:style>
  <w:style w:type="paragraph" w:styleId="Heading3">
    <w:name w:val="heading 3"/>
    <w:basedOn w:val="Normal"/>
    <w:next w:val="Normal"/>
    <w:qFormat/>
    <w:rsid w:val="00BF38EF"/>
    <w:pPr>
      <w:outlineLvl w:val="2"/>
    </w:pPr>
  </w:style>
  <w:style w:type="paragraph" w:styleId="Heading4">
    <w:name w:val="heading 4"/>
    <w:basedOn w:val="Normal"/>
    <w:next w:val="Normal"/>
    <w:qFormat/>
    <w:rsid w:val="00BF38EF"/>
    <w:pPr>
      <w:outlineLvl w:val="3"/>
    </w:pPr>
  </w:style>
  <w:style w:type="paragraph" w:styleId="Heading5">
    <w:name w:val="heading 5"/>
    <w:basedOn w:val="Normal"/>
    <w:next w:val="Normal"/>
    <w:qFormat/>
    <w:rsid w:val="00BF38EF"/>
    <w:pPr>
      <w:outlineLvl w:val="4"/>
    </w:pPr>
  </w:style>
  <w:style w:type="paragraph" w:styleId="Heading6">
    <w:name w:val="heading 6"/>
    <w:basedOn w:val="Normal"/>
    <w:next w:val="Normal"/>
    <w:qFormat/>
    <w:rsid w:val="00BF38EF"/>
    <w:pPr>
      <w:outlineLvl w:val="5"/>
    </w:pPr>
  </w:style>
  <w:style w:type="paragraph" w:styleId="Heading7">
    <w:name w:val="heading 7"/>
    <w:basedOn w:val="Normal"/>
    <w:next w:val="Normal"/>
    <w:qFormat/>
    <w:rsid w:val="00BF38EF"/>
    <w:pPr>
      <w:outlineLvl w:val="6"/>
    </w:pPr>
  </w:style>
  <w:style w:type="paragraph" w:styleId="Heading8">
    <w:name w:val="heading 8"/>
    <w:basedOn w:val="Normal"/>
    <w:next w:val="Normal"/>
    <w:qFormat/>
    <w:rsid w:val="00BF38EF"/>
    <w:pPr>
      <w:outlineLvl w:val="7"/>
    </w:pPr>
  </w:style>
  <w:style w:type="paragraph" w:styleId="Heading9">
    <w:name w:val="heading 9"/>
    <w:basedOn w:val="Normal"/>
    <w:next w:val="Normal"/>
    <w:qFormat/>
    <w:rsid w:val="00BF38E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BF38EF"/>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BF38EF"/>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BF38EF"/>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BF38EF"/>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BF38EF"/>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F38EF"/>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BF38EF"/>
    <w:pPr>
      <w:spacing w:after="120"/>
      <w:ind w:left="1134" w:right="1134"/>
      <w:jc w:val="both"/>
    </w:pPr>
  </w:style>
  <w:style w:type="paragraph" w:customStyle="1" w:styleId="SLG">
    <w:name w:val="__S_L_G"/>
    <w:basedOn w:val="Normal"/>
    <w:next w:val="Normal"/>
    <w:rsid w:val="00BF38EF"/>
    <w:pPr>
      <w:keepNext/>
      <w:keepLines/>
      <w:spacing w:before="240" w:after="240" w:line="580" w:lineRule="exact"/>
      <w:ind w:left="1134" w:right="1134"/>
    </w:pPr>
    <w:rPr>
      <w:b/>
      <w:sz w:val="56"/>
    </w:rPr>
  </w:style>
  <w:style w:type="paragraph" w:customStyle="1" w:styleId="SMG">
    <w:name w:val="__S_M_G"/>
    <w:basedOn w:val="Normal"/>
    <w:next w:val="Normal"/>
    <w:rsid w:val="00BF38EF"/>
    <w:pPr>
      <w:keepNext/>
      <w:keepLines/>
      <w:spacing w:before="240" w:after="240" w:line="420" w:lineRule="exact"/>
      <w:ind w:left="1134" w:right="1134"/>
    </w:pPr>
    <w:rPr>
      <w:b/>
      <w:sz w:val="40"/>
    </w:rPr>
  </w:style>
  <w:style w:type="paragraph" w:customStyle="1" w:styleId="SSG">
    <w:name w:val="__S_S_G"/>
    <w:basedOn w:val="Normal"/>
    <w:next w:val="Normal"/>
    <w:rsid w:val="00BF38EF"/>
    <w:pPr>
      <w:keepNext/>
      <w:keepLines/>
      <w:spacing w:before="240" w:after="240" w:line="300" w:lineRule="exact"/>
      <w:ind w:left="1134" w:right="1134"/>
    </w:pPr>
    <w:rPr>
      <w:b/>
      <w:sz w:val="28"/>
    </w:rPr>
  </w:style>
  <w:style w:type="paragraph" w:customStyle="1" w:styleId="XLargeG">
    <w:name w:val="__XLarge_G"/>
    <w:basedOn w:val="Normal"/>
    <w:next w:val="Normal"/>
    <w:rsid w:val="00BF38EF"/>
    <w:pPr>
      <w:keepNext/>
      <w:keepLines/>
      <w:spacing w:before="240" w:after="240" w:line="420" w:lineRule="exact"/>
      <w:ind w:left="1134" w:right="1134"/>
    </w:pPr>
    <w:rPr>
      <w:b/>
      <w:sz w:val="40"/>
    </w:rPr>
  </w:style>
  <w:style w:type="paragraph" w:customStyle="1" w:styleId="Bullet1G">
    <w:name w:val="_Bullet 1_G"/>
    <w:basedOn w:val="Normal"/>
    <w:rsid w:val="00BF38EF"/>
    <w:pPr>
      <w:numPr>
        <w:numId w:val="1"/>
      </w:numPr>
      <w:spacing w:after="120"/>
      <w:ind w:right="1134"/>
      <w:jc w:val="both"/>
    </w:pPr>
  </w:style>
  <w:style w:type="paragraph" w:customStyle="1" w:styleId="Bullet2G">
    <w:name w:val="_Bullet 2_G"/>
    <w:basedOn w:val="Normal"/>
    <w:rsid w:val="00BF38EF"/>
    <w:pPr>
      <w:numPr>
        <w:numId w:val="2"/>
      </w:numPr>
      <w:spacing w:after="120"/>
      <w:ind w:right="1134"/>
      <w:jc w:val="both"/>
    </w:pPr>
  </w:style>
  <w:style w:type="character" w:styleId="FootnoteReference">
    <w:name w:val="footnote reference"/>
    <w:aliases w:val="4_G"/>
    <w:rsid w:val="00BF38EF"/>
    <w:rPr>
      <w:rFonts w:ascii="Times New Roman" w:hAnsi="Times New Roman"/>
      <w:sz w:val="18"/>
      <w:vertAlign w:val="superscript"/>
      <w:lang w:val="fr-CH"/>
    </w:rPr>
  </w:style>
  <w:style w:type="character" w:styleId="EndnoteReference">
    <w:name w:val="endnote reference"/>
    <w:aliases w:val="1_G"/>
    <w:basedOn w:val="FootnoteReference"/>
    <w:rsid w:val="00BF38EF"/>
    <w:rPr>
      <w:rFonts w:ascii="Times New Roman" w:hAnsi="Times New Roman"/>
      <w:sz w:val="18"/>
      <w:vertAlign w:val="superscript"/>
      <w:lang w:val="fr-CH"/>
    </w:rPr>
  </w:style>
  <w:style w:type="paragraph" w:styleId="Header">
    <w:name w:val="header"/>
    <w:aliases w:val="6_G"/>
    <w:basedOn w:val="Normal"/>
    <w:next w:val="Normal"/>
    <w:rsid w:val="00BF38EF"/>
    <w:pPr>
      <w:pBdr>
        <w:bottom w:val="single" w:sz="4" w:space="4" w:color="auto"/>
      </w:pBdr>
      <w:spacing w:line="240" w:lineRule="auto"/>
    </w:pPr>
    <w:rPr>
      <w:b/>
      <w:sz w:val="18"/>
    </w:rPr>
  </w:style>
  <w:style w:type="paragraph" w:styleId="FootnoteText">
    <w:name w:val="footnote text"/>
    <w:aliases w:val="5_G"/>
    <w:basedOn w:val="Normal"/>
    <w:rsid w:val="00BF38EF"/>
    <w:pPr>
      <w:tabs>
        <w:tab w:val="right" w:pos="1021"/>
      </w:tabs>
      <w:spacing w:line="220" w:lineRule="exact"/>
      <w:ind w:left="1134" w:right="1134" w:hanging="1134"/>
    </w:pPr>
    <w:rPr>
      <w:sz w:val="18"/>
    </w:rPr>
  </w:style>
  <w:style w:type="paragraph" w:styleId="EndnoteText">
    <w:name w:val="endnote text"/>
    <w:aliases w:val="2_G"/>
    <w:basedOn w:val="FootnoteText"/>
    <w:rsid w:val="00BF38EF"/>
  </w:style>
  <w:style w:type="character" w:styleId="PageNumber">
    <w:name w:val="page number"/>
    <w:aliases w:val="7_G"/>
    <w:rsid w:val="00BF38EF"/>
    <w:rPr>
      <w:rFonts w:ascii="Times New Roman" w:hAnsi="Times New Roman"/>
      <w:b/>
      <w:sz w:val="18"/>
      <w:lang w:val="fr-CH"/>
    </w:rPr>
  </w:style>
  <w:style w:type="paragraph" w:styleId="Footer">
    <w:name w:val="footer"/>
    <w:aliases w:val="3_G"/>
    <w:basedOn w:val="Normal"/>
    <w:next w:val="Normal"/>
    <w:rsid w:val="00BF38EF"/>
    <w:pPr>
      <w:spacing w:line="240" w:lineRule="auto"/>
    </w:pPr>
    <w:rPr>
      <w:sz w:val="16"/>
    </w:rPr>
  </w:style>
  <w:style w:type="character" w:styleId="Hyperlink">
    <w:name w:val="Hyperlink"/>
    <w:semiHidden/>
    <w:rsid w:val="00BF38EF"/>
    <w:rPr>
      <w:color w:val="auto"/>
      <w:u w:val="none"/>
    </w:rPr>
  </w:style>
  <w:style w:type="character" w:styleId="FollowedHyperlink">
    <w:name w:val="FollowedHyperlink"/>
    <w:semiHidden/>
    <w:rsid w:val="00BF38EF"/>
    <w:rPr>
      <w:color w:val="auto"/>
      <w:u w:val="none"/>
    </w:rPr>
  </w:style>
  <w:style w:type="character" w:customStyle="1" w:styleId="H1GChar">
    <w:name w:val="_ H_1_G Char"/>
    <w:link w:val="H1G"/>
    <w:rsid w:val="00CD4281"/>
    <w:rPr>
      <w:b/>
      <w:sz w:val="24"/>
      <w:lang w:val="fr-CH" w:eastAsia="en-US" w:bidi="ar-SA"/>
    </w:rPr>
  </w:style>
  <w:style w:type="table" w:styleId="TableGrid">
    <w:name w:val="Table Grid"/>
    <w:basedOn w:val="TableNormal"/>
    <w:semiHidden/>
    <w:rsid w:val="00BF38E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SingleTxtGChar">
    <w:name w:val="_ Single Txt_G Char"/>
    <w:link w:val="SingleTxtG"/>
    <w:locked/>
    <w:rsid w:val="002E6F0D"/>
    <w:rPr>
      <w:lang w:val="fr-CH" w:eastAsia="en-US"/>
    </w:rPr>
  </w:style>
  <w:style w:type="character" w:customStyle="1" w:styleId="H23GChar">
    <w:name w:val="_ H_2/3_G Char"/>
    <w:link w:val="H23G"/>
    <w:rsid w:val="002E6F0D"/>
    <w:rPr>
      <w:b/>
      <w:lang w:val="fr-CH" w:eastAsia="en-US"/>
    </w:rPr>
  </w:style>
  <w:style w:type="paragraph" w:styleId="BalloonText">
    <w:name w:val="Balloon Text"/>
    <w:basedOn w:val="Normal"/>
    <w:link w:val="BalloonTextChar"/>
    <w:rsid w:val="00023FAD"/>
    <w:pPr>
      <w:spacing w:line="240" w:lineRule="auto"/>
    </w:pPr>
    <w:rPr>
      <w:rFonts w:ascii="Tahoma" w:hAnsi="Tahoma" w:cs="Tahoma"/>
      <w:sz w:val="16"/>
      <w:szCs w:val="16"/>
    </w:rPr>
  </w:style>
  <w:style w:type="character" w:customStyle="1" w:styleId="BalloonTextChar">
    <w:name w:val="Balloon Text Char"/>
    <w:link w:val="BalloonText"/>
    <w:rsid w:val="00023FAD"/>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354138">
      <w:bodyDiv w:val="1"/>
      <w:marLeft w:val="0"/>
      <w:marRight w:val="0"/>
      <w:marTop w:val="0"/>
      <w:marBottom w:val="0"/>
      <w:divBdr>
        <w:top w:val="none" w:sz="0" w:space="0" w:color="auto"/>
        <w:left w:val="none" w:sz="0" w:space="0" w:color="auto"/>
        <w:bottom w:val="none" w:sz="0" w:space="0" w:color="auto"/>
        <w:right w:val="none" w:sz="0" w:space="0" w:color="auto"/>
      </w:divBdr>
      <w:divsChild>
        <w:div w:id="1267957048">
          <w:marLeft w:val="0"/>
          <w:marRight w:val="0"/>
          <w:marTop w:val="0"/>
          <w:marBottom w:val="0"/>
          <w:divBdr>
            <w:top w:val="none" w:sz="0" w:space="0" w:color="auto"/>
            <w:left w:val="none" w:sz="0" w:space="0" w:color="auto"/>
            <w:bottom w:val="none" w:sz="0" w:space="0" w:color="auto"/>
            <w:right w:val="none" w:sz="0" w:space="0" w:color="auto"/>
          </w:divBdr>
          <w:divsChild>
            <w:div w:id="1375034013">
              <w:marLeft w:val="0"/>
              <w:marRight w:val="0"/>
              <w:marTop w:val="0"/>
              <w:marBottom w:val="0"/>
              <w:divBdr>
                <w:top w:val="none" w:sz="0" w:space="0" w:color="auto"/>
                <w:left w:val="none" w:sz="0" w:space="0" w:color="auto"/>
                <w:bottom w:val="none" w:sz="0" w:space="0" w:color="auto"/>
                <w:right w:val="none" w:sz="0" w:space="0" w:color="auto"/>
              </w:divBdr>
              <w:divsChild>
                <w:div w:id="2036538188">
                  <w:marLeft w:val="0"/>
                  <w:marRight w:val="0"/>
                  <w:marTop w:val="0"/>
                  <w:marBottom w:val="0"/>
                  <w:divBdr>
                    <w:top w:val="none" w:sz="0" w:space="0" w:color="auto"/>
                    <w:left w:val="none" w:sz="0" w:space="0" w:color="auto"/>
                    <w:bottom w:val="none" w:sz="0" w:space="0" w:color="auto"/>
                    <w:right w:val="none" w:sz="0" w:space="0" w:color="auto"/>
                  </w:divBdr>
                  <w:divsChild>
                    <w:div w:id="721487795">
                      <w:marLeft w:val="0"/>
                      <w:marRight w:val="0"/>
                      <w:marTop w:val="0"/>
                      <w:marBottom w:val="0"/>
                      <w:divBdr>
                        <w:top w:val="none" w:sz="0" w:space="0" w:color="auto"/>
                        <w:left w:val="none" w:sz="0" w:space="0" w:color="auto"/>
                        <w:bottom w:val="none" w:sz="0" w:space="0" w:color="auto"/>
                        <w:right w:val="none" w:sz="0" w:space="0" w:color="auto"/>
                      </w:divBdr>
                      <w:divsChild>
                        <w:div w:id="1303922587">
                          <w:marLeft w:val="0"/>
                          <w:marRight w:val="0"/>
                          <w:marTop w:val="0"/>
                          <w:marBottom w:val="0"/>
                          <w:divBdr>
                            <w:top w:val="none" w:sz="0" w:space="0" w:color="auto"/>
                            <w:left w:val="none" w:sz="0" w:space="0" w:color="auto"/>
                            <w:bottom w:val="none" w:sz="0" w:space="0" w:color="auto"/>
                            <w:right w:val="none" w:sz="0" w:space="0" w:color="auto"/>
                          </w:divBdr>
                          <w:divsChild>
                            <w:div w:id="1575698532">
                              <w:marLeft w:val="0"/>
                              <w:marRight w:val="0"/>
                              <w:marTop w:val="0"/>
                              <w:marBottom w:val="0"/>
                              <w:divBdr>
                                <w:top w:val="none" w:sz="0" w:space="0" w:color="auto"/>
                                <w:left w:val="none" w:sz="0" w:space="0" w:color="auto"/>
                                <w:bottom w:val="none" w:sz="0" w:space="0" w:color="auto"/>
                                <w:right w:val="none" w:sz="0" w:space="0" w:color="auto"/>
                              </w:divBdr>
                              <w:divsChild>
                                <w:div w:id="1814903297">
                                  <w:marLeft w:val="0"/>
                                  <w:marRight w:val="0"/>
                                  <w:marTop w:val="0"/>
                                  <w:marBottom w:val="0"/>
                                  <w:divBdr>
                                    <w:top w:val="none" w:sz="0" w:space="0" w:color="auto"/>
                                    <w:left w:val="none" w:sz="0" w:space="0" w:color="auto"/>
                                    <w:bottom w:val="none" w:sz="0" w:space="0" w:color="auto"/>
                                    <w:right w:val="none" w:sz="0" w:space="0" w:color="auto"/>
                                  </w:divBdr>
                                  <w:divsChild>
                                    <w:div w:id="1885217430">
                                      <w:marLeft w:val="0"/>
                                      <w:marRight w:val="0"/>
                                      <w:marTop w:val="0"/>
                                      <w:marBottom w:val="0"/>
                                      <w:divBdr>
                                        <w:top w:val="single" w:sz="6" w:space="0" w:color="F5F5F5"/>
                                        <w:left w:val="single" w:sz="6" w:space="0" w:color="F5F5F5"/>
                                        <w:bottom w:val="single" w:sz="6" w:space="0" w:color="F5F5F5"/>
                                        <w:right w:val="single" w:sz="6" w:space="0" w:color="F5F5F5"/>
                                      </w:divBdr>
                                      <w:divsChild>
                                        <w:div w:id="1010832895">
                                          <w:marLeft w:val="0"/>
                                          <w:marRight w:val="0"/>
                                          <w:marTop w:val="0"/>
                                          <w:marBottom w:val="0"/>
                                          <w:divBdr>
                                            <w:top w:val="none" w:sz="0" w:space="0" w:color="auto"/>
                                            <w:left w:val="none" w:sz="0" w:space="0" w:color="auto"/>
                                            <w:bottom w:val="none" w:sz="0" w:space="0" w:color="auto"/>
                                            <w:right w:val="none" w:sz="0" w:space="0" w:color="auto"/>
                                          </w:divBdr>
                                          <w:divsChild>
                                            <w:div w:id="199618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233E9-21FD-47CE-B4AF-98C9E5858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ECE/TRANS/WP.15/AC.2/2012/7</vt:lpstr>
    </vt:vector>
  </TitlesOfParts>
  <Company>CSD</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ECE/TRANS/WP.15/AC.2/2012/7</dc:title>
  <dc:subject>Semifinal</dc:subject>
  <dc:creator>Letaillieur</dc:creator>
  <cp:lastModifiedBy>UNECE</cp:lastModifiedBy>
  <cp:revision>7</cp:revision>
  <cp:lastPrinted>2015-04-23T08:25:00Z</cp:lastPrinted>
  <dcterms:created xsi:type="dcterms:W3CDTF">2015-10-22T14:12:00Z</dcterms:created>
  <dcterms:modified xsi:type="dcterms:W3CDTF">2015-11-03T13:50:00Z</dcterms:modified>
</cp:coreProperties>
</file>