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E4" w:rsidRPr="002E0EE4" w:rsidRDefault="002E0EE4" w:rsidP="002E0EE4">
      <w:pPr>
        <w:suppressAutoHyphens w:val="0"/>
        <w:spacing w:line="240" w:lineRule="auto"/>
        <w:ind w:left="5387" w:right="-286"/>
        <w:outlineLvl w:val="0"/>
        <w:rPr>
          <w:rFonts w:ascii="Arial" w:hAnsi="Arial"/>
          <w:lang w:val="fr-FR" w:bidi="fr-FR"/>
        </w:rPr>
      </w:pPr>
      <w:r w:rsidRPr="002E0EE4">
        <w:rPr>
          <w:noProof/>
          <w:snapToGrid/>
          <w:lang w:val="fr-FR"/>
        </w:rPr>
        <w:drawing>
          <wp:anchor distT="0" distB="0" distL="114300" distR="114300" simplePos="0" relativeHeight="251659776" behindDoc="0" locked="0" layoutInCell="1" allowOverlap="1" wp14:anchorId="6DB716F0" wp14:editId="23F7E1D6">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EC1">
        <w:rPr>
          <w:rFonts w:ascii="Arial" w:eastAsia="Arial" w:hAnsi="Arial" w:cs="Arial"/>
          <w:bCs/>
          <w:snapToGrid/>
          <w:szCs w:val="24"/>
          <w:lang w:val="fr-FR" w:eastAsia="de-DE"/>
        </w:rPr>
        <w:t>CCNR-ZKR/ADN/WP.15/AC.2/2016/14</w:t>
      </w:r>
    </w:p>
    <w:p w:rsidR="002E0EE4" w:rsidRPr="002E0EE4" w:rsidRDefault="002E0EE4" w:rsidP="002E0EE4">
      <w:pPr>
        <w:tabs>
          <w:tab w:val="left" w:pos="5670"/>
        </w:tabs>
        <w:suppressAutoHyphens w:val="0"/>
        <w:spacing w:line="240" w:lineRule="auto"/>
        <w:ind w:left="5387"/>
        <w:rPr>
          <w:rFonts w:ascii="Arial" w:hAnsi="Arial" w:cs="Arial"/>
          <w:snapToGrid/>
          <w:sz w:val="16"/>
          <w:szCs w:val="24"/>
          <w:lang w:val="de-DE" w:eastAsia="de-DE"/>
        </w:rPr>
      </w:pPr>
      <w:r w:rsidRPr="002E0EE4">
        <w:rPr>
          <w:rFonts w:ascii="Arial" w:hAnsi="Arial" w:cs="Arial"/>
          <w:snapToGrid/>
          <w:sz w:val="16"/>
          <w:szCs w:val="24"/>
          <w:lang w:val="de-DE" w:eastAsia="de-DE"/>
        </w:rPr>
        <w:t>Allgemeine Verteilung</w:t>
      </w:r>
    </w:p>
    <w:p w:rsidR="002E0EE4" w:rsidRPr="002E0EE4" w:rsidRDefault="007F3EC1" w:rsidP="002E0EE4">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23</w:t>
      </w:r>
      <w:r w:rsidR="002E0EE4" w:rsidRPr="002E0EE4">
        <w:rPr>
          <w:rFonts w:ascii="Arial" w:eastAsia="Arial" w:hAnsi="Arial" w:cs="Arial"/>
          <w:snapToGrid/>
          <w:szCs w:val="24"/>
          <w:lang w:val="de-DE" w:eastAsia="de-DE"/>
        </w:rPr>
        <w:t xml:space="preserve">. </w:t>
      </w:r>
      <w:r w:rsidR="002E0EE4">
        <w:rPr>
          <w:rFonts w:ascii="Arial" w:eastAsia="Arial" w:hAnsi="Arial" w:cs="Arial"/>
          <w:snapToGrid/>
          <w:szCs w:val="24"/>
          <w:lang w:val="de-DE" w:eastAsia="de-DE"/>
        </w:rPr>
        <w:t>Oktober</w:t>
      </w:r>
      <w:r w:rsidR="002E0EE4" w:rsidRPr="002E0EE4">
        <w:rPr>
          <w:rFonts w:ascii="Arial" w:eastAsia="Arial" w:hAnsi="Arial" w:cs="Arial"/>
          <w:snapToGrid/>
          <w:szCs w:val="24"/>
          <w:lang w:val="de-DE" w:eastAsia="de-DE"/>
        </w:rPr>
        <w:t xml:space="preserve"> 2015</w:t>
      </w:r>
    </w:p>
    <w:p w:rsidR="002E0EE4" w:rsidRPr="002E0EE4" w:rsidRDefault="002E0EE4" w:rsidP="002E0EE4">
      <w:pPr>
        <w:tabs>
          <w:tab w:val="right" w:pos="3856"/>
          <w:tab w:val="left" w:pos="5670"/>
        </w:tabs>
        <w:suppressAutoHyphens w:val="0"/>
        <w:spacing w:line="240" w:lineRule="auto"/>
        <w:ind w:left="5387" w:right="565"/>
        <w:rPr>
          <w:rFonts w:ascii="Arial" w:hAnsi="Arial" w:cs="Arial"/>
          <w:kern w:val="1"/>
          <w:lang w:val="de-DE" w:eastAsia="de-DE"/>
        </w:rPr>
      </w:pPr>
      <w:proofErr w:type="spellStart"/>
      <w:r w:rsidRPr="002E0EE4">
        <w:rPr>
          <w:rFonts w:ascii="Arial" w:eastAsia="Arial" w:hAnsi="Arial" w:cs="Arial"/>
          <w:snapToGrid/>
          <w:sz w:val="16"/>
          <w:szCs w:val="24"/>
          <w:lang w:val="de-DE" w:eastAsia="de-DE"/>
        </w:rPr>
        <w:t>Or</w:t>
      </w:r>
      <w:proofErr w:type="spellEnd"/>
      <w:r w:rsidRPr="002E0EE4">
        <w:rPr>
          <w:rFonts w:ascii="Arial" w:eastAsia="Arial" w:hAnsi="Arial" w:cs="Arial"/>
          <w:snapToGrid/>
          <w:sz w:val="16"/>
          <w:szCs w:val="24"/>
          <w:lang w:val="de-DE" w:eastAsia="de-DE"/>
        </w:rPr>
        <w:t>. DEUTSCH</w:t>
      </w:r>
    </w:p>
    <w:p w:rsidR="002E0EE4" w:rsidRPr="002E0EE4" w:rsidRDefault="002E0EE4" w:rsidP="002E0EE4">
      <w:pPr>
        <w:suppressAutoHyphens w:val="0"/>
        <w:spacing w:line="240" w:lineRule="auto"/>
        <w:rPr>
          <w:rFonts w:ascii="Arial" w:hAnsi="Arial" w:cs="Arial"/>
          <w:snapToGrid/>
          <w:sz w:val="16"/>
          <w:szCs w:val="24"/>
          <w:lang w:val="de-DE" w:eastAsia="de-DE"/>
        </w:rPr>
      </w:pPr>
    </w:p>
    <w:p w:rsidR="002E0EE4" w:rsidRPr="002E0EE4" w:rsidRDefault="002E0EE4" w:rsidP="002E0EE4">
      <w:pPr>
        <w:suppressAutoHyphens w:val="0"/>
        <w:spacing w:line="240" w:lineRule="auto"/>
        <w:rPr>
          <w:rFonts w:ascii="Arial" w:hAnsi="Arial" w:cs="Arial"/>
          <w:snapToGrid/>
          <w:sz w:val="16"/>
          <w:szCs w:val="24"/>
          <w:lang w:val="de-DE" w:eastAsia="de-DE"/>
        </w:rPr>
      </w:pP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GEMEINSAME EXPERTENTAGUNG FÜR DIE DEM</w:t>
      </w: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ÜBEREINKOMMEN ÜBER DIE INTERNATIONALE BEFÖRDERUNG</w:t>
      </w: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VON GEFÄHRLICHEN GÜTERN AUF BINNENWASSERSTRASSEN</w:t>
      </w:r>
    </w:p>
    <w:p w:rsidR="002E0EE4" w:rsidRPr="002E0EE4" w:rsidRDefault="002E0EE4" w:rsidP="002E0EE4">
      <w:pPr>
        <w:tabs>
          <w:tab w:val="left" w:pos="2977"/>
        </w:tabs>
        <w:suppressAutoHyphens w:val="0"/>
        <w:spacing w:line="240" w:lineRule="auto"/>
        <w:ind w:left="3958"/>
        <w:rPr>
          <w:rFonts w:ascii="Arial" w:hAnsi="Arial"/>
          <w:position w:val="2"/>
          <w:sz w:val="16"/>
          <w:szCs w:val="24"/>
          <w:lang w:val="de-DE"/>
        </w:rPr>
      </w:pPr>
      <w:r w:rsidRPr="002E0EE4">
        <w:rPr>
          <w:rFonts w:ascii="Arial" w:hAnsi="Arial"/>
          <w:noProof/>
          <w:sz w:val="16"/>
          <w:szCs w:val="24"/>
          <w:lang w:val="de-DE"/>
        </w:rPr>
        <w:t>BEIGEFÜGTE VERORDNUNG (ADN)</w:t>
      </w: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position w:val="2"/>
          <w:sz w:val="16"/>
          <w:szCs w:val="24"/>
          <w:lang w:val="de-DE"/>
        </w:rPr>
        <w:t>(SICHERHEITSAUSSCHUSS)</w:t>
      </w:r>
    </w:p>
    <w:p w:rsidR="002E0EE4" w:rsidRPr="002E0EE4" w:rsidRDefault="002E0EE4" w:rsidP="002E0EE4">
      <w:pPr>
        <w:tabs>
          <w:tab w:val="left" w:pos="2977"/>
        </w:tabs>
        <w:suppressAutoHyphens w:val="0"/>
        <w:spacing w:line="240" w:lineRule="auto"/>
        <w:ind w:left="3960"/>
        <w:rPr>
          <w:rFonts w:ascii="Arial" w:hAnsi="Arial"/>
          <w:noProof/>
          <w:sz w:val="16"/>
          <w:szCs w:val="24"/>
          <w:lang w:val="de-DE"/>
        </w:rPr>
      </w:pPr>
      <w:r w:rsidRPr="002E0EE4">
        <w:rPr>
          <w:rFonts w:ascii="Arial" w:hAnsi="Arial"/>
          <w:sz w:val="16"/>
          <w:szCs w:val="24"/>
          <w:lang w:val="de-DE"/>
        </w:rPr>
        <w:t>(2</w:t>
      </w:r>
      <w:r>
        <w:rPr>
          <w:rFonts w:ascii="Arial" w:hAnsi="Arial"/>
          <w:sz w:val="16"/>
          <w:szCs w:val="24"/>
          <w:lang w:val="de-DE"/>
        </w:rPr>
        <w:t>8</w:t>
      </w:r>
      <w:r w:rsidRPr="002E0EE4">
        <w:rPr>
          <w:rFonts w:ascii="Arial" w:hAnsi="Arial"/>
          <w:sz w:val="16"/>
          <w:szCs w:val="24"/>
          <w:lang w:val="de-DE"/>
        </w:rPr>
        <w:t xml:space="preserve">. </w:t>
      </w:r>
      <w:r w:rsidRPr="002E0EE4">
        <w:rPr>
          <w:rFonts w:ascii="Arial" w:hAnsi="Arial"/>
          <w:noProof/>
          <w:sz w:val="16"/>
          <w:szCs w:val="24"/>
          <w:lang w:val="de-DE"/>
        </w:rPr>
        <w:t>Tagung, Genf, 25. bis 29. Januar 2016)</w:t>
      </w:r>
    </w:p>
    <w:p w:rsidR="002E0EE4" w:rsidRPr="002E0EE4" w:rsidRDefault="002E0EE4" w:rsidP="002E0EE4">
      <w:pPr>
        <w:tabs>
          <w:tab w:val="left" w:pos="2977"/>
        </w:tabs>
        <w:suppressAutoHyphens w:val="0"/>
        <w:spacing w:line="240" w:lineRule="auto"/>
        <w:ind w:left="3960"/>
        <w:rPr>
          <w:rFonts w:ascii="Arial" w:hAnsi="Arial" w:cs="Arial"/>
          <w:snapToGrid/>
          <w:sz w:val="16"/>
          <w:szCs w:val="16"/>
          <w:lang w:val="de-DE" w:eastAsia="en-US"/>
        </w:rPr>
      </w:pPr>
      <w:r w:rsidRPr="002E0EE4">
        <w:rPr>
          <w:rFonts w:ascii="Arial" w:hAnsi="Arial" w:cs="Arial"/>
          <w:snapToGrid/>
          <w:sz w:val="16"/>
          <w:szCs w:val="16"/>
          <w:lang w:val="de-DE" w:eastAsia="en-US"/>
        </w:rPr>
        <w:t xml:space="preserve">Punkt </w:t>
      </w:r>
      <w:r w:rsidR="007F3EC1">
        <w:rPr>
          <w:rFonts w:ascii="Arial" w:hAnsi="Arial" w:cs="Arial"/>
          <w:snapToGrid/>
          <w:sz w:val="16"/>
          <w:szCs w:val="16"/>
          <w:lang w:val="de-DE" w:eastAsia="en-US"/>
        </w:rPr>
        <w:t>5 b</w:t>
      </w:r>
      <w:r w:rsidRPr="002E0EE4">
        <w:rPr>
          <w:rFonts w:ascii="Arial" w:hAnsi="Arial" w:cs="Arial"/>
          <w:snapToGrid/>
          <w:sz w:val="16"/>
          <w:szCs w:val="16"/>
          <w:lang w:val="de-DE" w:eastAsia="en-US"/>
        </w:rPr>
        <w:t>) zur vorläufigen Tagesordnung</w:t>
      </w:r>
    </w:p>
    <w:p w:rsidR="007F3EC1" w:rsidRPr="00B42979" w:rsidRDefault="007F3EC1" w:rsidP="007F3EC1">
      <w:pPr>
        <w:tabs>
          <w:tab w:val="left" w:pos="2977"/>
        </w:tabs>
        <w:suppressAutoHyphens w:val="0"/>
        <w:spacing w:line="240" w:lineRule="auto"/>
        <w:ind w:left="3969" w:right="-2"/>
        <w:rPr>
          <w:rFonts w:ascii="Arial" w:hAnsi="Arial" w:cs="Arial"/>
          <w:b/>
          <w:sz w:val="16"/>
          <w:szCs w:val="16"/>
          <w:lang w:val="de-DE"/>
        </w:rPr>
      </w:pPr>
      <w:r w:rsidRPr="00B42979">
        <w:rPr>
          <w:rFonts w:ascii="Arial" w:hAnsi="Arial" w:cs="Arial"/>
          <w:b/>
          <w:sz w:val="16"/>
          <w:szCs w:val="16"/>
          <w:lang w:val="de-DE"/>
        </w:rPr>
        <w:t>Vorschläge für Änderungen der dem ADN beigefügten Verordnung</w:t>
      </w:r>
    </w:p>
    <w:p w:rsidR="000612AC" w:rsidRDefault="007F3EC1" w:rsidP="007F3EC1">
      <w:pPr>
        <w:widowControl w:val="0"/>
        <w:suppressAutoHyphens w:val="0"/>
        <w:overflowPunct w:val="0"/>
        <w:autoSpaceDE w:val="0"/>
        <w:autoSpaceDN w:val="0"/>
        <w:adjustRightInd w:val="0"/>
        <w:spacing w:line="240" w:lineRule="auto"/>
        <w:ind w:left="3969"/>
        <w:jc w:val="both"/>
        <w:textAlignment w:val="baseline"/>
        <w:rPr>
          <w:rFonts w:ascii="Arial" w:hAnsi="Arial" w:cs="Arial"/>
          <w:b/>
          <w:sz w:val="16"/>
          <w:szCs w:val="16"/>
          <w:lang w:val="de-DE"/>
        </w:rPr>
      </w:pPr>
      <w:r w:rsidRPr="00B42979">
        <w:rPr>
          <w:rFonts w:ascii="Arial" w:hAnsi="Arial" w:cs="Arial"/>
          <w:b/>
          <w:sz w:val="16"/>
          <w:szCs w:val="16"/>
          <w:lang w:val="de-DE"/>
        </w:rPr>
        <w:t>Weitere Änderungsvorschläge</w:t>
      </w:r>
    </w:p>
    <w:p w:rsidR="007F3EC1" w:rsidRPr="000612AC" w:rsidRDefault="007F3EC1" w:rsidP="007F3EC1">
      <w:pPr>
        <w:widowControl w:val="0"/>
        <w:suppressAutoHyphens w:val="0"/>
        <w:overflowPunct w:val="0"/>
        <w:autoSpaceDE w:val="0"/>
        <w:autoSpaceDN w:val="0"/>
        <w:adjustRightInd w:val="0"/>
        <w:spacing w:line="240" w:lineRule="auto"/>
        <w:ind w:left="1134" w:hanging="1134"/>
        <w:jc w:val="both"/>
        <w:textAlignment w:val="baseline"/>
        <w:rPr>
          <w:snapToGrid/>
          <w:lang w:val="de-DE"/>
        </w:rPr>
      </w:pPr>
    </w:p>
    <w:p w:rsidR="000612AC" w:rsidRPr="000612AC" w:rsidRDefault="000612AC" w:rsidP="000612AC">
      <w:pPr>
        <w:tabs>
          <w:tab w:val="right" w:pos="851"/>
        </w:tabs>
        <w:snapToGrid w:val="0"/>
        <w:spacing w:line="300" w:lineRule="exact"/>
        <w:ind w:left="1134" w:right="1134" w:hanging="1134"/>
        <w:jc w:val="both"/>
        <w:rPr>
          <w:b/>
          <w:bCs/>
          <w:snapToGrid/>
          <w:sz w:val="28"/>
          <w:szCs w:val="24"/>
          <w:lang w:val="de-DE"/>
        </w:rPr>
      </w:pPr>
      <w:r w:rsidRPr="000612AC">
        <w:rPr>
          <w:b/>
          <w:bCs/>
          <w:snapToGrid/>
          <w:sz w:val="28"/>
          <w:szCs w:val="24"/>
          <w:lang w:val="de-DE"/>
        </w:rPr>
        <w:tab/>
      </w:r>
      <w:r w:rsidRPr="000612AC">
        <w:rPr>
          <w:b/>
          <w:bCs/>
          <w:snapToGrid/>
          <w:sz w:val="28"/>
          <w:szCs w:val="24"/>
          <w:lang w:val="de-DE"/>
        </w:rPr>
        <w:tab/>
        <w:t>Unterabschnitt 7.2.4.9 ADN - Umladen</w:t>
      </w:r>
    </w:p>
    <w:p w:rsidR="000612AC" w:rsidRPr="000612AC" w:rsidRDefault="000612AC" w:rsidP="000612AC">
      <w:pPr>
        <w:tabs>
          <w:tab w:val="right" w:pos="851"/>
        </w:tabs>
        <w:snapToGrid w:val="0"/>
        <w:spacing w:before="360" w:after="360" w:line="300" w:lineRule="exact"/>
        <w:ind w:left="1134" w:right="1134" w:hanging="1134"/>
        <w:jc w:val="both"/>
        <w:rPr>
          <w:b/>
          <w:snapToGrid/>
          <w:sz w:val="28"/>
          <w:lang w:val="de-DE"/>
        </w:rPr>
      </w:pPr>
      <w:r w:rsidRPr="000612AC">
        <w:rPr>
          <w:bCs/>
          <w:snapToGrid/>
          <w:sz w:val="28"/>
          <w:szCs w:val="24"/>
          <w:lang w:val="de-DE"/>
        </w:rPr>
        <w:tab/>
      </w:r>
      <w:r w:rsidRPr="000612AC">
        <w:rPr>
          <w:bCs/>
          <w:snapToGrid/>
          <w:sz w:val="28"/>
          <w:szCs w:val="24"/>
          <w:lang w:val="de-DE"/>
        </w:rPr>
        <w:tab/>
      </w:r>
      <w:r w:rsidRPr="000612AC">
        <w:rPr>
          <w:b/>
          <w:snapToGrid/>
          <w:sz w:val="28"/>
          <w:lang w:val="de-DE"/>
        </w:rPr>
        <w:t>Vorgelegt von Deutschland,</w:t>
      </w:r>
      <w:r w:rsidRPr="000612AC">
        <w:rPr>
          <w:b/>
          <w:snapToGrid/>
          <w:sz w:val="28"/>
          <w:vertAlign w:val="superscript"/>
          <w:lang w:val="de-DE"/>
        </w:rPr>
        <w:footnoteReference w:id="2"/>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0612AC" w:rsidRPr="000612AC" w:rsidTr="00435DA8">
        <w:trPr>
          <w:jc w:val="center"/>
        </w:trPr>
        <w:tc>
          <w:tcPr>
            <w:tcW w:w="2330" w:type="dxa"/>
          </w:tcPr>
          <w:p w:rsidR="000612AC" w:rsidRPr="000612AC" w:rsidRDefault="000612AC" w:rsidP="000612AC">
            <w:pPr>
              <w:widowControl w:val="0"/>
              <w:tabs>
                <w:tab w:val="left" w:pos="284"/>
              </w:tabs>
              <w:suppressAutoHyphens w:val="0"/>
              <w:overflowPunct w:val="0"/>
              <w:autoSpaceDE w:val="0"/>
              <w:autoSpaceDN w:val="0"/>
              <w:adjustRightInd w:val="0"/>
              <w:spacing w:before="120" w:after="120" w:line="240" w:lineRule="auto"/>
              <w:ind w:left="1134" w:hanging="1134"/>
              <w:jc w:val="both"/>
              <w:textAlignment w:val="baseline"/>
              <w:rPr>
                <w:snapToGrid/>
                <w:lang w:val="de-DE" w:eastAsia="en-US"/>
              </w:rPr>
            </w:pPr>
            <w:r w:rsidRPr="000612AC">
              <w:rPr>
                <w:rFonts w:eastAsia="Arial"/>
                <w:i/>
                <w:snapToGrid/>
                <w:sz w:val="24"/>
                <w:lang w:val="de-DE" w:eastAsia="en-US"/>
              </w:rPr>
              <w:t>Zusammenfassung</w:t>
            </w:r>
          </w:p>
        </w:tc>
        <w:tc>
          <w:tcPr>
            <w:tcW w:w="7309" w:type="dxa"/>
          </w:tcPr>
          <w:p w:rsidR="000612AC" w:rsidRPr="000612AC" w:rsidRDefault="000612AC" w:rsidP="000612AC">
            <w:pPr>
              <w:widowControl w:val="0"/>
              <w:suppressAutoHyphens w:val="0"/>
              <w:overflowPunct w:val="0"/>
              <w:autoSpaceDE w:val="0"/>
              <w:autoSpaceDN w:val="0"/>
              <w:adjustRightInd w:val="0"/>
              <w:spacing w:before="120" w:after="120" w:line="240" w:lineRule="auto"/>
              <w:ind w:left="1134" w:hanging="1134"/>
              <w:jc w:val="both"/>
              <w:textAlignment w:val="baseline"/>
              <w:rPr>
                <w:snapToGrid/>
                <w:lang w:val="de-DE" w:eastAsia="en-US"/>
              </w:rPr>
            </w:pPr>
          </w:p>
        </w:tc>
      </w:tr>
      <w:tr w:rsidR="000612AC" w:rsidRPr="007F3EC1" w:rsidTr="00435DA8">
        <w:trPr>
          <w:jc w:val="center"/>
        </w:trPr>
        <w:tc>
          <w:tcPr>
            <w:tcW w:w="2330" w:type="dxa"/>
          </w:tcPr>
          <w:p w:rsidR="000612AC" w:rsidRPr="000612AC" w:rsidRDefault="000612AC" w:rsidP="000612AC">
            <w:pPr>
              <w:widowControl w:val="0"/>
              <w:tabs>
                <w:tab w:val="left" w:pos="284"/>
              </w:tabs>
              <w:suppressAutoHyphens w:val="0"/>
              <w:overflowPunct w:val="0"/>
              <w:autoSpaceDE w:val="0"/>
              <w:autoSpaceDN w:val="0"/>
              <w:adjustRightInd w:val="0"/>
              <w:spacing w:before="120" w:after="120" w:line="240" w:lineRule="auto"/>
              <w:ind w:left="1134" w:hanging="1134"/>
              <w:textAlignment w:val="baseline"/>
              <w:rPr>
                <w:b/>
                <w:snapToGrid/>
                <w:lang w:val="de-DE" w:eastAsia="en-US"/>
              </w:rPr>
            </w:pPr>
            <w:r w:rsidRPr="000612AC">
              <w:rPr>
                <w:b/>
                <w:snapToGrid/>
                <w:lang w:val="de-DE" w:eastAsia="en-US"/>
              </w:rPr>
              <w:t>Analytische</w:t>
            </w:r>
          </w:p>
          <w:p w:rsidR="000612AC" w:rsidRPr="000612AC" w:rsidRDefault="000612AC" w:rsidP="000612AC">
            <w:pPr>
              <w:widowControl w:val="0"/>
              <w:tabs>
                <w:tab w:val="left" w:pos="284"/>
              </w:tabs>
              <w:suppressAutoHyphens w:val="0"/>
              <w:overflowPunct w:val="0"/>
              <w:autoSpaceDE w:val="0"/>
              <w:autoSpaceDN w:val="0"/>
              <w:adjustRightInd w:val="0"/>
              <w:spacing w:before="120" w:after="120" w:line="240" w:lineRule="auto"/>
              <w:ind w:left="1134" w:hanging="1134"/>
              <w:textAlignment w:val="baseline"/>
              <w:rPr>
                <w:snapToGrid/>
                <w:lang w:val="de-DE" w:eastAsia="en-US"/>
              </w:rPr>
            </w:pPr>
            <w:r w:rsidRPr="000612AC">
              <w:rPr>
                <w:b/>
                <w:snapToGrid/>
                <w:lang w:val="de-DE" w:eastAsia="en-US"/>
              </w:rPr>
              <w:t>Zusammenfassung:</w:t>
            </w:r>
          </w:p>
        </w:tc>
        <w:tc>
          <w:tcPr>
            <w:tcW w:w="7309" w:type="dxa"/>
          </w:tcPr>
          <w:p w:rsidR="000612AC" w:rsidRPr="000612AC" w:rsidRDefault="000612AC" w:rsidP="000612AC">
            <w:pPr>
              <w:widowControl w:val="0"/>
              <w:suppressAutoHyphens w:val="0"/>
              <w:overflowPunct w:val="0"/>
              <w:autoSpaceDE w:val="0"/>
              <w:autoSpaceDN w:val="0"/>
              <w:adjustRightInd w:val="0"/>
              <w:spacing w:before="120" w:after="120" w:line="240" w:lineRule="auto"/>
              <w:ind w:left="11"/>
              <w:jc w:val="both"/>
              <w:textAlignment w:val="baseline"/>
              <w:rPr>
                <w:rFonts w:cs="Arial"/>
                <w:snapToGrid/>
                <w:sz w:val="22"/>
                <w:szCs w:val="18"/>
                <w:lang w:val="de-DE"/>
              </w:rPr>
            </w:pPr>
            <w:r w:rsidRPr="000612AC">
              <w:rPr>
                <w:rFonts w:cs="Arial"/>
                <w:snapToGrid/>
                <w:sz w:val="22"/>
                <w:szCs w:val="18"/>
                <w:lang w:val="de-DE"/>
              </w:rPr>
              <w:t>Während Unterabschnitt 7.1.4.9 ADN bezüglich der Trockengüterschiffe von einem Umladen „in ein anderes Schiff“ spricht, fehlt diese Konkretisierung in Unterabschnitt 7.2.4.9 ADN bei den Tankschiffen.</w:t>
            </w:r>
          </w:p>
          <w:p w:rsidR="000612AC" w:rsidRPr="000612AC" w:rsidRDefault="000612AC" w:rsidP="007F3EC1">
            <w:pPr>
              <w:widowControl w:val="0"/>
              <w:suppressAutoHyphens w:val="0"/>
              <w:overflowPunct w:val="0"/>
              <w:autoSpaceDE w:val="0"/>
              <w:autoSpaceDN w:val="0"/>
              <w:adjustRightInd w:val="0"/>
              <w:spacing w:before="120" w:after="120" w:line="240" w:lineRule="auto"/>
              <w:ind w:left="11"/>
              <w:jc w:val="both"/>
              <w:textAlignment w:val="baseline"/>
              <w:rPr>
                <w:snapToGrid/>
                <w:lang w:val="de-DE" w:eastAsia="en-US"/>
              </w:rPr>
            </w:pPr>
            <w:r w:rsidRPr="000612AC">
              <w:rPr>
                <w:snapToGrid/>
                <w:sz w:val="22"/>
                <w:lang w:val="de-DE" w:eastAsia="en-US"/>
              </w:rPr>
              <w:t>Nach der Diskussion in der 26. Sitzung des ADN-Sicherheitsausschusses ist auch in Unterabschnitt 7.2.4.9 von einem Umladen von einem Schiff in ein anderes auszugehen.</w:t>
            </w:r>
          </w:p>
        </w:tc>
      </w:tr>
      <w:tr w:rsidR="000612AC" w:rsidRPr="000612AC" w:rsidTr="00435DA8">
        <w:trPr>
          <w:jc w:val="center"/>
        </w:trPr>
        <w:tc>
          <w:tcPr>
            <w:tcW w:w="2330" w:type="dxa"/>
          </w:tcPr>
          <w:p w:rsidR="000612AC" w:rsidRPr="000612AC" w:rsidRDefault="000612AC" w:rsidP="000612AC">
            <w:pPr>
              <w:widowControl w:val="0"/>
              <w:tabs>
                <w:tab w:val="left" w:pos="284"/>
              </w:tabs>
              <w:suppressAutoHyphens w:val="0"/>
              <w:overflowPunct w:val="0"/>
              <w:autoSpaceDE w:val="0"/>
              <w:autoSpaceDN w:val="0"/>
              <w:adjustRightInd w:val="0"/>
              <w:spacing w:before="120" w:after="120" w:line="240" w:lineRule="auto"/>
              <w:ind w:left="1134" w:hanging="1134"/>
              <w:textAlignment w:val="baseline"/>
              <w:rPr>
                <w:b/>
                <w:snapToGrid/>
                <w:lang w:val="de-DE" w:eastAsia="en-US"/>
              </w:rPr>
            </w:pPr>
            <w:r w:rsidRPr="000612AC">
              <w:rPr>
                <w:b/>
                <w:snapToGrid/>
                <w:lang w:val="de-DE" w:eastAsia="en-US"/>
              </w:rPr>
              <w:t>Zu ergreifende</w:t>
            </w:r>
          </w:p>
          <w:p w:rsidR="000612AC" w:rsidRPr="000612AC" w:rsidRDefault="000612AC" w:rsidP="000612AC">
            <w:pPr>
              <w:widowControl w:val="0"/>
              <w:tabs>
                <w:tab w:val="left" w:pos="284"/>
              </w:tabs>
              <w:suppressAutoHyphens w:val="0"/>
              <w:overflowPunct w:val="0"/>
              <w:autoSpaceDE w:val="0"/>
              <w:autoSpaceDN w:val="0"/>
              <w:adjustRightInd w:val="0"/>
              <w:spacing w:before="120" w:after="120" w:line="240" w:lineRule="auto"/>
              <w:ind w:left="1134" w:hanging="1134"/>
              <w:textAlignment w:val="baseline"/>
              <w:rPr>
                <w:b/>
                <w:snapToGrid/>
                <w:lang w:val="de-DE" w:eastAsia="en-US"/>
              </w:rPr>
            </w:pPr>
            <w:r w:rsidRPr="000612AC">
              <w:rPr>
                <w:b/>
                <w:snapToGrid/>
                <w:lang w:val="de-DE" w:eastAsia="en-US"/>
              </w:rPr>
              <w:t>Maßnahme:</w:t>
            </w:r>
          </w:p>
        </w:tc>
        <w:tc>
          <w:tcPr>
            <w:tcW w:w="7309" w:type="dxa"/>
          </w:tcPr>
          <w:p w:rsidR="000612AC" w:rsidRPr="000612AC" w:rsidRDefault="000612AC" w:rsidP="007F3EC1">
            <w:pPr>
              <w:widowControl w:val="0"/>
              <w:suppressAutoHyphens w:val="0"/>
              <w:overflowPunct w:val="0"/>
              <w:autoSpaceDE w:val="0"/>
              <w:autoSpaceDN w:val="0"/>
              <w:adjustRightInd w:val="0"/>
              <w:spacing w:before="120" w:after="120" w:line="240" w:lineRule="auto"/>
              <w:ind w:left="11"/>
              <w:jc w:val="both"/>
              <w:textAlignment w:val="baseline"/>
              <w:rPr>
                <w:snapToGrid/>
                <w:lang w:val="de-DE" w:eastAsia="en-US"/>
              </w:rPr>
            </w:pPr>
            <w:r w:rsidRPr="000612AC">
              <w:rPr>
                <w:rFonts w:cs="Arial"/>
                <w:snapToGrid/>
                <w:sz w:val="22"/>
                <w:szCs w:val="18"/>
                <w:lang w:val="de-DE"/>
              </w:rPr>
              <w:t>Änderung von Unterabschnitt 7.2.4.9.</w:t>
            </w:r>
          </w:p>
        </w:tc>
      </w:tr>
      <w:tr w:rsidR="000612AC" w:rsidRPr="007F3EC1" w:rsidTr="00435DA8">
        <w:trPr>
          <w:jc w:val="center"/>
        </w:trPr>
        <w:tc>
          <w:tcPr>
            <w:tcW w:w="2330" w:type="dxa"/>
          </w:tcPr>
          <w:p w:rsidR="000612AC" w:rsidRPr="000612AC" w:rsidRDefault="000612AC" w:rsidP="000612AC">
            <w:pPr>
              <w:widowControl w:val="0"/>
              <w:tabs>
                <w:tab w:val="left" w:pos="284"/>
              </w:tabs>
              <w:suppressAutoHyphens w:val="0"/>
              <w:overflowPunct w:val="0"/>
              <w:autoSpaceDE w:val="0"/>
              <w:autoSpaceDN w:val="0"/>
              <w:adjustRightInd w:val="0"/>
              <w:spacing w:before="120" w:after="120" w:line="240" w:lineRule="auto"/>
              <w:ind w:left="1134" w:hanging="1134"/>
              <w:textAlignment w:val="baseline"/>
              <w:rPr>
                <w:b/>
                <w:snapToGrid/>
                <w:lang w:val="de-DE" w:eastAsia="en-US"/>
              </w:rPr>
            </w:pPr>
            <w:r w:rsidRPr="000612AC">
              <w:rPr>
                <w:b/>
                <w:snapToGrid/>
                <w:lang w:val="de-DE" w:eastAsia="en-US"/>
              </w:rPr>
              <w:t xml:space="preserve">Verbundene </w:t>
            </w:r>
            <w:r w:rsidRPr="000612AC">
              <w:rPr>
                <w:b/>
                <w:snapToGrid/>
                <w:lang w:val="de-DE" w:eastAsia="en-US"/>
              </w:rPr>
              <w:tab/>
              <w:t>Dokumente:</w:t>
            </w:r>
          </w:p>
        </w:tc>
        <w:tc>
          <w:tcPr>
            <w:tcW w:w="7309" w:type="dxa"/>
          </w:tcPr>
          <w:p w:rsidR="000612AC" w:rsidRPr="000612AC" w:rsidRDefault="000612AC" w:rsidP="000612AC">
            <w:pPr>
              <w:widowControl w:val="0"/>
              <w:suppressAutoHyphens w:val="0"/>
              <w:overflowPunct w:val="0"/>
              <w:autoSpaceDE w:val="0"/>
              <w:autoSpaceDN w:val="0"/>
              <w:adjustRightInd w:val="0"/>
              <w:spacing w:before="120" w:after="120" w:line="240" w:lineRule="auto"/>
              <w:ind w:left="1134" w:hanging="1134"/>
              <w:textAlignment w:val="baseline"/>
              <w:rPr>
                <w:rFonts w:cs="Arial"/>
                <w:snapToGrid/>
                <w:sz w:val="22"/>
                <w:szCs w:val="18"/>
                <w:lang w:val="de-DE"/>
              </w:rPr>
            </w:pPr>
            <w:r w:rsidRPr="000612AC">
              <w:rPr>
                <w:rFonts w:cs="Arial"/>
                <w:snapToGrid/>
                <w:sz w:val="22"/>
                <w:szCs w:val="18"/>
                <w:lang w:val="de-DE"/>
              </w:rPr>
              <w:t>INF.15 (Deutschland) zur 26. Sitzung des Sicherheitsausschusses,</w:t>
            </w:r>
          </w:p>
          <w:p w:rsidR="000612AC" w:rsidRPr="000612AC" w:rsidRDefault="000612AC" w:rsidP="000612AC">
            <w:pPr>
              <w:widowControl w:val="0"/>
              <w:suppressAutoHyphens w:val="0"/>
              <w:overflowPunct w:val="0"/>
              <w:autoSpaceDE w:val="0"/>
              <w:autoSpaceDN w:val="0"/>
              <w:adjustRightInd w:val="0"/>
              <w:spacing w:before="120" w:after="120" w:line="240" w:lineRule="auto"/>
              <w:ind w:left="1134" w:hanging="1134"/>
              <w:textAlignment w:val="baseline"/>
              <w:rPr>
                <w:snapToGrid/>
                <w:lang w:val="de-DE" w:eastAsia="en-US"/>
              </w:rPr>
            </w:pPr>
            <w:r w:rsidRPr="000612AC">
              <w:rPr>
                <w:rFonts w:cs="Arial"/>
                <w:snapToGrid/>
                <w:sz w:val="22"/>
                <w:szCs w:val="18"/>
                <w:lang w:val="de-DE"/>
              </w:rPr>
              <w:t>Bericht CCNR-ZKR/ADN/WP.15/AC.2/54, Nrn. 15 und 16.</w:t>
            </w:r>
          </w:p>
        </w:tc>
      </w:tr>
    </w:tbl>
    <w:p w:rsidR="000612AC" w:rsidRPr="000612AC" w:rsidRDefault="000612AC" w:rsidP="000612AC">
      <w:pPr>
        <w:widowControl w:val="0"/>
        <w:tabs>
          <w:tab w:val="left" w:pos="1418"/>
        </w:tabs>
        <w:suppressAutoHyphens w:val="0"/>
        <w:overflowPunct w:val="0"/>
        <w:autoSpaceDE w:val="0"/>
        <w:autoSpaceDN w:val="0"/>
        <w:adjustRightInd w:val="0"/>
        <w:ind w:left="1134" w:hanging="1134"/>
        <w:jc w:val="both"/>
        <w:textAlignment w:val="baseline"/>
        <w:rPr>
          <w:rFonts w:ascii="Arial" w:hAnsi="Arial"/>
          <w:b/>
          <w:snapToGrid/>
          <w:sz w:val="24"/>
          <w:szCs w:val="18"/>
          <w:lang w:val="de-DE"/>
        </w:rPr>
      </w:pPr>
    </w:p>
    <w:p w:rsidR="007F3EC1" w:rsidRDefault="007F3EC1">
      <w:pPr>
        <w:suppressAutoHyphens w:val="0"/>
        <w:spacing w:line="240" w:lineRule="auto"/>
        <w:rPr>
          <w:b/>
          <w:snapToGrid/>
          <w:sz w:val="28"/>
          <w:szCs w:val="18"/>
          <w:lang w:val="de-DE"/>
        </w:rPr>
      </w:pPr>
      <w:r>
        <w:rPr>
          <w:b/>
          <w:snapToGrid/>
          <w:sz w:val="28"/>
          <w:szCs w:val="18"/>
          <w:lang w:val="de-DE"/>
        </w:rPr>
        <w:br w:type="page"/>
      </w:r>
    </w:p>
    <w:p w:rsidR="000612AC" w:rsidRDefault="000612AC"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b/>
          <w:snapToGrid/>
          <w:sz w:val="28"/>
          <w:szCs w:val="18"/>
          <w:lang w:val="de-DE"/>
        </w:rPr>
      </w:pPr>
      <w:r w:rsidRPr="000612AC">
        <w:rPr>
          <w:b/>
          <w:snapToGrid/>
          <w:sz w:val="28"/>
          <w:szCs w:val="18"/>
          <w:lang w:val="de-DE"/>
        </w:rPr>
        <w:lastRenderedPageBreak/>
        <w:t>Einleitung</w:t>
      </w:r>
    </w:p>
    <w:p w:rsidR="000612AC" w:rsidRPr="000612AC" w:rsidRDefault="000612AC"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b/>
          <w:snapToGrid/>
          <w:sz w:val="28"/>
          <w:szCs w:val="18"/>
          <w:lang w:val="de-DE"/>
        </w:rPr>
      </w:pPr>
    </w:p>
    <w:p w:rsidR="000612AC" w:rsidRPr="000612AC" w:rsidRDefault="000612AC" w:rsidP="000612AC">
      <w:pPr>
        <w:widowControl w:val="0"/>
        <w:tabs>
          <w:tab w:val="left" w:pos="567"/>
          <w:tab w:val="left" w:pos="1418"/>
        </w:tabs>
        <w:suppressAutoHyphens w:val="0"/>
        <w:overflowPunct w:val="0"/>
        <w:autoSpaceDE w:val="0"/>
        <w:autoSpaceDN w:val="0"/>
        <w:adjustRightInd w:val="0"/>
        <w:ind w:right="567"/>
        <w:jc w:val="both"/>
        <w:textAlignment w:val="baseline"/>
        <w:rPr>
          <w:rFonts w:cs="Arial"/>
          <w:snapToGrid/>
          <w:sz w:val="22"/>
          <w:szCs w:val="18"/>
          <w:lang w:val="de-DE"/>
        </w:rPr>
      </w:pPr>
      <w:r w:rsidRPr="000612AC">
        <w:rPr>
          <w:rFonts w:cs="Arial"/>
          <w:snapToGrid/>
          <w:sz w:val="22"/>
          <w:szCs w:val="18"/>
          <w:lang w:val="de-DE"/>
        </w:rPr>
        <w:t>1.</w:t>
      </w:r>
      <w:r w:rsidRPr="000612AC">
        <w:rPr>
          <w:rFonts w:cs="Arial"/>
          <w:snapToGrid/>
          <w:sz w:val="22"/>
          <w:szCs w:val="18"/>
          <w:lang w:val="de-DE"/>
        </w:rPr>
        <w:tab/>
        <w:t xml:space="preserve">Die Unterabschnitte 7.1.4.9 und 7.2.4.9 ADN befassen sich jeweils für Trockengüterschiffe und Tankschiffe mit dem Umladen der Ladung. Während in Unterabschnitt 7.1.4.9 ausdrücklich von einem Umladen </w:t>
      </w:r>
      <w:r w:rsidRPr="000612AC">
        <w:rPr>
          <w:rFonts w:cs="Arial"/>
          <w:b/>
          <w:snapToGrid/>
          <w:sz w:val="22"/>
          <w:szCs w:val="18"/>
          <w:lang w:val="de-DE"/>
        </w:rPr>
        <w:t>in ein anderes Schiff</w:t>
      </w:r>
      <w:r w:rsidRPr="000612AC">
        <w:rPr>
          <w:rFonts w:cs="Arial"/>
          <w:snapToGrid/>
          <w:sz w:val="22"/>
          <w:szCs w:val="18"/>
          <w:lang w:val="de-DE"/>
        </w:rPr>
        <w:t xml:space="preserve"> gesprochen wird, fehlt diese Aussage in Unterabschnitt 7.2.4.9.</w:t>
      </w:r>
    </w:p>
    <w:p w:rsidR="000612AC" w:rsidRPr="000612AC" w:rsidRDefault="000612AC" w:rsidP="000612AC">
      <w:pPr>
        <w:widowControl w:val="0"/>
        <w:tabs>
          <w:tab w:val="left" w:pos="567"/>
          <w:tab w:val="left" w:pos="1418"/>
        </w:tabs>
        <w:suppressAutoHyphens w:val="0"/>
        <w:overflowPunct w:val="0"/>
        <w:autoSpaceDE w:val="0"/>
        <w:autoSpaceDN w:val="0"/>
        <w:adjustRightInd w:val="0"/>
        <w:ind w:right="567"/>
        <w:jc w:val="both"/>
        <w:textAlignment w:val="baseline"/>
        <w:rPr>
          <w:rFonts w:cs="Arial"/>
          <w:snapToGrid/>
          <w:sz w:val="22"/>
          <w:szCs w:val="18"/>
          <w:lang w:val="de-DE"/>
        </w:rPr>
      </w:pPr>
    </w:p>
    <w:p w:rsidR="000612AC" w:rsidRPr="000612AC" w:rsidRDefault="000612AC" w:rsidP="000612AC">
      <w:pPr>
        <w:widowControl w:val="0"/>
        <w:tabs>
          <w:tab w:val="left" w:pos="567"/>
          <w:tab w:val="left" w:pos="1418"/>
        </w:tabs>
        <w:suppressAutoHyphens w:val="0"/>
        <w:overflowPunct w:val="0"/>
        <w:autoSpaceDE w:val="0"/>
        <w:autoSpaceDN w:val="0"/>
        <w:adjustRightInd w:val="0"/>
        <w:ind w:right="567"/>
        <w:jc w:val="both"/>
        <w:textAlignment w:val="baseline"/>
        <w:rPr>
          <w:rFonts w:cs="Arial"/>
          <w:snapToGrid/>
          <w:sz w:val="22"/>
          <w:szCs w:val="18"/>
          <w:lang w:val="de-DE"/>
        </w:rPr>
      </w:pPr>
      <w:r w:rsidRPr="000612AC">
        <w:rPr>
          <w:rFonts w:cs="Arial"/>
          <w:snapToGrid/>
          <w:sz w:val="22"/>
          <w:szCs w:val="18"/>
          <w:lang w:val="de-DE"/>
        </w:rPr>
        <w:t>2.</w:t>
      </w:r>
      <w:r w:rsidRPr="000612AC">
        <w:rPr>
          <w:rFonts w:cs="Arial"/>
          <w:snapToGrid/>
          <w:sz w:val="22"/>
          <w:szCs w:val="18"/>
          <w:lang w:val="de-DE"/>
        </w:rPr>
        <w:tab/>
        <w:t>Dieser Unterschied hatte zu Irritationen im Vollzug geführt, ob in Unterabschnitt 7.2.4.9 auch das Umladen zum Beispiel von einem Schiff in ein Straßentankfahrzeug genehmigungspflichtig sein könnte. Die deutsche Delegation hatte die Frage und ihre Interpretation mit ihrem Dokument INF.15 zur 26. Sitzung des ADN-Sicherheitsausschusses durch eine Gegenüberstellung der verschiedenen Sprachfassungen des ADN erläutert.</w:t>
      </w:r>
    </w:p>
    <w:p w:rsidR="000612AC" w:rsidRPr="000612AC" w:rsidRDefault="000612AC"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rFonts w:cs="Arial"/>
          <w:snapToGrid/>
          <w:sz w:val="22"/>
          <w:szCs w:val="18"/>
          <w:lang w:val="de-DE"/>
        </w:rPr>
      </w:pPr>
    </w:p>
    <w:p w:rsidR="000612AC" w:rsidRPr="000612AC" w:rsidRDefault="000612AC" w:rsidP="000612AC">
      <w:pPr>
        <w:widowControl w:val="0"/>
        <w:tabs>
          <w:tab w:val="left" w:pos="567"/>
          <w:tab w:val="left" w:pos="1418"/>
        </w:tabs>
        <w:suppressAutoHyphens w:val="0"/>
        <w:overflowPunct w:val="0"/>
        <w:autoSpaceDE w:val="0"/>
        <w:autoSpaceDN w:val="0"/>
        <w:adjustRightInd w:val="0"/>
        <w:ind w:right="567"/>
        <w:jc w:val="both"/>
        <w:textAlignment w:val="baseline"/>
        <w:rPr>
          <w:rFonts w:cs="Arial"/>
          <w:snapToGrid/>
          <w:sz w:val="22"/>
          <w:szCs w:val="18"/>
          <w:lang w:val="de-DE"/>
        </w:rPr>
      </w:pPr>
      <w:r w:rsidRPr="000612AC">
        <w:rPr>
          <w:rFonts w:cs="Arial"/>
          <w:snapToGrid/>
          <w:sz w:val="22"/>
          <w:szCs w:val="18"/>
          <w:lang w:val="de-DE"/>
        </w:rPr>
        <w:t>3.</w:t>
      </w:r>
      <w:r w:rsidRPr="000612AC">
        <w:rPr>
          <w:rFonts w:cs="Arial"/>
          <w:snapToGrid/>
          <w:sz w:val="22"/>
          <w:szCs w:val="18"/>
          <w:lang w:val="de-DE"/>
        </w:rPr>
        <w:tab/>
        <w:t>Die Diskussion im Sicherheitsausschuss ergab eine Bestätigung der Auslegung, dass auch Unterabschnitt 7.2.4.9 das Umladen von einem Tankschiff in ein anderes Tankschiff betrifft.</w:t>
      </w:r>
    </w:p>
    <w:p w:rsidR="000612AC" w:rsidRDefault="000612AC"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rFonts w:cs="Arial"/>
          <w:snapToGrid/>
          <w:sz w:val="22"/>
          <w:szCs w:val="18"/>
          <w:lang w:val="de-DE"/>
        </w:rPr>
      </w:pPr>
    </w:p>
    <w:p w:rsidR="003E55CB" w:rsidRPr="000612AC" w:rsidRDefault="003E55CB"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rFonts w:cs="Arial"/>
          <w:snapToGrid/>
          <w:sz w:val="22"/>
          <w:szCs w:val="18"/>
          <w:lang w:val="de-DE"/>
        </w:rPr>
      </w:pPr>
    </w:p>
    <w:p w:rsidR="000612AC" w:rsidRPr="000612AC" w:rsidRDefault="003E55CB"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b/>
          <w:snapToGrid/>
          <w:sz w:val="28"/>
          <w:szCs w:val="18"/>
          <w:lang w:val="de-DE"/>
        </w:rPr>
      </w:pPr>
      <w:r>
        <w:rPr>
          <w:b/>
          <w:snapToGrid/>
          <w:sz w:val="28"/>
          <w:szCs w:val="18"/>
          <w:lang w:val="de-DE"/>
        </w:rPr>
        <w:t>Antrag</w:t>
      </w:r>
    </w:p>
    <w:p w:rsidR="000612AC" w:rsidRPr="000612AC" w:rsidRDefault="000612AC"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rFonts w:cs="Arial"/>
          <w:snapToGrid/>
          <w:sz w:val="22"/>
          <w:szCs w:val="18"/>
          <w:lang w:val="de-DE"/>
        </w:rPr>
      </w:pPr>
    </w:p>
    <w:p w:rsidR="000612AC" w:rsidRDefault="000612AC"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rFonts w:cs="Arial"/>
          <w:snapToGrid/>
          <w:sz w:val="22"/>
          <w:szCs w:val="18"/>
          <w:lang w:val="de-DE"/>
        </w:rPr>
      </w:pPr>
      <w:r w:rsidRPr="000612AC">
        <w:rPr>
          <w:rFonts w:cs="Arial"/>
          <w:snapToGrid/>
          <w:sz w:val="22"/>
          <w:szCs w:val="18"/>
          <w:lang w:val="de-DE"/>
        </w:rPr>
        <w:t>4.</w:t>
      </w:r>
      <w:r w:rsidRPr="000612AC">
        <w:rPr>
          <w:rFonts w:cs="Arial"/>
          <w:snapToGrid/>
          <w:sz w:val="22"/>
          <w:szCs w:val="18"/>
          <w:lang w:val="de-DE"/>
        </w:rPr>
        <w:tab/>
        <w:t xml:space="preserve">Unterabschnitt 7.2.4.9 </w:t>
      </w:r>
      <w:bookmarkStart w:id="0" w:name="_GoBack"/>
      <w:bookmarkEnd w:id="0"/>
      <w:r w:rsidRPr="000612AC">
        <w:rPr>
          <w:rFonts w:cs="Arial"/>
          <w:snapToGrid/>
          <w:sz w:val="22"/>
          <w:szCs w:val="18"/>
          <w:lang w:val="de-DE"/>
        </w:rPr>
        <w:t xml:space="preserve">wie folgt ändern (neuer Text </w:t>
      </w:r>
      <w:r w:rsidRPr="000612AC">
        <w:rPr>
          <w:rFonts w:cs="Arial"/>
          <w:snapToGrid/>
          <w:sz w:val="22"/>
          <w:szCs w:val="18"/>
          <w:u w:val="single"/>
          <w:lang w:val="de-DE"/>
        </w:rPr>
        <w:t>unterstrichen</w:t>
      </w:r>
      <w:r w:rsidRPr="000612AC">
        <w:rPr>
          <w:rFonts w:cs="Arial"/>
          <w:snapToGrid/>
          <w:sz w:val="22"/>
          <w:szCs w:val="18"/>
          <w:lang w:val="de-DE"/>
        </w:rPr>
        <w:t>):</w:t>
      </w:r>
    </w:p>
    <w:p w:rsidR="000612AC" w:rsidRPr="000612AC" w:rsidRDefault="000612AC"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rFonts w:cs="Arial"/>
          <w:snapToGrid/>
          <w:sz w:val="22"/>
          <w:szCs w:val="18"/>
          <w:lang w:val="de-DE"/>
        </w:rPr>
      </w:pPr>
    </w:p>
    <w:p w:rsidR="000612AC" w:rsidRPr="000612AC" w:rsidRDefault="000612AC" w:rsidP="000612AC">
      <w:pPr>
        <w:widowControl w:val="0"/>
        <w:tabs>
          <w:tab w:val="left" w:pos="567"/>
        </w:tabs>
        <w:suppressAutoHyphens w:val="0"/>
        <w:overflowPunct w:val="0"/>
        <w:autoSpaceDE w:val="0"/>
        <w:autoSpaceDN w:val="0"/>
        <w:adjustRightInd w:val="0"/>
        <w:ind w:left="567" w:right="567"/>
        <w:jc w:val="both"/>
        <w:textAlignment w:val="baseline"/>
        <w:rPr>
          <w:rFonts w:cs="Arial"/>
          <w:snapToGrid/>
          <w:sz w:val="22"/>
          <w:szCs w:val="18"/>
          <w:lang w:val="de-DE"/>
        </w:rPr>
      </w:pPr>
      <w:r w:rsidRPr="000612AC">
        <w:rPr>
          <w:rFonts w:cs="Arial"/>
          <w:snapToGrid/>
          <w:sz w:val="22"/>
          <w:szCs w:val="18"/>
          <w:lang w:val="de-DE"/>
        </w:rPr>
        <w:t xml:space="preserve">„Es ist verboten, ohne Genehmigung der zuständigen Behörde die Ladung vollständig oder teilweise außerhalb einer dafür zugelassenen Umschlagstelle </w:t>
      </w:r>
      <w:r w:rsidRPr="000612AC">
        <w:rPr>
          <w:rFonts w:cs="Arial"/>
          <w:snapToGrid/>
          <w:sz w:val="22"/>
          <w:szCs w:val="18"/>
          <w:u w:val="single"/>
          <w:lang w:val="de-DE"/>
        </w:rPr>
        <w:t>in ein anderes Schiff</w:t>
      </w:r>
      <w:r w:rsidRPr="000612AC">
        <w:rPr>
          <w:rFonts w:cs="Arial"/>
          <w:snapToGrid/>
          <w:sz w:val="22"/>
          <w:szCs w:val="18"/>
          <w:lang w:val="de-DE"/>
        </w:rPr>
        <w:t xml:space="preserve"> umzuladen.“.</w:t>
      </w:r>
    </w:p>
    <w:p w:rsidR="000612AC" w:rsidRDefault="000612AC"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rFonts w:cs="Arial"/>
          <w:snapToGrid/>
          <w:sz w:val="22"/>
          <w:szCs w:val="18"/>
          <w:lang w:val="de-DE"/>
        </w:rPr>
      </w:pPr>
    </w:p>
    <w:p w:rsidR="000612AC" w:rsidRPr="000612AC" w:rsidRDefault="000612AC"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rFonts w:cs="Arial"/>
          <w:snapToGrid/>
          <w:sz w:val="22"/>
          <w:szCs w:val="18"/>
          <w:lang w:val="de-DE"/>
        </w:rPr>
      </w:pPr>
    </w:p>
    <w:p w:rsidR="000612AC" w:rsidRPr="000612AC" w:rsidRDefault="000612AC"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b/>
          <w:snapToGrid/>
          <w:sz w:val="28"/>
          <w:szCs w:val="18"/>
          <w:lang w:val="de-DE"/>
        </w:rPr>
      </w:pPr>
      <w:r w:rsidRPr="000612AC">
        <w:rPr>
          <w:b/>
          <w:snapToGrid/>
          <w:sz w:val="28"/>
          <w:szCs w:val="18"/>
          <w:lang w:val="de-DE"/>
        </w:rPr>
        <w:t>Begründung</w:t>
      </w:r>
    </w:p>
    <w:p w:rsidR="000612AC" w:rsidRPr="000612AC" w:rsidRDefault="000612AC"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rFonts w:cs="Arial"/>
          <w:snapToGrid/>
          <w:sz w:val="22"/>
          <w:szCs w:val="18"/>
          <w:lang w:val="de-DE"/>
        </w:rPr>
      </w:pPr>
    </w:p>
    <w:p w:rsidR="000612AC" w:rsidRPr="000612AC" w:rsidRDefault="000612AC" w:rsidP="000612AC">
      <w:pPr>
        <w:widowControl w:val="0"/>
        <w:tabs>
          <w:tab w:val="left" w:pos="567"/>
          <w:tab w:val="left" w:pos="1418"/>
        </w:tabs>
        <w:suppressAutoHyphens w:val="0"/>
        <w:overflowPunct w:val="0"/>
        <w:autoSpaceDE w:val="0"/>
        <w:autoSpaceDN w:val="0"/>
        <w:adjustRightInd w:val="0"/>
        <w:ind w:right="567"/>
        <w:jc w:val="both"/>
        <w:textAlignment w:val="baseline"/>
        <w:rPr>
          <w:rFonts w:cs="Arial"/>
          <w:snapToGrid/>
          <w:sz w:val="22"/>
          <w:szCs w:val="18"/>
          <w:lang w:val="de-DE"/>
        </w:rPr>
      </w:pPr>
      <w:r w:rsidRPr="000612AC">
        <w:rPr>
          <w:rFonts w:cs="Arial"/>
          <w:snapToGrid/>
          <w:sz w:val="22"/>
          <w:szCs w:val="18"/>
          <w:lang w:val="de-DE"/>
        </w:rPr>
        <w:t>5.</w:t>
      </w:r>
      <w:r w:rsidRPr="000612AC">
        <w:rPr>
          <w:rFonts w:cs="Arial"/>
          <w:snapToGrid/>
          <w:sz w:val="22"/>
          <w:szCs w:val="18"/>
          <w:lang w:val="de-DE"/>
        </w:rPr>
        <w:tab/>
        <w:t>Klarstellung dessen, was vom Verordnungsgeber gewollt ist. Das Umladen zwischen einem Schiff und einem anderen Beförderungsmittel (Straßenfahrzeug, Eisenbahnkesselwagen) ist ein Laden bzw. Löschen des Tankschiffes.</w:t>
      </w:r>
    </w:p>
    <w:p w:rsidR="000612AC" w:rsidRDefault="000612AC"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rFonts w:cs="Arial"/>
          <w:snapToGrid/>
          <w:sz w:val="22"/>
          <w:szCs w:val="18"/>
          <w:lang w:val="de-DE"/>
        </w:rPr>
      </w:pPr>
    </w:p>
    <w:p w:rsidR="000612AC" w:rsidRPr="000612AC" w:rsidRDefault="000612AC"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rFonts w:cs="Arial"/>
          <w:snapToGrid/>
          <w:sz w:val="22"/>
          <w:szCs w:val="18"/>
          <w:lang w:val="de-DE"/>
        </w:rPr>
      </w:pPr>
    </w:p>
    <w:p w:rsidR="000612AC" w:rsidRPr="000612AC" w:rsidRDefault="000612AC"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b/>
          <w:snapToGrid/>
          <w:sz w:val="28"/>
          <w:szCs w:val="18"/>
          <w:lang w:val="de-DE"/>
        </w:rPr>
      </w:pPr>
      <w:r w:rsidRPr="000612AC">
        <w:rPr>
          <w:b/>
          <w:snapToGrid/>
          <w:sz w:val="28"/>
          <w:szCs w:val="18"/>
          <w:lang w:val="de-DE"/>
        </w:rPr>
        <w:t>Sicherheit</w:t>
      </w:r>
    </w:p>
    <w:p w:rsidR="000612AC" w:rsidRPr="000612AC" w:rsidRDefault="000612AC"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rFonts w:cs="Arial"/>
          <w:snapToGrid/>
          <w:sz w:val="22"/>
          <w:szCs w:val="18"/>
          <w:lang w:val="de-DE"/>
        </w:rPr>
      </w:pPr>
    </w:p>
    <w:p w:rsidR="000612AC" w:rsidRPr="000612AC" w:rsidRDefault="000612AC" w:rsidP="000612AC">
      <w:pPr>
        <w:widowControl w:val="0"/>
        <w:tabs>
          <w:tab w:val="left" w:pos="567"/>
          <w:tab w:val="left" w:pos="1418"/>
        </w:tabs>
        <w:suppressAutoHyphens w:val="0"/>
        <w:overflowPunct w:val="0"/>
        <w:autoSpaceDE w:val="0"/>
        <w:autoSpaceDN w:val="0"/>
        <w:adjustRightInd w:val="0"/>
        <w:ind w:right="567"/>
        <w:jc w:val="both"/>
        <w:textAlignment w:val="baseline"/>
        <w:rPr>
          <w:rFonts w:cs="Arial"/>
          <w:snapToGrid/>
          <w:sz w:val="22"/>
          <w:szCs w:val="18"/>
          <w:lang w:val="de-DE"/>
        </w:rPr>
      </w:pPr>
      <w:r w:rsidRPr="000612AC">
        <w:rPr>
          <w:rFonts w:cs="Arial"/>
          <w:snapToGrid/>
          <w:sz w:val="22"/>
          <w:szCs w:val="18"/>
          <w:lang w:val="de-DE"/>
        </w:rPr>
        <w:t>6.</w:t>
      </w:r>
      <w:r w:rsidRPr="000612AC">
        <w:rPr>
          <w:rFonts w:cs="Arial"/>
          <w:snapToGrid/>
          <w:sz w:val="22"/>
          <w:szCs w:val="18"/>
          <w:lang w:val="de-DE"/>
        </w:rPr>
        <w:tab/>
        <w:t>Die Sicherheit wird nicht beeinträchtigt. Im Rahmen der Genehmigung können von der zuständigen Behörde abgestellt auf den Einzelfall die erforderlichen Auflagen gemacht werden.</w:t>
      </w:r>
    </w:p>
    <w:p w:rsidR="000612AC" w:rsidRDefault="000612AC"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rFonts w:cs="Arial"/>
          <w:snapToGrid/>
          <w:sz w:val="22"/>
          <w:szCs w:val="18"/>
          <w:lang w:val="de-DE"/>
        </w:rPr>
      </w:pPr>
    </w:p>
    <w:p w:rsidR="000612AC" w:rsidRPr="000612AC" w:rsidRDefault="000612AC"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rFonts w:cs="Arial"/>
          <w:snapToGrid/>
          <w:sz w:val="22"/>
          <w:szCs w:val="18"/>
          <w:lang w:val="de-DE"/>
        </w:rPr>
      </w:pPr>
    </w:p>
    <w:p w:rsidR="000612AC" w:rsidRPr="000612AC" w:rsidRDefault="000612AC"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b/>
          <w:snapToGrid/>
          <w:sz w:val="28"/>
          <w:szCs w:val="18"/>
          <w:lang w:val="de-DE"/>
        </w:rPr>
      </w:pPr>
      <w:r w:rsidRPr="000612AC">
        <w:rPr>
          <w:b/>
          <w:snapToGrid/>
          <w:sz w:val="28"/>
          <w:szCs w:val="18"/>
          <w:lang w:val="de-DE"/>
        </w:rPr>
        <w:t>Umsetzbarkeit</w:t>
      </w:r>
    </w:p>
    <w:p w:rsidR="000612AC" w:rsidRPr="000612AC" w:rsidRDefault="000612AC" w:rsidP="000612AC">
      <w:pPr>
        <w:widowControl w:val="0"/>
        <w:tabs>
          <w:tab w:val="left" w:pos="567"/>
          <w:tab w:val="left" w:pos="1418"/>
        </w:tabs>
        <w:suppressAutoHyphens w:val="0"/>
        <w:overflowPunct w:val="0"/>
        <w:autoSpaceDE w:val="0"/>
        <w:autoSpaceDN w:val="0"/>
        <w:adjustRightInd w:val="0"/>
        <w:ind w:left="1134" w:right="567" w:hanging="1134"/>
        <w:jc w:val="both"/>
        <w:textAlignment w:val="baseline"/>
        <w:rPr>
          <w:rFonts w:cs="Arial"/>
          <w:snapToGrid/>
          <w:sz w:val="22"/>
          <w:szCs w:val="18"/>
          <w:lang w:val="de-DE"/>
        </w:rPr>
      </w:pPr>
    </w:p>
    <w:p w:rsidR="000612AC" w:rsidRPr="000612AC" w:rsidRDefault="000612AC" w:rsidP="000612AC">
      <w:pPr>
        <w:widowControl w:val="0"/>
        <w:tabs>
          <w:tab w:val="left" w:pos="567"/>
          <w:tab w:val="left" w:pos="1418"/>
        </w:tabs>
        <w:suppressAutoHyphens w:val="0"/>
        <w:overflowPunct w:val="0"/>
        <w:autoSpaceDE w:val="0"/>
        <w:autoSpaceDN w:val="0"/>
        <w:adjustRightInd w:val="0"/>
        <w:ind w:right="567"/>
        <w:jc w:val="both"/>
        <w:textAlignment w:val="baseline"/>
        <w:rPr>
          <w:rFonts w:cs="Arial"/>
          <w:snapToGrid/>
          <w:sz w:val="22"/>
          <w:szCs w:val="18"/>
          <w:lang w:val="de-DE"/>
        </w:rPr>
      </w:pPr>
      <w:r w:rsidRPr="000612AC">
        <w:rPr>
          <w:rFonts w:cs="Arial"/>
          <w:snapToGrid/>
          <w:sz w:val="22"/>
          <w:szCs w:val="18"/>
          <w:lang w:val="de-DE"/>
        </w:rPr>
        <w:t>7.</w:t>
      </w:r>
      <w:r w:rsidRPr="000612AC">
        <w:rPr>
          <w:rFonts w:cs="Arial"/>
          <w:snapToGrid/>
          <w:sz w:val="22"/>
          <w:szCs w:val="18"/>
          <w:lang w:val="de-DE"/>
        </w:rPr>
        <w:tab/>
        <w:t>Es werden keine Probleme bei der Umsetzbarkeit erwartet. Auch das Umladen Schiff– Schiff erfolgt schon heute nur mit behördlicher Genehmigung.</w:t>
      </w:r>
    </w:p>
    <w:p w:rsidR="00787CE3" w:rsidRPr="00787CE3" w:rsidRDefault="00787CE3" w:rsidP="000612AC">
      <w:pPr>
        <w:keepNext/>
        <w:keepLines/>
        <w:tabs>
          <w:tab w:val="left" w:pos="567"/>
          <w:tab w:val="right" w:pos="851"/>
        </w:tabs>
        <w:ind w:left="1134" w:right="567" w:hanging="1134"/>
        <w:rPr>
          <w:b/>
          <w:snapToGrid/>
          <w:sz w:val="28"/>
          <w:lang w:val="de-DE" w:eastAsia="en-US"/>
        </w:rPr>
      </w:pPr>
    </w:p>
    <w:p w:rsidR="00787CE3" w:rsidRPr="00787CE3" w:rsidRDefault="00787CE3" w:rsidP="000612AC">
      <w:pPr>
        <w:tabs>
          <w:tab w:val="left" w:pos="567"/>
        </w:tabs>
        <w:ind w:left="1134" w:right="567"/>
        <w:jc w:val="center"/>
        <w:rPr>
          <w:u w:val="single"/>
          <w:lang w:val="de-DE"/>
        </w:rPr>
      </w:pPr>
      <w:r w:rsidRPr="00787CE3">
        <w:rPr>
          <w:lang w:val="de-DE"/>
        </w:rPr>
        <w:t>***</w:t>
      </w:r>
    </w:p>
    <w:sectPr w:rsidR="00787CE3" w:rsidRPr="00787CE3" w:rsidSect="00C35F27">
      <w:headerReference w:type="even" r:id="rId10"/>
      <w:headerReference w:type="default" r:id="rId11"/>
      <w:footerReference w:type="even" r:id="rId12"/>
      <w:footerReference w:type="default" r:id="rId13"/>
      <w:pgSz w:w="11907" w:h="16839" w:code="9"/>
      <w:pgMar w:top="1701" w:right="1134" w:bottom="2268" w:left="1134"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71" w:rsidRDefault="004A0C71">
      <w:pPr>
        <w:rPr>
          <w:szCs w:val="24"/>
        </w:rPr>
      </w:pPr>
    </w:p>
  </w:endnote>
  <w:endnote w:type="continuationSeparator" w:id="0">
    <w:p w:rsidR="004A0C71" w:rsidRDefault="004A0C71">
      <w:pPr>
        <w:rPr>
          <w:szCs w:val="24"/>
        </w:rPr>
      </w:pPr>
    </w:p>
  </w:endnote>
  <w:endnote w:type="continuationNotice" w:id="1">
    <w:p w:rsidR="004A0C71" w:rsidRDefault="004A0C71">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951A0F" w:rsidRDefault="003E2153" w:rsidP="00FE0BD6">
    <w:pPr>
      <w:pStyle w:val="Pieddepage"/>
      <w:jc w:val="right"/>
      <w:rPr>
        <w:lang w:val="fr-FR"/>
      </w:rPr>
    </w:pPr>
    <w:r>
      <w:rPr>
        <w:rFonts w:ascii="Arial" w:hAnsi="Arial"/>
        <w:noProof/>
        <w:snapToGrid/>
        <w:sz w:val="12"/>
        <w:szCs w:val="24"/>
        <w:lang w:val="fr-FR"/>
      </w:rPr>
      <w:t>m</w:t>
    </w:r>
    <w:r w:rsidRPr="00F73CA8">
      <w:rPr>
        <w:rFonts w:ascii="Arial" w:hAnsi="Arial"/>
        <w:noProof/>
        <w:snapToGrid/>
        <w:sz w:val="12"/>
        <w:szCs w:val="24"/>
        <w:lang w:val="fr-FR"/>
      </w:rPr>
      <w:t>m/adn_wp15_ac2_201</w:t>
    </w:r>
    <w:r w:rsidR="00760E3C">
      <w:rPr>
        <w:rFonts w:ascii="Arial" w:hAnsi="Arial"/>
        <w:noProof/>
        <w:snapToGrid/>
        <w:sz w:val="12"/>
        <w:szCs w:val="24"/>
        <w:lang w:val="fr-FR"/>
      </w:rPr>
      <w:t>6</w:t>
    </w:r>
    <w:r w:rsidRPr="00F73CA8">
      <w:rPr>
        <w:rFonts w:ascii="Arial" w:hAnsi="Arial"/>
        <w:noProof/>
        <w:snapToGrid/>
        <w:sz w:val="12"/>
        <w:szCs w:val="24"/>
        <w:lang w:val="fr-FR"/>
      </w:rPr>
      <w:t>_</w:t>
    </w:r>
    <w:r w:rsidR="007F3EC1">
      <w:rPr>
        <w:rFonts w:ascii="Arial" w:hAnsi="Arial"/>
        <w:noProof/>
        <w:snapToGrid/>
        <w:sz w:val="12"/>
        <w:szCs w:val="24"/>
        <w:lang w:val="fr-FR"/>
      </w:rPr>
      <w:t>14</w:t>
    </w:r>
    <w:r w:rsidRPr="00F73CA8">
      <w:rPr>
        <w:rFonts w:ascii="Arial" w:hAnsi="Arial"/>
        <w:noProof/>
        <w:snapToGrid/>
        <w:sz w:val="12"/>
        <w:szCs w:val="24"/>
        <w:lang w:val="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951A0F" w:rsidRDefault="003E2153" w:rsidP="00951A0F">
    <w:pPr>
      <w:pStyle w:val="Pieddepage"/>
      <w:jc w:val="right"/>
      <w:rPr>
        <w:lang w:val="fr-FR"/>
      </w:rPr>
    </w:pPr>
    <w:r>
      <w:rPr>
        <w:rFonts w:ascii="Arial" w:hAnsi="Arial"/>
        <w:noProof/>
        <w:snapToGrid/>
        <w:sz w:val="12"/>
        <w:szCs w:val="24"/>
        <w:lang w:val="fr-FR"/>
      </w:rPr>
      <w:t>m</w:t>
    </w:r>
    <w:r w:rsidRPr="00F73CA8">
      <w:rPr>
        <w:rFonts w:ascii="Arial" w:hAnsi="Arial"/>
        <w:noProof/>
        <w:snapToGrid/>
        <w:sz w:val="12"/>
        <w:szCs w:val="24"/>
        <w:lang w:val="fr-FR"/>
      </w:rPr>
      <w:t>m/adn_wp15_ac2_201</w:t>
    </w:r>
    <w:r w:rsidR="003B4590">
      <w:rPr>
        <w:rFonts w:ascii="Arial" w:hAnsi="Arial"/>
        <w:noProof/>
        <w:snapToGrid/>
        <w:sz w:val="12"/>
        <w:szCs w:val="24"/>
        <w:lang w:val="fr-FR"/>
      </w:rPr>
      <w:t>6</w:t>
    </w:r>
    <w:r w:rsidRPr="00F73CA8">
      <w:rPr>
        <w:rFonts w:ascii="Arial" w:hAnsi="Arial"/>
        <w:noProof/>
        <w:snapToGrid/>
        <w:sz w:val="12"/>
        <w:szCs w:val="24"/>
        <w:lang w:val="fr-FR"/>
      </w:rPr>
      <w:t>_</w:t>
    </w:r>
    <w:r w:rsidR="003B4590">
      <w:rPr>
        <w:rFonts w:ascii="Arial" w:hAnsi="Arial"/>
        <w:noProof/>
        <w:snapToGrid/>
        <w:sz w:val="12"/>
        <w:szCs w:val="24"/>
        <w:lang w:val="fr-FR"/>
      </w:rPr>
      <w:t>Y8</w:t>
    </w:r>
    <w:r w:rsidRPr="00F73CA8">
      <w:rPr>
        <w:rFonts w:ascii="Arial" w:hAnsi="Arial"/>
        <w:noProof/>
        <w:snapToGrid/>
        <w:sz w:val="12"/>
        <w:szCs w:val="24"/>
        <w:lang w:val="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71" w:rsidRDefault="004A0C71">
      <w:pPr>
        <w:tabs>
          <w:tab w:val="right" w:pos="2155"/>
        </w:tabs>
        <w:spacing w:after="80"/>
        <w:ind w:left="680"/>
        <w:rPr>
          <w:szCs w:val="24"/>
          <w:u w:val="single"/>
        </w:rPr>
      </w:pPr>
      <w:r>
        <w:rPr>
          <w:szCs w:val="24"/>
          <w:u w:val="single"/>
        </w:rPr>
        <w:tab/>
      </w:r>
    </w:p>
  </w:footnote>
  <w:footnote w:type="continuationSeparator" w:id="0">
    <w:p w:rsidR="004A0C71" w:rsidRDefault="004A0C71">
      <w:pPr>
        <w:tabs>
          <w:tab w:val="left" w:pos="2155"/>
        </w:tabs>
        <w:spacing w:after="80"/>
        <w:ind w:left="680"/>
        <w:rPr>
          <w:szCs w:val="24"/>
          <w:u w:val="single"/>
        </w:rPr>
      </w:pPr>
      <w:r>
        <w:rPr>
          <w:szCs w:val="24"/>
          <w:u w:val="single"/>
        </w:rPr>
        <w:tab/>
      </w:r>
    </w:p>
  </w:footnote>
  <w:footnote w:type="continuationNotice" w:id="1">
    <w:p w:rsidR="004A0C71" w:rsidRDefault="004A0C71">
      <w:pPr>
        <w:rPr>
          <w:szCs w:val="24"/>
        </w:rPr>
      </w:pPr>
    </w:p>
  </w:footnote>
  <w:footnote w:id="2">
    <w:p w:rsidR="000612AC" w:rsidRPr="005F667A" w:rsidRDefault="000612AC" w:rsidP="000612AC">
      <w:pPr>
        <w:pStyle w:val="Notedebasdepage"/>
        <w:ind w:left="284" w:hanging="284"/>
        <w:rPr>
          <w:sz w:val="16"/>
          <w:szCs w:val="16"/>
          <w:lang w:val="de-DE"/>
        </w:rPr>
      </w:pPr>
      <w:r w:rsidRPr="0061638E">
        <w:rPr>
          <w:rStyle w:val="Appelnotedebasdep"/>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ECE/TRANS/WP.15/AC.2/201</w:t>
      </w:r>
      <w:r>
        <w:rPr>
          <w:sz w:val="16"/>
          <w:szCs w:val="16"/>
          <w:lang w:val="de-DE"/>
        </w:rPr>
        <w:t>6</w:t>
      </w:r>
      <w:r w:rsidRPr="005F667A">
        <w:rPr>
          <w:sz w:val="16"/>
          <w:szCs w:val="16"/>
          <w:lang w:val="de-DE"/>
        </w:rPr>
        <w:t>/</w:t>
      </w:r>
      <w:r w:rsidR="007F3EC1">
        <w:rPr>
          <w:sz w:val="16"/>
          <w:szCs w:val="16"/>
          <w:lang w:val="de-DE"/>
        </w:rPr>
        <w:t>14</w:t>
      </w:r>
      <w:r w:rsidRPr="005F667A">
        <w:rPr>
          <w:sz w:val="16"/>
          <w:szCs w:val="16"/>
          <w:lang w:val="de-DE"/>
        </w:rPr>
        <w:t xml:space="preserve">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4A4DB1" w:rsidRDefault="003E2153" w:rsidP="00B54817">
    <w:pPr>
      <w:pStyle w:val="En-tte"/>
      <w:pBdr>
        <w:bottom w:val="none" w:sz="0" w:space="0" w:color="auto"/>
      </w:pBdr>
      <w:rPr>
        <w:rFonts w:ascii="Arial" w:hAnsi="Arial"/>
        <w:b w:val="0"/>
        <w:sz w:val="16"/>
        <w:szCs w:val="16"/>
        <w:lang w:val="fr-FR"/>
      </w:rPr>
    </w:pPr>
    <w:r w:rsidRPr="004A4DB1">
      <w:rPr>
        <w:rFonts w:ascii="Arial" w:hAnsi="Arial"/>
        <w:b w:val="0"/>
        <w:sz w:val="16"/>
        <w:szCs w:val="16"/>
        <w:lang w:val="fr-FR"/>
      </w:rPr>
      <w:t>CCNR-ZKR/ADN/WP.15/AC.2/201</w:t>
    </w:r>
    <w:r w:rsidR="003B4590">
      <w:rPr>
        <w:rFonts w:ascii="Arial" w:hAnsi="Arial"/>
        <w:b w:val="0"/>
        <w:sz w:val="16"/>
        <w:szCs w:val="16"/>
        <w:lang w:val="fr-FR"/>
      </w:rPr>
      <w:t>6</w:t>
    </w:r>
    <w:r w:rsidR="004A4DB1" w:rsidRPr="004A4DB1">
      <w:rPr>
        <w:rFonts w:ascii="Arial" w:hAnsi="Arial"/>
        <w:b w:val="0"/>
        <w:sz w:val="16"/>
        <w:szCs w:val="16"/>
        <w:lang w:val="fr-FR"/>
      </w:rPr>
      <w:t>/</w:t>
    </w:r>
    <w:r w:rsidR="007F3EC1">
      <w:rPr>
        <w:rFonts w:ascii="Arial" w:hAnsi="Arial"/>
        <w:b w:val="0"/>
        <w:sz w:val="16"/>
        <w:szCs w:val="16"/>
        <w:lang w:val="fr-FR"/>
      </w:rPr>
      <w:t>14</w:t>
    </w:r>
  </w:p>
  <w:p w:rsidR="003E2153" w:rsidRDefault="003E2153" w:rsidP="00B54817">
    <w:pPr>
      <w:pStyle w:val="En-tte"/>
      <w:pBdr>
        <w:bottom w:val="none" w:sz="0" w:space="0" w:color="auto"/>
      </w:pBdr>
    </w:pPr>
    <w:proofErr w:type="spellStart"/>
    <w:r w:rsidRPr="001B5B74">
      <w:rPr>
        <w:rFonts w:ascii="Arial" w:hAnsi="Arial"/>
        <w:b w:val="0"/>
        <w:sz w:val="16"/>
        <w:szCs w:val="16"/>
      </w:rPr>
      <w:t>Seite</w:t>
    </w:r>
    <w:proofErr w:type="spellEnd"/>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B87FD1">
      <w:rPr>
        <w:rFonts w:ascii="Arial" w:hAnsi="Arial"/>
        <w:b w:val="0"/>
        <w:noProof/>
        <w:sz w:val="16"/>
        <w:szCs w:val="16"/>
      </w:rPr>
      <w:t>2</w:t>
    </w:r>
    <w:r w:rsidRPr="001B5B74">
      <w:rPr>
        <w:rFonts w:ascii="Arial" w:hAnsi="Arial"/>
        <w:b w:val="0"/>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3B4590" w:rsidRDefault="003E2153" w:rsidP="00951A0F">
    <w:pPr>
      <w:pStyle w:val="En-tte"/>
      <w:pBdr>
        <w:bottom w:val="none" w:sz="0" w:space="0" w:color="auto"/>
      </w:pBdr>
      <w:jc w:val="right"/>
      <w:rPr>
        <w:rFonts w:ascii="Arial" w:hAnsi="Arial"/>
        <w:b w:val="0"/>
        <w:sz w:val="16"/>
        <w:szCs w:val="16"/>
        <w:lang w:val="fr-FR"/>
      </w:rPr>
    </w:pPr>
    <w:r w:rsidRPr="003B4590">
      <w:rPr>
        <w:rFonts w:ascii="Arial" w:hAnsi="Arial"/>
        <w:b w:val="0"/>
        <w:sz w:val="16"/>
        <w:szCs w:val="16"/>
        <w:lang w:val="fr-FR"/>
      </w:rPr>
      <w:t>CCNR-ZKR/ADN/WP.15/AC.2/201</w:t>
    </w:r>
    <w:r w:rsidR="003B4590" w:rsidRPr="003B4590">
      <w:rPr>
        <w:rFonts w:ascii="Arial" w:hAnsi="Arial"/>
        <w:b w:val="0"/>
        <w:sz w:val="16"/>
        <w:szCs w:val="16"/>
        <w:lang w:val="fr-FR"/>
      </w:rPr>
      <w:t>6</w:t>
    </w:r>
    <w:r w:rsidRPr="003B4590">
      <w:rPr>
        <w:rFonts w:ascii="Arial" w:hAnsi="Arial"/>
        <w:b w:val="0"/>
        <w:sz w:val="16"/>
        <w:szCs w:val="16"/>
        <w:lang w:val="fr-FR"/>
      </w:rPr>
      <w:t>/</w:t>
    </w:r>
    <w:r w:rsidR="003B4590" w:rsidRPr="003B4590">
      <w:rPr>
        <w:rFonts w:ascii="Arial" w:hAnsi="Arial"/>
        <w:b w:val="0"/>
        <w:sz w:val="16"/>
        <w:szCs w:val="16"/>
        <w:lang w:val="fr-FR"/>
      </w:rPr>
      <w:t>Y8</w:t>
    </w:r>
  </w:p>
  <w:p w:rsidR="003E2153" w:rsidRDefault="003E2153" w:rsidP="00951A0F">
    <w:pPr>
      <w:pStyle w:val="En-tte"/>
      <w:pBdr>
        <w:bottom w:val="none" w:sz="0" w:space="0" w:color="auto"/>
      </w:pBdr>
      <w:jc w:val="right"/>
    </w:pPr>
    <w:proofErr w:type="spellStart"/>
    <w:r w:rsidRPr="001B5B74">
      <w:rPr>
        <w:rFonts w:ascii="Arial" w:hAnsi="Arial"/>
        <w:b w:val="0"/>
        <w:sz w:val="16"/>
        <w:szCs w:val="16"/>
      </w:rPr>
      <w:t>Seite</w:t>
    </w:r>
    <w:proofErr w:type="spellEnd"/>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7F3EC1">
      <w:rPr>
        <w:rFonts w:ascii="Arial" w:hAnsi="Arial"/>
        <w:b w:val="0"/>
        <w:noProof/>
        <w:sz w:val="16"/>
        <w:szCs w:val="16"/>
      </w:rPr>
      <w:t>3</w:t>
    </w:r>
    <w:r w:rsidRPr="001B5B74">
      <w:rPr>
        <w:rFonts w:ascii="Arial" w:hAnsi="Arial"/>
        <w:b w:val="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2">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3">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5">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7">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19">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2">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3">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4">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7">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3">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4">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7F386E"/>
    <w:multiLevelType w:val="hybridMultilevel"/>
    <w:tmpl w:val="6D0CF72A"/>
    <w:lvl w:ilvl="0" w:tplc="5D260B50">
      <w:start w:val="1"/>
      <w:numFmt w:val="upperRoman"/>
      <w:pStyle w:val="Listepuces"/>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6">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29"/>
  </w:num>
  <w:num w:numId="4">
    <w:abstractNumId w:val="6"/>
  </w:num>
  <w:num w:numId="5">
    <w:abstractNumId w:val="34"/>
  </w:num>
  <w:num w:numId="6">
    <w:abstractNumId w:val="4"/>
  </w:num>
  <w:num w:numId="7">
    <w:abstractNumId w:val="7"/>
  </w:num>
  <w:num w:numId="8">
    <w:abstractNumId w:val="21"/>
  </w:num>
  <w:num w:numId="9">
    <w:abstractNumId w:val="12"/>
  </w:num>
  <w:num w:numId="10">
    <w:abstractNumId w:val="8"/>
  </w:num>
  <w:num w:numId="11">
    <w:abstractNumId w:val="23"/>
  </w:num>
  <w:num w:numId="12">
    <w:abstractNumId w:val="5"/>
  </w:num>
  <w:num w:numId="13">
    <w:abstractNumId w:val="32"/>
  </w:num>
  <w:num w:numId="14">
    <w:abstractNumId w:val="9"/>
  </w:num>
  <w:num w:numId="15">
    <w:abstractNumId w:val="36"/>
  </w:num>
  <w:num w:numId="16">
    <w:abstractNumId w:val="30"/>
  </w:num>
  <w:num w:numId="17">
    <w:abstractNumId w:val="20"/>
  </w:num>
  <w:num w:numId="18">
    <w:abstractNumId w:val="14"/>
  </w:num>
  <w:num w:numId="19">
    <w:abstractNumId w:val="22"/>
  </w:num>
  <w:num w:numId="20">
    <w:abstractNumId w:val="10"/>
  </w:num>
  <w:num w:numId="21">
    <w:abstractNumId w:val="27"/>
  </w:num>
  <w:num w:numId="22">
    <w:abstractNumId w:val="35"/>
  </w:num>
  <w:num w:numId="23">
    <w:abstractNumId w:val="28"/>
  </w:num>
  <w:num w:numId="24">
    <w:abstractNumId w:val="17"/>
  </w:num>
  <w:num w:numId="25">
    <w:abstractNumId w:val="26"/>
  </w:num>
  <w:num w:numId="26">
    <w:abstractNumId w:val="16"/>
  </w:num>
  <w:num w:numId="27">
    <w:abstractNumId w:val="15"/>
  </w:num>
  <w:num w:numId="28">
    <w:abstractNumId w:val="31"/>
  </w:num>
  <w:num w:numId="29">
    <w:abstractNumId w:val="18"/>
  </w:num>
  <w:num w:numId="30">
    <w:abstractNumId w:val="25"/>
  </w:num>
  <w:num w:numId="31">
    <w:abstractNumId w:val="19"/>
  </w:num>
  <w:num w:numId="32">
    <w:abstractNumId w:val="24"/>
  </w:num>
  <w:num w:numId="33">
    <w:abstractNumId w:val="3"/>
  </w:num>
  <w:num w:numId="34">
    <w:abstractNumId w:val="11"/>
  </w:num>
  <w:num w:numId="35">
    <w:abstractNumId w:val="33"/>
  </w:num>
  <w:num w:numId="36">
    <w:abstractNumId w:val="13"/>
  </w:num>
  <w:num w:numId="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53C5"/>
    <w:rsid w:val="00010CCD"/>
    <w:rsid w:val="00020B06"/>
    <w:rsid w:val="0002116F"/>
    <w:rsid w:val="00024FB3"/>
    <w:rsid w:val="00030C06"/>
    <w:rsid w:val="00031537"/>
    <w:rsid w:val="00035613"/>
    <w:rsid w:val="00037CC1"/>
    <w:rsid w:val="0004044C"/>
    <w:rsid w:val="00042A50"/>
    <w:rsid w:val="00045320"/>
    <w:rsid w:val="000463F9"/>
    <w:rsid w:val="000471D8"/>
    <w:rsid w:val="00050941"/>
    <w:rsid w:val="00050F6B"/>
    <w:rsid w:val="00053D5C"/>
    <w:rsid w:val="00054498"/>
    <w:rsid w:val="00056F3E"/>
    <w:rsid w:val="00057251"/>
    <w:rsid w:val="00060A33"/>
    <w:rsid w:val="000612AC"/>
    <w:rsid w:val="00061D21"/>
    <w:rsid w:val="000632A3"/>
    <w:rsid w:val="00063AD6"/>
    <w:rsid w:val="0006503F"/>
    <w:rsid w:val="0006523E"/>
    <w:rsid w:val="00070389"/>
    <w:rsid w:val="00071CC5"/>
    <w:rsid w:val="00072C8C"/>
    <w:rsid w:val="00075692"/>
    <w:rsid w:val="00075B37"/>
    <w:rsid w:val="00075D0F"/>
    <w:rsid w:val="0007766C"/>
    <w:rsid w:val="00081084"/>
    <w:rsid w:val="0008130F"/>
    <w:rsid w:val="0008420F"/>
    <w:rsid w:val="0008613C"/>
    <w:rsid w:val="000907FA"/>
    <w:rsid w:val="000931C0"/>
    <w:rsid w:val="00095E3D"/>
    <w:rsid w:val="00097767"/>
    <w:rsid w:val="000A0570"/>
    <w:rsid w:val="000A0E71"/>
    <w:rsid w:val="000A446A"/>
    <w:rsid w:val="000B175B"/>
    <w:rsid w:val="000B1C22"/>
    <w:rsid w:val="000B3A0F"/>
    <w:rsid w:val="000B5909"/>
    <w:rsid w:val="000B6729"/>
    <w:rsid w:val="000B6B5B"/>
    <w:rsid w:val="000B7ECB"/>
    <w:rsid w:val="000C023D"/>
    <w:rsid w:val="000C4400"/>
    <w:rsid w:val="000C67EE"/>
    <w:rsid w:val="000C7258"/>
    <w:rsid w:val="000D14D1"/>
    <w:rsid w:val="000D4601"/>
    <w:rsid w:val="000E0415"/>
    <w:rsid w:val="000E520B"/>
    <w:rsid w:val="000E566D"/>
    <w:rsid w:val="000E7062"/>
    <w:rsid w:val="000E7BD0"/>
    <w:rsid w:val="001025CF"/>
    <w:rsid w:val="001066C5"/>
    <w:rsid w:val="00111C23"/>
    <w:rsid w:val="00113E8D"/>
    <w:rsid w:val="00113FC7"/>
    <w:rsid w:val="00120D79"/>
    <w:rsid w:val="00121B98"/>
    <w:rsid w:val="001220B8"/>
    <w:rsid w:val="00123A7B"/>
    <w:rsid w:val="00131A08"/>
    <w:rsid w:val="0013213F"/>
    <w:rsid w:val="0013574C"/>
    <w:rsid w:val="00135BA5"/>
    <w:rsid w:val="00136129"/>
    <w:rsid w:val="00137A57"/>
    <w:rsid w:val="001422F4"/>
    <w:rsid w:val="001426C0"/>
    <w:rsid w:val="001471A5"/>
    <w:rsid w:val="00155C78"/>
    <w:rsid w:val="00161846"/>
    <w:rsid w:val="001628F5"/>
    <w:rsid w:val="00172CF3"/>
    <w:rsid w:val="001730D3"/>
    <w:rsid w:val="00174EA5"/>
    <w:rsid w:val="001817E0"/>
    <w:rsid w:val="00181A2A"/>
    <w:rsid w:val="001870ED"/>
    <w:rsid w:val="00191685"/>
    <w:rsid w:val="00193460"/>
    <w:rsid w:val="001938F0"/>
    <w:rsid w:val="001A1048"/>
    <w:rsid w:val="001A148C"/>
    <w:rsid w:val="001A2704"/>
    <w:rsid w:val="001A4ED5"/>
    <w:rsid w:val="001B3169"/>
    <w:rsid w:val="001B3934"/>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24AA7"/>
    <w:rsid w:val="00225418"/>
    <w:rsid w:val="00231733"/>
    <w:rsid w:val="00236DE8"/>
    <w:rsid w:val="002405A7"/>
    <w:rsid w:val="00242C50"/>
    <w:rsid w:val="00242D7E"/>
    <w:rsid w:val="00250D22"/>
    <w:rsid w:val="00252025"/>
    <w:rsid w:val="00252334"/>
    <w:rsid w:val="00256528"/>
    <w:rsid w:val="00256C6B"/>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B431F"/>
    <w:rsid w:val="002B50AC"/>
    <w:rsid w:val="002B7E5F"/>
    <w:rsid w:val="002C017B"/>
    <w:rsid w:val="002C03A7"/>
    <w:rsid w:val="002C2D92"/>
    <w:rsid w:val="002C3A68"/>
    <w:rsid w:val="002C49BA"/>
    <w:rsid w:val="002C5B89"/>
    <w:rsid w:val="002C5C89"/>
    <w:rsid w:val="002C6ACD"/>
    <w:rsid w:val="002C7C88"/>
    <w:rsid w:val="002D0E0E"/>
    <w:rsid w:val="002D19AD"/>
    <w:rsid w:val="002D652F"/>
    <w:rsid w:val="002E0EE4"/>
    <w:rsid w:val="002E1352"/>
    <w:rsid w:val="00300698"/>
    <w:rsid w:val="00304304"/>
    <w:rsid w:val="003107FA"/>
    <w:rsid w:val="0031437A"/>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632F3"/>
    <w:rsid w:val="003641EF"/>
    <w:rsid w:val="003709C2"/>
    <w:rsid w:val="00370F68"/>
    <w:rsid w:val="00371FB2"/>
    <w:rsid w:val="00375D3A"/>
    <w:rsid w:val="00380A4E"/>
    <w:rsid w:val="003820C5"/>
    <w:rsid w:val="00385F86"/>
    <w:rsid w:val="0039277A"/>
    <w:rsid w:val="00395B51"/>
    <w:rsid w:val="003972E0"/>
    <w:rsid w:val="003A1EBD"/>
    <w:rsid w:val="003A3950"/>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B4A"/>
    <w:rsid w:val="003D4B23"/>
    <w:rsid w:val="003D620D"/>
    <w:rsid w:val="003E2153"/>
    <w:rsid w:val="003E34F3"/>
    <w:rsid w:val="003E55CB"/>
    <w:rsid w:val="003E6688"/>
    <w:rsid w:val="003E7A98"/>
    <w:rsid w:val="003F1ED3"/>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16DA"/>
    <w:rsid w:val="004325CB"/>
    <w:rsid w:val="00433C98"/>
    <w:rsid w:val="00434E37"/>
    <w:rsid w:val="00446793"/>
    <w:rsid w:val="00446DE4"/>
    <w:rsid w:val="0045017B"/>
    <w:rsid w:val="00452BB4"/>
    <w:rsid w:val="004535E7"/>
    <w:rsid w:val="0045394D"/>
    <w:rsid w:val="0045575E"/>
    <w:rsid w:val="004578CF"/>
    <w:rsid w:val="004644C6"/>
    <w:rsid w:val="00466C98"/>
    <w:rsid w:val="004743AE"/>
    <w:rsid w:val="00480BB9"/>
    <w:rsid w:val="00481194"/>
    <w:rsid w:val="00481AC6"/>
    <w:rsid w:val="004835E7"/>
    <w:rsid w:val="00492241"/>
    <w:rsid w:val="00492774"/>
    <w:rsid w:val="004933E1"/>
    <w:rsid w:val="00495EE5"/>
    <w:rsid w:val="00496493"/>
    <w:rsid w:val="00497343"/>
    <w:rsid w:val="004A0C71"/>
    <w:rsid w:val="004A1EF5"/>
    <w:rsid w:val="004A1F22"/>
    <w:rsid w:val="004A1F48"/>
    <w:rsid w:val="004A2EDD"/>
    <w:rsid w:val="004A3894"/>
    <w:rsid w:val="004A3E33"/>
    <w:rsid w:val="004A41CA"/>
    <w:rsid w:val="004A4DB1"/>
    <w:rsid w:val="004A5778"/>
    <w:rsid w:val="004B1567"/>
    <w:rsid w:val="004B29D2"/>
    <w:rsid w:val="004B5816"/>
    <w:rsid w:val="004C0580"/>
    <w:rsid w:val="004C7BD2"/>
    <w:rsid w:val="004D2AF1"/>
    <w:rsid w:val="004D785F"/>
    <w:rsid w:val="004D7A03"/>
    <w:rsid w:val="004E6760"/>
    <w:rsid w:val="004E74FC"/>
    <w:rsid w:val="004F13C8"/>
    <w:rsid w:val="004F1BE5"/>
    <w:rsid w:val="004F2C14"/>
    <w:rsid w:val="004F312F"/>
    <w:rsid w:val="004F6071"/>
    <w:rsid w:val="004F750B"/>
    <w:rsid w:val="00503228"/>
    <w:rsid w:val="00505384"/>
    <w:rsid w:val="00513283"/>
    <w:rsid w:val="005134CA"/>
    <w:rsid w:val="0051520D"/>
    <w:rsid w:val="0051600A"/>
    <w:rsid w:val="005166F9"/>
    <w:rsid w:val="00516773"/>
    <w:rsid w:val="0052122E"/>
    <w:rsid w:val="00521ECF"/>
    <w:rsid w:val="00526A9F"/>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72177"/>
    <w:rsid w:val="00573165"/>
    <w:rsid w:val="00580C8B"/>
    <w:rsid w:val="00580ED5"/>
    <w:rsid w:val="00587F3C"/>
    <w:rsid w:val="00590B15"/>
    <w:rsid w:val="0059380F"/>
    <w:rsid w:val="005A0417"/>
    <w:rsid w:val="005A1D62"/>
    <w:rsid w:val="005A21DC"/>
    <w:rsid w:val="005A56C5"/>
    <w:rsid w:val="005A63C6"/>
    <w:rsid w:val="005B0C72"/>
    <w:rsid w:val="005B353D"/>
    <w:rsid w:val="005B3DB3"/>
    <w:rsid w:val="005B4CE0"/>
    <w:rsid w:val="005C173D"/>
    <w:rsid w:val="005C3653"/>
    <w:rsid w:val="005C6DF8"/>
    <w:rsid w:val="005D3642"/>
    <w:rsid w:val="005D3FE8"/>
    <w:rsid w:val="005D7718"/>
    <w:rsid w:val="005E286B"/>
    <w:rsid w:val="005E7C6F"/>
    <w:rsid w:val="005F2595"/>
    <w:rsid w:val="005F2BD2"/>
    <w:rsid w:val="005F3E0D"/>
    <w:rsid w:val="005F441C"/>
    <w:rsid w:val="005F667A"/>
    <w:rsid w:val="005F6B61"/>
    <w:rsid w:val="005F6E62"/>
    <w:rsid w:val="00601D72"/>
    <w:rsid w:val="0060248B"/>
    <w:rsid w:val="00603EBA"/>
    <w:rsid w:val="00606CF1"/>
    <w:rsid w:val="00610834"/>
    <w:rsid w:val="00611FC4"/>
    <w:rsid w:val="00617178"/>
    <w:rsid w:val="006176FB"/>
    <w:rsid w:val="0062304B"/>
    <w:rsid w:val="006249FB"/>
    <w:rsid w:val="00626B1C"/>
    <w:rsid w:val="00627ED0"/>
    <w:rsid w:val="00630B7D"/>
    <w:rsid w:val="00631FF4"/>
    <w:rsid w:val="006364CC"/>
    <w:rsid w:val="00637CA2"/>
    <w:rsid w:val="00640B26"/>
    <w:rsid w:val="00642C2E"/>
    <w:rsid w:val="00644FED"/>
    <w:rsid w:val="0064585E"/>
    <w:rsid w:val="006517B6"/>
    <w:rsid w:val="00651FC8"/>
    <w:rsid w:val="00665595"/>
    <w:rsid w:val="006659D9"/>
    <w:rsid w:val="00665BFA"/>
    <w:rsid w:val="00673795"/>
    <w:rsid w:val="00676EEB"/>
    <w:rsid w:val="00682DD7"/>
    <w:rsid w:val="0068316E"/>
    <w:rsid w:val="00683296"/>
    <w:rsid w:val="006833A6"/>
    <w:rsid w:val="0068441D"/>
    <w:rsid w:val="00690D91"/>
    <w:rsid w:val="0069157F"/>
    <w:rsid w:val="00692279"/>
    <w:rsid w:val="00697CD4"/>
    <w:rsid w:val="006A1E28"/>
    <w:rsid w:val="006A3F0D"/>
    <w:rsid w:val="006A5C73"/>
    <w:rsid w:val="006A6D47"/>
    <w:rsid w:val="006A7392"/>
    <w:rsid w:val="006A7CCA"/>
    <w:rsid w:val="006B0C4E"/>
    <w:rsid w:val="006B19FE"/>
    <w:rsid w:val="006B3B2C"/>
    <w:rsid w:val="006B3DFE"/>
    <w:rsid w:val="006B57C3"/>
    <w:rsid w:val="006B706C"/>
    <w:rsid w:val="006C2742"/>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5359"/>
    <w:rsid w:val="007078D5"/>
    <w:rsid w:val="00710E99"/>
    <w:rsid w:val="00712D44"/>
    <w:rsid w:val="00714AFC"/>
    <w:rsid w:val="00715E93"/>
    <w:rsid w:val="00715F12"/>
    <w:rsid w:val="00717597"/>
    <w:rsid w:val="007177A5"/>
    <w:rsid w:val="00717E9A"/>
    <w:rsid w:val="00720053"/>
    <w:rsid w:val="00722811"/>
    <w:rsid w:val="0072632A"/>
    <w:rsid w:val="00726CBE"/>
    <w:rsid w:val="0072750B"/>
    <w:rsid w:val="0073465B"/>
    <w:rsid w:val="00734C2D"/>
    <w:rsid w:val="00737E85"/>
    <w:rsid w:val="00740176"/>
    <w:rsid w:val="007425B4"/>
    <w:rsid w:val="00743AA0"/>
    <w:rsid w:val="00744294"/>
    <w:rsid w:val="0075038C"/>
    <w:rsid w:val="00751197"/>
    <w:rsid w:val="0075310B"/>
    <w:rsid w:val="0075352F"/>
    <w:rsid w:val="00756A00"/>
    <w:rsid w:val="00757B9F"/>
    <w:rsid w:val="00760E3C"/>
    <w:rsid w:val="00762551"/>
    <w:rsid w:val="0076336D"/>
    <w:rsid w:val="007668D3"/>
    <w:rsid w:val="00766EC7"/>
    <w:rsid w:val="007674B0"/>
    <w:rsid w:val="0077083D"/>
    <w:rsid w:val="00774068"/>
    <w:rsid w:val="00777BDB"/>
    <w:rsid w:val="007838FF"/>
    <w:rsid w:val="00787CE3"/>
    <w:rsid w:val="007939A6"/>
    <w:rsid w:val="00797065"/>
    <w:rsid w:val="00797099"/>
    <w:rsid w:val="007A01FC"/>
    <w:rsid w:val="007A3C01"/>
    <w:rsid w:val="007B6BA5"/>
    <w:rsid w:val="007B7B1E"/>
    <w:rsid w:val="007C169B"/>
    <w:rsid w:val="007C3390"/>
    <w:rsid w:val="007C4F4B"/>
    <w:rsid w:val="007C7A4E"/>
    <w:rsid w:val="007D64B1"/>
    <w:rsid w:val="007E5ABB"/>
    <w:rsid w:val="007E7364"/>
    <w:rsid w:val="007F0B83"/>
    <w:rsid w:val="007F2784"/>
    <w:rsid w:val="007F3EC1"/>
    <w:rsid w:val="007F47D1"/>
    <w:rsid w:val="007F5967"/>
    <w:rsid w:val="007F6611"/>
    <w:rsid w:val="008002AF"/>
    <w:rsid w:val="00801D46"/>
    <w:rsid w:val="00803656"/>
    <w:rsid w:val="00803D3F"/>
    <w:rsid w:val="0081239D"/>
    <w:rsid w:val="008139F5"/>
    <w:rsid w:val="00816C3A"/>
    <w:rsid w:val="008175E9"/>
    <w:rsid w:val="00821686"/>
    <w:rsid w:val="008242D7"/>
    <w:rsid w:val="00825A28"/>
    <w:rsid w:val="0082761D"/>
    <w:rsid w:val="00827E05"/>
    <w:rsid w:val="008305E5"/>
    <w:rsid w:val="008311A3"/>
    <w:rsid w:val="008333C7"/>
    <w:rsid w:val="00836A0C"/>
    <w:rsid w:val="00837A3F"/>
    <w:rsid w:val="00842AFA"/>
    <w:rsid w:val="00842B7B"/>
    <w:rsid w:val="00844584"/>
    <w:rsid w:val="00853E16"/>
    <w:rsid w:val="0085417D"/>
    <w:rsid w:val="008550E6"/>
    <w:rsid w:val="00863555"/>
    <w:rsid w:val="00864768"/>
    <w:rsid w:val="00866B0C"/>
    <w:rsid w:val="00866E24"/>
    <w:rsid w:val="008719EB"/>
    <w:rsid w:val="00871FD5"/>
    <w:rsid w:val="00875B69"/>
    <w:rsid w:val="00876630"/>
    <w:rsid w:val="00880120"/>
    <w:rsid w:val="00880D35"/>
    <w:rsid w:val="00881E3E"/>
    <w:rsid w:val="00890BAF"/>
    <w:rsid w:val="008932A0"/>
    <w:rsid w:val="00896CBD"/>
    <w:rsid w:val="008978BC"/>
    <w:rsid w:val="008979B1"/>
    <w:rsid w:val="008A1480"/>
    <w:rsid w:val="008A1DFC"/>
    <w:rsid w:val="008A2229"/>
    <w:rsid w:val="008A227E"/>
    <w:rsid w:val="008A31E3"/>
    <w:rsid w:val="008A3F15"/>
    <w:rsid w:val="008A6B25"/>
    <w:rsid w:val="008A6C4F"/>
    <w:rsid w:val="008A7A81"/>
    <w:rsid w:val="008B70D8"/>
    <w:rsid w:val="008C57B1"/>
    <w:rsid w:val="008C78C7"/>
    <w:rsid w:val="008D054A"/>
    <w:rsid w:val="008D3C1D"/>
    <w:rsid w:val="008D4730"/>
    <w:rsid w:val="008D5935"/>
    <w:rsid w:val="008E0E46"/>
    <w:rsid w:val="008E58A3"/>
    <w:rsid w:val="008E7D56"/>
    <w:rsid w:val="008F4E42"/>
    <w:rsid w:val="008F561F"/>
    <w:rsid w:val="008F649A"/>
    <w:rsid w:val="00907AD2"/>
    <w:rsid w:val="009124F2"/>
    <w:rsid w:val="00915860"/>
    <w:rsid w:val="00917C0E"/>
    <w:rsid w:val="00925B30"/>
    <w:rsid w:val="0092768B"/>
    <w:rsid w:val="009316CC"/>
    <w:rsid w:val="00936C2E"/>
    <w:rsid w:val="00936F09"/>
    <w:rsid w:val="00940A5E"/>
    <w:rsid w:val="00945924"/>
    <w:rsid w:val="009464F5"/>
    <w:rsid w:val="00946B6A"/>
    <w:rsid w:val="00950A26"/>
    <w:rsid w:val="00951A0F"/>
    <w:rsid w:val="00953A54"/>
    <w:rsid w:val="00957E2B"/>
    <w:rsid w:val="00960ED4"/>
    <w:rsid w:val="00962117"/>
    <w:rsid w:val="009624BC"/>
    <w:rsid w:val="00963CBA"/>
    <w:rsid w:val="00965971"/>
    <w:rsid w:val="00965C9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45F7"/>
    <w:rsid w:val="009B4CA8"/>
    <w:rsid w:val="009C2FB1"/>
    <w:rsid w:val="009D10EC"/>
    <w:rsid w:val="009D236B"/>
    <w:rsid w:val="009D43C2"/>
    <w:rsid w:val="009D5DD3"/>
    <w:rsid w:val="009D60EC"/>
    <w:rsid w:val="009E088A"/>
    <w:rsid w:val="009E102B"/>
    <w:rsid w:val="009E171B"/>
    <w:rsid w:val="009E29EB"/>
    <w:rsid w:val="009E69DD"/>
    <w:rsid w:val="009F2A92"/>
    <w:rsid w:val="009F3A17"/>
    <w:rsid w:val="009F49F7"/>
    <w:rsid w:val="009F5056"/>
    <w:rsid w:val="009F5ED7"/>
    <w:rsid w:val="00A002DC"/>
    <w:rsid w:val="00A01E5A"/>
    <w:rsid w:val="00A0550C"/>
    <w:rsid w:val="00A061AB"/>
    <w:rsid w:val="00A1427D"/>
    <w:rsid w:val="00A143BC"/>
    <w:rsid w:val="00A14774"/>
    <w:rsid w:val="00A17830"/>
    <w:rsid w:val="00A2070C"/>
    <w:rsid w:val="00A24105"/>
    <w:rsid w:val="00A2488D"/>
    <w:rsid w:val="00A26CE4"/>
    <w:rsid w:val="00A318FF"/>
    <w:rsid w:val="00A33DF6"/>
    <w:rsid w:val="00A413F7"/>
    <w:rsid w:val="00A42CEA"/>
    <w:rsid w:val="00A478E2"/>
    <w:rsid w:val="00A52F74"/>
    <w:rsid w:val="00A541EA"/>
    <w:rsid w:val="00A55D32"/>
    <w:rsid w:val="00A6700E"/>
    <w:rsid w:val="00A72F22"/>
    <w:rsid w:val="00A7307A"/>
    <w:rsid w:val="00A742F7"/>
    <w:rsid w:val="00A747E9"/>
    <w:rsid w:val="00A748A6"/>
    <w:rsid w:val="00A816FE"/>
    <w:rsid w:val="00A822B1"/>
    <w:rsid w:val="00A84BE1"/>
    <w:rsid w:val="00A854F0"/>
    <w:rsid w:val="00A879A4"/>
    <w:rsid w:val="00A905CA"/>
    <w:rsid w:val="00A92C14"/>
    <w:rsid w:val="00A93320"/>
    <w:rsid w:val="00A94CE2"/>
    <w:rsid w:val="00A97F13"/>
    <w:rsid w:val="00AA021B"/>
    <w:rsid w:val="00AA2F9E"/>
    <w:rsid w:val="00AA771D"/>
    <w:rsid w:val="00AB3DA4"/>
    <w:rsid w:val="00AB7662"/>
    <w:rsid w:val="00AB7676"/>
    <w:rsid w:val="00AC1316"/>
    <w:rsid w:val="00AC2900"/>
    <w:rsid w:val="00AC6F63"/>
    <w:rsid w:val="00AC76F5"/>
    <w:rsid w:val="00AD7888"/>
    <w:rsid w:val="00AE20DC"/>
    <w:rsid w:val="00AE55CE"/>
    <w:rsid w:val="00AE7A4A"/>
    <w:rsid w:val="00AF6613"/>
    <w:rsid w:val="00AF685C"/>
    <w:rsid w:val="00B0164B"/>
    <w:rsid w:val="00B03A46"/>
    <w:rsid w:val="00B11FD2"/>
    <w:rsid w:val="00B12E63"/>
    <w:rsid w:val="00B146F4"/>
    <w:rsid w:val="00B24BA5"/>
    <w:rsid w:val="00B24D69"/>
    <w:rsid w:val="00B27444"/>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72BAF"/>
    <w:rsid w:val="00B75DBE"/>
    <w:rsid w:val="00B81E12"/>
    <w:rsid w:val="00B83813"/>
    <w:rsid w:val="00B83D20"/>
    <w:rsid w:val="00B85B45"/>
    <w:rsid w:val="00B87FD1"/>
    <w:rsid w:val="00B908E1"/>
    <w:rsid w:val="00B92F1E"/>
    <w:rsid w:val="00B92F25"/>
    <w:rsid w:val="00B94D0E"/>
    <w:rsid w:val="00B9615B"/>
    <w:rsid w:val="00BA31B9"/>
    <w:rsid w:val="00BA4C2C"/>
    <w:rsid w:val="00BA512A"/>
    <w:rsid w:val="00BA6E8C"/>
    <w:rsid w:val="00BA6EB9"/>
    <w:rsid w:val="00BA75EC"/>
    <w:rsid w:val="00BA7A1C"/>
    <w:rsid w:val="00BB0E9C"/>
    <w:rsid w:val="00BB3C77"/>
    <w:rsid w:val="00BB4DC2"/>
    <w:rsid w:val="00BC73EE"/>
    <w:rsid w:val="00BC74E9"/>
    <w:rsid w:val="00BC775C"/>
    <w:rsid w:val="00BD1D9F"/>
    <w:rsid w:val="00BD2146"/>
    <w:rsid w:val="00BD2427"/>
    <w:rsid w:val="00BE07FE"/>
    <w:rsid w:val="00BE2319"/>
    <w:rsid w:val="00BE2713"/>
    <w:rsid w:val="00BE4F74"/>
    <w:rsid w:val="00BE618E"/>
    <w:rsid w:val="00BF25C2"/>
    <w:rsid w:val="00C024CD"/>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1B2B"/>
    <w:rsid w:val="00CA21E8"/>
    <w:rsid w:val="00CA24FF"/>
    <w:rsid w:val="00CA3109"/>
    <w:rsid w:val="00CA60B4"/>
    <w:rsid w:val="00CA6FA0"/>
    <w:rsid w:val="00CA7472"/>
    <w:rsid w:val="00CB075D"/>
    <w:rsid w:val="00CB0D3B"/>
    <w:rsid w:val="00CB2911"/>
    <w:rsid w:val="00CB3570"/>
    <w:rsid w:val="00CB71A4"/>
    <w:rsid w:val="00CC1B61"/>
    <w:rsid w:val="00CC3511"/>
    <w:rsid w:val="00CC4E3B"/>
    <w:rsid w:val="00CC6C36"/>
    <w:rsid w:val="00CD0AB3"/>
    <w:rsid w:val="00CD6B2E"/>
    <w:rsid w:val="00CD7454"/>
    <w:rsid w:val="00CE01C0"/>
    <w:rsid w:val="00CE497F"/>
    <w:rsid w:val="00CE4A8F"/>
    <w:rsid w:val="00CE4B5A"/>
    <w:rsid w:val="00CE4D7C"/>
    <w:rsid w:val="00CE6550"/>
    <w:rsid w:val="00CF36F3"/>
    <w:rsid w:val="00CF37F3"/>
    <w:rsid w:val="00CF3CB7"/>
    <w:rsid w:val="00CF5BB0"/>
    <w:rsid w:val="00D01E98"/>
    <w:rsid w:val="00D04BA4"/>
    <w:rsid w:val="00D04E81"/>
    <w:rsid w:val="00D121B6"/>
    <w:rsid w:val="00D1389C"/>
    <w:rsid w:val="00D164DD"/>
    <w:rsid w:val="00D2031B"/>
    <w:rsid w:val="00D25388"/>
    <w:rsid w:val="00D25FE2"/>
    <w:rsid w:val="00D26929"/>
    <w:rsid w:val="00D27576"/>
    <w:rsid w:val="00D30977"/>
    <w:rsid w:val="00D317BB"/>
    <w:rsid w:val="00D33328"/>
    <w:rsid w:val="00D352CB"/>
    <w:rsid w:val="00D369D8"/>
    <w:rsid w:val="00D43252"/>
    <w:rsid w:val="00D45D0A"/>
    <w:rsid w:val="00D46B40"/>
    <w:rsid w:val="00D55857"/>
    <w:rsid w:val="00D60CDC"/>
    <w:rsid w:val="00D6389B"/>
    <w:rsid w:val="00D66BBC"/>
    <w:rsid w:val="00D71B47"/>
    <w:rsid w:val="00D72DE1"/>
    <w:rsid w:val="00D85458"/>
    <w:rsid w:val="00D96269"/>
    <w:rsid w:val="00D978C6"/>
    <w:rsid w:val="00D97FD0"/>
    <w:rsid w:val="00DA5A0F"/>
    <w:rsid w:val="00DA67AD"/>
    <w:rsid w:val="00DB06D2"/>
    <w:rsid w:val="00DB2042"/>
    <w:rsid w:val="00DB2A63"/>
    <w:rsid w:val="00DB4C2A"/>
    <w:rsid w:val="00DB5D0F"/>
    <w:rsid w:val="00DC59B0"/>
    <w:rsid w:val="00DC6021"/>
    <w:rsid w:val="00DD415F"/>
    <w:rsid w:val="00DE32AC"/>
    <w:rsid w:val="00DE3411"/>
    <w:rsid w:val="00DE4FE4"/>
    <w:rsid w:val="00DF0592"/>
    <w:rsid w:val="00DF12F7"/>
    <w:rsid w:val="00DF1747"/>
    <w:rsid w:val="00DF3292"/>
    <w:rsid w:val="00DF44B5"/>
    <w:rsid w:val="00DF495E"/>
    <w:rsid w:val="00DF6806"/>
    <w:rsid w:val="00E01A8F"/>
    <w:rsid w:val="00E02C81"/>
    <w:rsid w:val="00E059FC"/>
    <w:rsid w:val="00E0797D"/>
    <w:rsid w:val="00E07B4D"/>
    <w:rsid w:val="00E12376"/>
    <w:rsid w:val="00E130AB"/>
    <w:rsid w:val="00E131BB"/>
    <w:rsid w:val="00E144BF"/>
    <w:rsid w:val="00E14F86"/>
    <w:rsid w:val="00E15501"/>
    <w:rsid w:val="00E15DC9"/>
    <w:rsid w:val="00E23CAD"/>
    <w:rsid w:val="00E27CED"/>
    <w:rsid w:val="00E322B5"/>
    <w:rsid w:val="00E330C1"/>
    <w:rsid w:val="00E3617C"/>
    <w:rsid w:val="00E363D6"/>
    <w:rsid w:val="00E37B82"/>
    <w:rsid w:val="00E41CFE"/>
    <w:rsid w:val="00E43F71"/>
    <w:rsid w:val="00E46597"/>
    <w:rsid w:val="00E47898"/>
    <w:rsid w:val="00E53AC3"/>
    <w:rsid w:val="00E55279"/>
    <w:rsid w:val="00E7260F"/>
    <w:rsid w:val="00E773CD"/>
    <w:rsid w:val="00E842CE"/>
    <w:rsid w:val="00E847C3"/>
    <w:rsid w:val="00E87921"/>
    <w:rsid w:val="00E913FD"/>
    <w:rsid w:val="00E92905"/>
    <w:rsid w:val="00E96630"/>
    <w:rsid w:val="00E96675"/>
    <w:rsid w:val="00EA264E"/>
    <w:rsid w:val="00EB247C"/>
    <w:rsid w:val="00EB504F"/>
    <w:rsid w:val="00EB6BAC"/>
    <w:rsid w:val="00EC2F56"/>
    <w:rsid w:val="00EC54BA"/>
    <w:rsid w:val="00EC67F7"/>
    <w:rsid w:val="00ED095F"/>
    <w:rsid w:val="00ED5D98"/>
    <w:rsid w:val="00ED621D"/>
    <w:rsid w:val="00ED7A2A"/>
    <w:rsid w:val="00EE17D9"/>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4197"/>
    <w:rsid w:val="00F52154"/>
    <w:rsid w:val="00F52A5F"/>
    <w:rsid w:val="00F53EDA"/>
    <w:rsid w:val="00F60219"/>
    <w:rsid w:val="00F621C9"/>
    <w:rsid w:val="00F62ECC"/>
    <w:rsid w:val="00F63665"/>
    <w:rsid w:val="00F64735"/>
    <w:rsid w:val="00F64B34"/>
    <w:rsid w:val="00F6542F"/>
    <w:rsid w:val="00F65E0E"/>
    <w:rsid w:val="00F7199D"/>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68B7"/>
    <w:rsid w:val="00FD0951"/>
    <w:rsid w:val="00FD0E31"/>
    <w:rsid w:val="00FD1224"/>
    <w:rsid w:val="00FD5ECB"/>
    <w:rsid w:val="00FD7BF6"/>
    <w:rsid w:val="00FE0BD6"/>
    <w:rsid w:val="00FE1700"/>
    <w:rsid w:val="00FE2A8B"/>
    <w:rsid w:val="00FE460C"/>
    <w:rsid w:val="00FE78C4"/>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snapToGrid w:val="0"/>
      <w:lang w:val="en-GB" w:eastAsia="fr-FR"/>
    </w:rPr>
  </w:style>
  <w:style w:type="paragraph" w:styleId="Titre1">
    <w:name w:val="heading 1"/>
    <w:aliases w:val="Table_G"/>
    <w:basedOn w:val="SingleTxtG"/>
    <w:next w:val="SingleTxtG"/>
    <w:qFormat/>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
    <w:rPr>
      <w:rFonts w:ascii="Times New Roman" w:hAnsi="Times New Roman"/>
      <w:sz w:val="18"/>
      <w:vertAlign w:val="superscript"/>
    </w:rPr>
  </w:style>
  <w:style w:type="character" w:styleId="Appeldenotedefin">
    <w:name w:val="endnote reference"/>
    <w:aliases w:val="1_G"/>
    <w:rPr>
      <w:rFonts w:ascii="Times New Roman" w:hAnsi="Times New Roman" w:cs="Times New Roman"/>
      <w:sz w:val="18"/>
      <w:vertAlign w:val="superscript"/>
    </w:rPr>
  </w:style>
  <w:style w:type="paragraph" w:styleId="En-tte">
    <w:name w:val="header"/>
    <w:aliases w:val="6_G"/>
    <w:basedOn w:val="Normal"/>
    <w:pPr>
      <w:pBdr>
        <w:bottom w:val="single" w:sz="4" w:space="4" w:color="auto"/>
      </w:pBdr>
      <w:spacing w:line="240" w:lineRule="auto"/>
    </w:pPr>
    <w:rPr>
      <w:b/>
      <w:sz w:val="18"/>
    </w:rPr>
  </w:style>
  <w:style w:type="table" w:styleId="Grilledutableau">
    <w:name w:val="Table Grid"/>
    <w:basedOn w:val="Tableau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Pr>
      <w:color w:val="auto"/>
      <w:u w:val="none"/>
    </w:rPr>
  </w:style>
  <w:style w:type="character" w:styleId="Lienhypertextesuivivisit">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pPr>
      <w:tabs>
        <w:tab w:val="right" w:pos="1021"/>
      </w:tabs>
      <w:spacing w:line="220" w:lineRule="exact"/>
      <w:ind w:left="1134" w:right="1134" w:hanging="1134"/>
    </w:pPr>
    <w:rPr>
      <w:sz w:val="18"/>
    </w:rPr>
  </w:style>
  <w:style w:type="paragraph" w:styleId="Notedefin">
    <w:name w:val="endnote text"/>
    <w:aliases w:val="2_G"/>
    <w:basedOn w:val="Notedebasdepage"/>
  </w:style>
  <w:style w:type="character" w:styleId="Numrodepage">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Pieddepage">
    <w:name w:val="footer"/>
    <w:aliases w:val="3_G"/>
    <w:basedOn w:val="Normal"/>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epuces">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NotedebasdepageCar">
    <w:name w:val="Note de bas de page Car"/>
    <w:aliases w:val="5_G Car"/>
    <w:link w:val="Notedebasdepage"/>
    <w:rsid w:val="00071CC5"/>
    <w:rPr>
      <w:snapToGrid w:val="0"/>
      <w:sz w:val="18"/>
      <w:lang w:val="en-GB"/>
    </w:rPr>
  </w:style>
  <w:style w:type="character" w:styleId="Marquedecommentaire">
    <w:name w:val="annotation reference"/>
    <w:rsid w:val="007838FF"/>
    <w:rPr>
      <w:sz w:val="16"/>
      <w:szCs w:val="16"/>
    </w:rPr>
  </w:style>
  <w:style w:type="paragraph" w:styleId="Commentaire">
    <w:name w:val="annotation text"/>
    <w:basedOn w:val="Normal"/>
    <w:link w:val="CommentaireCar"/>
    <w:rsid w:val="007838FF"/>
  </w:style>
  <w:style w:type="character" w:customStyle="1" w:styleId="CommentaireCar">
    <w:name w:val="Commentaire Car"/>
    <w:link w:val="Commentaire"/>
    <w:rsid w:val="007838FF"/>
    <w:rPr>
      <w:snapToGrid w:val="0"/>
      <w:lang w:val="en-GB"/>
    </w:rPr>
  </w:style>
  <w:style w:type="paragraph" w:styleId="Objetducommentaire">
    <w:name w:val="annotation subject"/>
    <w:basedOn w:val="Commentaire"/>
    <w:next w:val="Commentaire"/>
    <w:link w:val="ObjetducommentaireCar"/>
    <w:rsid w:val="007838FF"/>
    <w:rPr>
      <w:b/>
      <w:bCs/>
    </w:rPr>
  </w:style>
  <w:style w:type="character" w:customStyle="1" w:styleId="ObjetducommentaireCar">
    <w:name w:val="Objet du commentaire Car"/>
    <w:link w:val="Objetducommentaire"/>
    <w:rsid w:val="007838FF"/>
    <w:rPr>
      <w:b/>
      <w:bCs/>
      <w:snapToGrid w:val="0"/>
      <w:lang w:val="en-GB"/>
    </w:rPr>
  </w:style>
  <w:style w:type="paragraph" w:styleId="Rvision">
    <w:name w:val="Revision"/>
    <w:hidden/>
    <w:uiPriority w:val="99"/>
    <w:semiHidden/>
    <w:rsid w:val="007838FF"/>
    <w:rPr>
      <w:snapToGrid w:val="0"/>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snapToGrid w:val="0"/>
      <w:lang w:val="en-GB" w:eastAsia="fr-FR"/>
    </w:rPr>
  </w:style>
  <w:style w:type="paragraph" w:styleId="Titre1">
    <w:name w:val="heading 1"/>
    <w:aliases w:val="Table_G"/>
    <w:basedOn w:val="SingleTxtG"/>
    <w:next w:val="SingleTxtG"/>
    <w:qFormat/>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
    <w:rPr>
      <w:rFonts w:ascii="Times New Roman" w:hAnsi="Times New Roman"/>
      <w:sz w:val="18"/>
      <w:vertAlign w:val="superscript"/>
    </w:rPr>
  </w:style>
  <w:style w:type="character" w:styleId="Appeldenotedefin">
    <w:name w:val="endnote reference"/>
    <w:aliases w:val="1_G"/>
    <w:rPr>
      <w:rFonts w:ascii="Times New Roman" w:hAnsi="Times New Roman" w:cs="Times New Roman"/>
      <w:sz w:val="18"/>
      <w:vertAlign w:val="superscript"/>
    </w:rPr>
  </w:style>
  <w:style w:type="paragraph" w:styleId="En-tte">
    <w:name w:val="header"/>
    <w:aliases w:val="6_G"/>
    <w:basedOn w:val="Normal"/>
    <w:pPr>
      <w:pBdr>
        <w:bottom w:val="single" w:sz="4" w:space="4" w:color="auto"/>
      </w:pBdr>
      <w:spacing w:line="240" w:lineRule="auto"/>
    </w:pPr>
    <w:rPr>
      <w:b/>
      <w:sz w:val="18"/>
    </w:rPr>
  </w:style>
  <w:style w:type="table" w:styleId="Grilledutableau">
    <w:name w:val="Table Grid"/>
    <w:basedOn w:val="Tableau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Pr>
      <w:color w:val="auto"/>
      <w:u w:val="none"/>
    </w:rPr>
  </w:style>
  <w:style w:type="character" w:styleId="Lienhypertextesuivivisit">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pPr>
      <w:tabs>
        <w:tab w:val="right" w:pos="1021"/>
      </w:tabs>
      <w:spacing w:line="220" w:lineRule="exact"/>
      <w:ind w:left="1134" w:right="1134" w:hanging="1134"/>
    </w:pPr>
    <w:rPr>
      <w:sz w:val="18"/>
    </w:rPr>
  </w:style>
  <w:style w:type="paragraph" w:styleId="Notedefin">
    <w:name w:val="endnote text"/>
    <w:aliases w:val="2_G"/>
    <w:basedOn w:val="Notedebasdepage"/>
  </w:style>
  <w:style w:type="character" w:styleId="Numrodepage">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Pieddepage">
    <w:name w:val="footer"/>
    <w:aliases w:val="3_G"/>
    <w:basedOn w:val="Normal"/>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epuces">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NotedebasdepageCar">
    <w:name w:val="Note de bas de page Car"/>
    <w:aliases w:val="5_G Car"/>
    <w:link w:val="Notedebasdepage"/>
    <w:rsid w:val="00071CC5"/>
    <w:rPr>
      <w:snapToGrid w:val="0"/>
      <w:sz w:val="18"/>
      <w:lang w:val="en-GB"/>
    </w:rPr>
  </w:style>
  <w:style w:type="character" w:styleId="Marquedecommentaire">
    <w:name w:val="annotation reference"/>
    <w:rsid w:val="007838FF"/>
    <w:rPr>
      <w:sz w:val="16"/>
      <w:szCs w:val="16"/>
    </w:rPr>
  </w:style>
  <w:style w:type="paragraph" w:styleId="Commentaire">
    <w:name w:val="annotation text"/>
    <w:basedOn w:val="Normal"/>
    <w:link w:val="CommentaireCar"/>
    <w:rsid w:val="007838FF"/>
  </w:style>
  <w:style w:type="character" w:customStyle="1" w:styleId="CommentaireCar">
    <w:name w:val="Commentaire Car"/>
    <w:link w:val="Commentaire"/>
    <w:rsid w:val="007838FF"/>
    <w:rPr>
      <w:snapToGrid w:val="0"/>
      <w:lang w:val="en-GB"/>
    </w:rPr>
  </w:style>
  <w:style w:type="paragraph" w:styleId="Objetducommentaire">
    <w:name w:val="annotation subject"/>
    <w:basedOn w:val="Commentaire"/>
    <w:next w:val="Commentaire"/>
    <w:link w:val="ObjetducommentaireCar"/>
    <w:rsid w:val="007838FF"/>
    <w:rPr>
      <w:b/>
      <w:bCs/>
    </w:rPr>
  </w:style>
  <w:style w:type="character" w:customStyle="1" w:styleId="ObjetducommentaireCar">
    <w:name w:val="Objet du commentaire Car"/>
    <w:link w:val="Objetducommentaire"/>
    <w:rsid w:val="007838FF"/>
    <w:rPr>
      <w:b/>
      <w:bCs/>
      <w:snapToGrid w:val="0"/>
      <w:lang w:val="en-GB"/>
    </w:rPr>
  </w:style>
  <w:style w:type="paragraph" w:styleId="Rvision">
    <w:name w:val="Revision"/>
    <w:hidden/>
    <w:uiPriority w:val="99"/>
    <w:semiHidden/>
    <w:rsid w:val="007838FF"/>
    <w:rPr>
      <w:snapToGrid w:val="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BE85-2311-480E-8CC8-74876211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359</Words>
  <Characters>2543</Characters>
  <Application>Microsoft Office Word</Application>
  <DocSecurity>0</DocSecurity>
  <Lines>21</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INF</vt:lpstr>
      <vt:lpstr>INF</vt:lpstr>
      <vt:lpstr>INF</vt:lpstr>
    </vt:vector>
  </TitlesOfParts>
  <Company>CSD</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Martine Moench</cp:lastModifiedBy>
  <cp:revision>2</cp:revision>
  <cp:lastPrinted>2015-11-05T15:23:00Z</cp:lastPrinted>
  <dcterms:created xsi:type="dcterms:W3CDTF">2015-11-05T15:25:00Z</dcterms:created>
  <dcterms:modified xsi:type="dcterms:W3CDTF">2015-11-05T15:25:00Z</dcterms:modified>
</cp:coreProperties>
</file>