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CD4281" w:rsidP="007D70C8">
            <w:pPr>
              <w:jc w:val="right"/>
            </w:pPr>
            <w:r w:rsidRPr="00CD4281">
              <w:rPr>
                <w:sz w:val="40"/>
              </w:rPr>
              <w:t>ECE</w:t>
            </w:r>
            <w:r w:rsidR="00AF1499">
              <w:t>/TRANS/WP.15/AC.2/201</w:t>
            </w:r>
            <w:r w:rsidR="00CB0B63">
              <w:t>6</w:t>
            </w:r>
            <w:r>
              <w:t>/</w:t>
            </w:r>
            <w:r w:rsidR="007D70C8">
              <w:t>10</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523538" w:rsidP="00F01516">
            <w:pPr>
              <w:spacing w:before="120"/>
              <w:jc w:val="center"/>
            </w:pPr>
            <w:r>
              <w:rPr>
                <w:noProof/>
                <w:lang w:val="fr-FR" w:eastAsia="fr-FR"/>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CD4281" w:rsidRDefault="00CD4281" w:rsidP="00F01516">
            <w:pPr>
              <w:spacing w:before="240"/>
            </w:pPr>
            <w:r>
              <w:t>Distr. générale</w:t>
            </w:r>
          </w:p>
          <w:p w:rsidR="00CD4281" w:rsidRDefault="00A721A2" w:rsidP="00CD4281">
            <w:pPr>
              <w:spacing w:line="240" w:lineRule="exact"/>
            </w:pPr>
            <w:r>
              <w:t>23</w:t>
            </w:r>
            <w:r w:rsidR="00426657">
              <w:t xml:space="preserve"> </w:t>
            </w:r>
            <w:r w:rsidR="00497E7A">
              <w:t>octobre</w:t>
            </w:r>
            <w:r w:rsidR="00911DA7">
              <w:t xml:space="preserve"> </w:t>
            </w:r>
            <w:r w:rsidR="00CD4281">
              <w:t>201</w:t>
            </w:r>
            <w:r w:rsidR="006B6C93">
              <w:t>5</w:t>
            </w:r>
          </w:p>
          <w:p w:rsidR="001B0BE2" w:rsidRDefault="001B0BE2" w:rsidP="00CD4281">
            <w:pPr>
              <w:spacing w:line="240" w:lineRule="exact"/>
            </w:pPr>
          </w:p>
          <w:p w:rsidR="003D1DF3" w:rsidRPr="00DB58B5" w:rsidRDefault="00CD4281" w:rsidP="00AF1499">
            <w:pPr>
              <w:spacing w:line="240" w:lineRule="exact"/>
            </w:pPr>
            <w:r>
              <w:t xml:space="preserve">Original: </w:t>
            </w:r>
            <w:r w:rsidR="001B0BE2">
              <w:t>français</w:t>
            </w:r>
          </w:p>
        </w:tc>
      </w:tr>
    </w:tbl>
    <w:p w:rsidR="00FF1DBD" w:rsidRPr="000312C0" w:rsidRDefault="000312C0" w:rsidP="000312C0">
      <w:pPr>
        <w:spacing w:before="120"/>
        <w:rPr>
          <w:b/>
          <w:sz w:val="28"/>
          <w:szCs w:val="28"/>
        </w:rPr>
      </w:pPr>
      <w:r w:rsidRPr="000312C0">
        <w:rPr>
          <w:b/>
          <w:sz w:val="28"/>
          <w:szCs w:val="28"/>
        </w:rPr>
        <w:t>Commission économique pour l</w:t>
      </w:r>
      <w:r w:rsidR="004D0439">
        <w:rPr>
          <w:b/>
          <w:sz w:val="28"/>
          <w:szCs w:val="28"/>
        </w:rPr>
        <w:t>’</w:t>
      </w:r>
      <w:r w:rsidRPr="000312C0">
        <w:rPr>
          <w:b/>
          <w:sz w:val="28"/>
          <w:szCs w:val="28"/>
        </w:rPr>
        <w:t>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CE5BF6">
        <w:rPr>
          <w:b/>
          <w:sz w:val="24"/>
          <w:szCs w:val="24"/>
        </w:rPr>
        <w:t xml:space="preserve"> </w:t>
      </w:r>
      <w:r w:rsidRPr="009E01B8">
        <w:rPr>
          <w:b/>
          <w:sz w:val="24"/>
          <w:szCs w:val="24"/>
        </w:rPr>
        <w:t>de marchandises dangereuses</w:t>
      </w:r>
    </w:p>
    <w:p w:rsidR="00B93E72" w:rsidRPr="004812F5" w:rsidRDefault="00234E40" w:rsidP="00B93E72">
      <w:pPr>
        <w:spacing w:before="120"/>
        <w:rPr>
          <w:b/>
        </w:rPr>
      </w:pPr>
      <w:r w:rsidRPr="004812F5">
        <w:rPr>
          <w:b/>
          <w:lang w:val="fr-FR"/>
        </w:rPr>
        <w:t>Réunion commune d</w:t>
      </w:r>
      <w:r w:rsidR="004D0439">
        <w:rPr>
          <w:b/>
          <w:lang w:val="fr-FR"/>
        </w:rPr>
        <w:t>’</w:t>
      </w:r>
      <w:r w:rsidRPr="004812F5">
        <w:rPr>
          <w:b/>
          <w:lang w:val="fr-FR"/>
        </w:rPr>
        <w:t>experts sur le Règlement annexé</w:t>
      </w:r>
      <w:r w:rsidR="00CE5BF6">
        <w:rPr>
          <w:b/>
          <w:lang w:val="fr-FR"/>
        </w:rPr>
        <w:br/>
      </w:r>
      <w:r w:rsidRPr="004812F5">
        <w:rPr>
          <w:b/>
          <w:lang w:val="fr-FR"/>
        </w:rPr>
        <w:t>à l</w:t>
      </w:r>
      <w:r w:rsidR="004D0439">
        <w:rPr>
          <w:b/>
          <w:lang w:val="fr-FR"/>
        </w:rPr>
        <w:t>’</w:t>
      </w:r>
      <w:r w:rsidRPr="004812F5">
        <w:rPr>
          <w:b/>
          <w:lang w:val="fr-FR"/>
        </w:rPr>
        <w:t>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w:t>
      </w:r>
      <w:r w:rsidR="004D0439">
        <w:rPr>
          <w:b/>
          <w:bCs/>
          <w:lang w:val="fr-FR"/>
        </w:rPr>
        <w:t>’</w:t>
      </w:r>
      <w:r w:rsidRPr="004812F5">
        <w:rPr>
          <w:b/>
          <w:bCs/>
          <w:lang w:val="fr-FR"/>
        </w:rPr>
        <w:t>ADN)</w:t>
      </w:r>
    </w:p>
    <w:p w:rsidR="00234E40" w:rsidRPr="00234E40" w:rsidRDefault="004A5935" w:rsidP="004812F5">
      <w:pPr>
        <w:spacing w:before="120"/>
        <w:rPr>
          <w:b/>
        </w:rPr>
      </w:pPr>
      <w:r>
        <w:rPr>
          <w:b/>
        </w:rPr>
        <w:t>Vingt</w:t>
      </w:r>
      <w:r w:rsidR="001B0BE2">
        <w:rPr>
          <w:b/>
        </w:rPr>
        <w:t>-</w:t>
      </w:r>
      <w:r w:rsidR="00523538">
        <w:rPr>
          <w:b/>
        </w:rPr>
        <w:t>huitième</w:t>
      </w:r>
      <w:r>
        <w:rPr>
          <w:b/>
        </w:rPr>
        <w:t xml:space="preserve"> </w:t>
      </w:r>
      <w:r w:rsidR="00234E40" w:rsidRPr="00234E40">
        <w:rPr>
          <w:b/>
        </w:rPr>
        <w:t>session</w:t>
      </w:r>
    </w:p>
    <w:p w:rsidR="00B93E72" w:rsidRDefault="003E5551" w:rsidP="00B93E72">
      <w:r>
        <w:t xml:space="preserve">Genève, </w:t>
      </w:r>
      <w:r w:rsidR="004A5935">
        <w:t>2</w:t>
      </w:r>
      <w:r w:rsidR="00CB0B63">
        <w:t>5</w:t>
      </w:r>
      <w:r w:rsidR="004A5935">
        <w:t>-</w:t>
      </w:r>
      <w:r w:rsidR="006B6C93">
        <w:t>2</w:t>
      </w:r>
      <w:r w:rsidR="00CB0B63">
        <w:t>9</w:t>
      </w:r>
      <w:r w:rsidR="004A5935">
        <w:t xml:space="preserve"> </w:t>
      </w:r>
      <w:r w:rsidR="00CB0B63">
        <w:t>janvier</w:t>
      </w:r>
      <w:r w:rsidR="00B73AAE">
        <w:t xml:space="preserve"> 20</w:t>
      </w:r>
      <w:r w:rsidR="00263074">
        <w:t>1</w:t>
      </w:r>
      <w:r w:rsidR="00CB0B63">
        <w:t>6</w:t>
      </w:r>
    </w:p>
    <w:p w:rsidR="000312C0" w:rsidRDefault="00B93E72" w:rsidP="00B93E72">
      <w:r w:rsidRPr="00B93E72">
        <w:t xml:space="preserve">Point </w:t>
      </w:r>
      <w:r w:rsidR="00D92026">
        <w:t>5</w:t>
      </w:r>
      <w:r w:rsidR="006B6C93">
        <w:t xml:space="preserve"> b</w:t>
      </w:r>
      <w:r w:rsidR="001636E0">
        <w:t>)</w:t>
      </w:r>
      <w:r w:rsidRPr="00B93E72">
        <w:t xml:space="preserve"> de l</w:t>
      </w:r>
      <w:r w:rsidR="004D0439">
        <w:t>’</w:t>
      </w:r>
      <w:r w:rsidRPr="00B93E72">
        <w:t>ordre du jour provisoire</w:t>
      </w:r>
    </w:p>
    <w:p w:rsidR="00602512" w:rsidRPr="00602512" w:rsidRDefault="00602512" w:rsidP="00602512">
      <w:pPr>
        <w:rPr>
          <w:b/>
          <w:lang w:val="fr-FR"/>
        </w:rPr>
      </w:pPr>
      <w:r w:rsidRPr="00602512">
        <w:rPr>
          <w:b/>
          <w:lang w:val="fr-FR"/>
        </w:rPr>
        <w:t>Propositions d’amendements au règlement annexé à l’ADN</w:t>
      </w:r>
      <w:r>
        <w:rPr>
          <w:b/>
          <w:lang w:val="fr-FR"/>
        </w:rPr>
        <w:t>:</w:t>
      </w:r>
    </w:p>
    <w:p w:rsidR="00602512" w:rsidRPr="00602512" w:rsidRDefault="00602512" w:rsidP="00602512">
      <w:pPr>
        <w:suppressAutoHyphens w:val="0"/>
        <w:spacing w:line="240" w:lineRule="auto"/>
        <w:rPr>
          <w:color w:val="000000"/>
          <w:szCs w:val="24"/>
          <w:lang w:val="fr-FR" w:eastAsia="fr-FR"/>
        </w:rPr>
      </w:pPr>
      <w:r w:rsidRPr="00602512">
        <w:rPr>
          <w:b/>
          <w:color w:val="000000"/>
          <w:szCs w:val="24"/>
          <w:lang w:val="fr-FR" w:eastAsia="fr-FR"/>
        </w:rPr>
        <w:t>Autres propositions</w:t>
      </w:r>
    </w:p>
    <w:p w:rsidR="00C26F66" w:rsidRPr="00C26F66" w:rsidRDefault="00C26F66" w:rsidP="00D64213">
      <w:pPr>
        <w:pStyle w:val="HChG"/>
        <w:rPr>
          <w:snapToGrid w:val="0"/>
          <w:lang w:val="fr-FR" w:eastAsia="fr-FR"/>
        </w:rPr>
      </w:pPr>
      <w:r>
        <w:rPr>
          <w:snapToGrid w:val="0"/>
          <w:lang w:val="fr-FR" w:eastAsia="fr-FR"/>
        </w:rPr>
        <w:tab/>
      </w:r>
      <w:r>
        <w:rPr>
          <w:snapToGrid w:val="0"/>
          <w:lang w:val="fr-FR" w:eastAsia="fr-FR"/>
        </w:rPr>
        <w:tab/>
      </w:r>
      <w:r w:rsidR="007D70C8" w:rsidRPr="007D70C8">
        <w:rPr>
          <w:bCs/>
          <w:iCs/>
          <w:lang w:val="fr-FR"/>
        </w:rPr>
        <w:t>8.3.1 – Personnes autorisées à bord</w:t>
      </w:r>
    </w:p>
    <w:p w:rsidR="00C26F66" w:rsidRDefault="00D64213" w:rsidP="00D64213">
      <w:pPr>
        <w:pStyle w:val="H1G"/>
        <w:rPr>
          <w:snapToGrid w:val="0"/>
          <w:lang w:val="fr-FR" w:eastAsia="fr-FR" w:bidi="fr-FR"/>
        </w:rPr>
      </w:pPr>
      <w:r>
        <w:rPr>
          <w:snapToGrid w:val="0"/>
          <w:lang w:val="fr-FR" w:eastAsia="fr-FR" w:bidi="fr-FR"/>
        </w:rPr>
        <w:tab/>
      </w:r>
      <w:r>
        <w:rPr>
          <w:snapToGrid w:val="0"/>
          <w:lang w:val="fr-FR" w:eastAsia="fr-FR" w:bidi="fr-FR"/>
        </w:rPr>
        <w:tab/>
      </w:r>
      <w:r w:rsidR="007D70C8" w:rsidRPr="007D70C8">
        <w:rPr>
          <w:snapToGrid w:val="0"/>
          <w:lang w:val="fr-FR" w:eastAsia="fr-FR" w:bidi="fr-FR"/>
        </w:rPr>
        <w:t>Communication du Gouvernement de l'Allemagne</w:t>
      </w:r>
      <w:r w:rsidR="00C26F66" w:rsidRPr="00497E7A">
        <w:rPr>
          <w:noProof/>
          <w:snapToGrid w:val="0"/>
          <w:szCs w:val="24"/>
          <w:vertAlign w:val="superscript"/>
          <w:lang w:val="fr-FR" w:eastAsia="fr-FR"/>
        </w:rPr>
        <w:footnoteReference w:id="2"/>
      </w:r>
    </w:p>
    <w:tbl>
      <w:tblPr>
        <w:tblStyle w:val="TableGrid"/>
        <w:tblW w:w="0" w:type="auto"/>
        <w:jc w:val="center"/>
        <w:tblBorders>
          <w:insideH w:val="none" w:sz="0" w:space="0" w:color="auto"/>
        </w:tblBorders>
        <w:tblLook w:val="05E0" w:firstRow="1" w:lastRow="1" w:firstColumn="1" w:lastColumn="1" w:noHBand="0" w:noVBand="1"/>
      </w:tblPr>
      <w:tblGrid>
        <w:gridCol w:w="2409"/>
        <w:gridCol w:w="7228"/>
      </w:tblGrid>
      <w:tr w:rsidR="007D70C8" w:rsidTr="007D70C8">
        <w:trPr>
          <w:jc w:val="center"/>
        </w:trPr>
        <w:tc>
          <w:tcPr>
            <w:tcW w:w="9637" w:type="dxa"/>
            <w:gridSpan w:val="2"/>
            <w:shd w:val="clear" w:color="auto" w:fill="auto"/>
          </w:tcPr>
          <w:p w:rsidR="007D70C8" w:rsidRPr="007D70C8" w:rsidRDefault="007D70C8" w:rsidP="007D70C8">
            <w:pPr>
              <w:spacing w:before="240" w:after="120"/>
              <w:ind w:left="255"/>
              <w:rPr>
                <w:i/>
                <w:sz w:val="24"/>
                <w:lang w:val="fr-FR" w:eastAsia="fr-FR" w:bidi="fr-FR"/>
              </w:rPr>
            </w:pPr>
            <w:r w:rsidRPr="007D70C8">
              <w:rPr>
                <w:i/>
                <w:sz w:val="24"/>
                <w:lang w:val="fr-FR" w:eastAsia="fr-FR" w:bidi="fr-FR"/>
              </w:rPr>
              <w:t xml:space="preserve">Résumé </w:t>
            </w:r>
          </w:p>
        </w:tc>
      </w:tr>
      <w:tr w:rsidR="007D70C8" w:rsidTr="007D70C8">
        <w:trPr>
          <w:jc w:val="center"/>
        </w:trPr>
        <w:tc>
          <w:tcPr>
            <w:tcW w:w="2409" w:type="dxa"/>
            <w:shd w:val="clear" w:color="auto" w:fill="auto"/>
          </w:tcPr>
          <w:p w:rsidR="007D70C8" w:rsidRDefault="007D70C8" w:rsidP="007D70C8">
            <w:pPr>
              <w:spacing w:before="60" w:after="60"/>
              <w:ind w:left="113"/>
              <w:rPr>
                <w:lang w:val="fr-FR" w:eastAsia="fr-FR" w:bidi="fr-FR"/>
              </w:rPr>
            </w:pPr>
            <w:r w:rsidRPr="007D70C8">
              <w:rPr>
                <w:b/>
                <w:lang w:val="fr-FR"/>
              </w:rPr>
              <w:t>Résumé analytique:</w:t>
            </w:r>
          </w:p>
        </w:tc>
        <w:tc>
          <w:tcPr>
            <w:tcW w:w="7228" w:type="dxa"/>
            <w:shd w:val="clear" w:color="auto" w:fill="auto"/>
          </w:tcPr>
          <w:p w:rsidR="007D70C8" w:rsidRPr="007D70C8" w:rsidRDefault="007D70C8" w:rsidP="007D70C8">
            <w:pPr>
              <w:spacing w:before="60" w:after="60"/>
              <w:ind w:left="113"/>
              <w:rPr>
                <w:lang w:val="fr-FR" w:eastAsia="fr-FR" w:bidi="fr-FR"/>
              </w:rPr>
            </w:pPr>
            <w:r w:rsidRPr="007D70C8">
              <w:rPr>
                <w:lang w:val="fr-FR" w:eastAsia="fr-FR" w:bidi="fr-FR"/>
              </w:rPr>
              <w:t xml:space="preserve">Le 8.3.1 </w:t>
            </w:r>
            <w:r w:rsidR="00066DA9">
              <w:rPr>
                <w:lang w:val="fr-FR" w:eastAsia="fr-FR" w:bidi="fr-FR"/>
              </w:rPr>
              <w:t>de l'</w:t>
            </w:r>
            <w:r w:rsidRPr="007D70C8">
              <w:rPr>
                <w:lang w:val="fr-FR" w:eastAsia="fr-FR" w:bidi="fr-FR"/>
              </w:rPr>
              <w:t>ADN définit les personnes qui sont autorisées à bord de bateaux qui transportent des marchandises dangereuses.</w:t>
            </w:r>
          </w:p>
          <w:p w:rsidR="007D70C8" w:rsidRDefault="007D70C8" w:rsidP="007D70C8">
            <w:pPr>
              <w:spacing w:before="60" w:after="60"/>
              <w:ind w:left="113"/>
              <w:rPr>
                <w:lang w:val="fr-FR" w:eastAsia="fr-FR" w:bidi="fr-FR"/>
              </w:rPr>
            </w:pPr>
            <w:r w:rsidRPr="007D70C8">
              <w:rPr>
                <w:lang w:val="fr-FR" w:eastAsia="fr-FR" w:bidi="fr-FR"/>
              </w:rPr>
              <w:t>On trouve dans la Partie 7 la prescription spécifique 7.1.4.14.7.1.3 pour le transport de matières radioactives, prescription qui doit également être rappelée dans le 8.3.1. Elle restreint les personnes autorisées à bord par rapport au 8.3.1.</w:t>
            </w:r>
          </w:p>
        </w:tc>
      </w:tr>
      <w:tr w:rsidR="007D70C8" w:rsidTr="007D70C8">
        <w:trPr>
          <w:jc w:val="center"/>
        </w:trPr>
        <w:tc>
          <w:tcPr>
            <w:tcW w:w="2409" w:type="dxa"/>
            <w:shd w:val="clear" w:color="auto" w:fill="auto"/>
          </w:tcPr>
          <w:p w:rsidR="007D70C8" w:rsidRPr="007D70C8" w:rsidRDefault="007D70C8" w:rsidP="007D70C8">
            <w:pPr>
              <w:spacing w:before="60" w:after="60"/>
              <w:ind w:left="113"/>
              <w:rPr>
                <w:b/>
                <w:lang w:val="fr-FR"/>
              </w:rPr>
            </w:pPr>
            <w:r w:rsidRPr="007D70C8">
              <w:rPr>
                <w:b/>
                <w:lang w:val="fr-FR"/>
              </w:rPr>
              <w:t>Mesures à prendre :</w:t>
            </w:r>
          </w:p>
        </w:tc>
        <w:tc>
          <w:tcPr>
            <w:tcW w:w="7228" w:type="dxa"/>
            <w:shd w:val="clear" w:color="auto" w:fill="auto"/>
          </w:tcPr>
          <w:p w:rsidR="007D70C8" w:rsidRPr="007D70C8" w:rsidRDefault="007D70C8" w:rsidP="007D70C8">
            <w:pPr>
              <w:spacing w:before="60" w:after="60"/>
              <w:ind w:left="113"/>
              <w:rPr>
                <w:lang w:val="fr-FR" w:eastAsia="fr-FR" w:bidi="fr-FR"/>
              </w:rPr>
            </w:pPr>
            <w:r w:rsidRPr="007D70C8">
              <w:rPr>
                <w:lang w:val="fr-FR" w:eastAsia="fr-FR" w:bidi="fr-FR"/>
              </w:rPr>
              <w:t xml:space="preserve">Modification du 8.3.1.1 </w:t>
            </w:r>
            <w:r w:rsidR="00066DA9">
              <w:rPr>
                <w:lang w:val="fr-FR" w:eastAsia="fr-FR" w:bidi="fr-FR"/>
              </w:rPr>
              <w:t>de l'</w:t>
            </w:r>
            <w:r w:rsidRPr="007D70C8">
              <w:rPr>
                <w:lang w:val="fr-FR" w:eastAsia="fr-FR" w:bidi="fr-FR"/>
              </w:rPr>
              <w:t xml:space="preserve">ADN par incorporation d’un renvoi à la Partie 7 </w:t>
            </w:r>
            <w:r w:rsidR="00066DA9">
              <w:rPr>
                <w:lang w:val="fr-FR" w:eastAsia="fr-FR" w:bidi="fr-FR"/>
              </w:rPr>
              <w:t>de l'</w:t>
            </w:r>
            <w:r w:rsidRPr="007D70C8">
              <w:rPr>
                <w:lang w:val="fr-FR" w:eastAsia="fr-FR" w:bidi="fr-FR"/>
              </w:rPr>
              <w:t>ADN.</w:t>
            </w:r>
          </w:p>
        </w:tc>
      </w:tr>
      <w:tr w:rsidR="007D70C8" w:rsidTr="007D70C8">
        <w:trPr>
          <w:jc w:val="center"/>
        </w:trPr>
        <w:tc>
          <w:tcPr>
            <w:tcW w:w="2409" w:type="dxa"/>
            <w:shd w:val="clear" w:color="auto" w:fill="auto"/>
          </w:tcPr>
          <w:p w:rsidR="007D70C8" w:rsidRPr="007D70C8" w:rsidRDefault="007D70C8" w:rsidP="007D70C8">
            <w:pPr>
              <w:spacing w:before="60" w:after="60"/>
              <w:ind w:left="113"/>
              <w:rPr>
                <w:b/>
                <w:lang w:val="fr-FR"/>
              </w:rPr>
            </w:pPr>
            <w:r w:rsidRPr="007D70C8">
              <w:rPr>
                <w:b/>
                <w:lang w:val="fr-FR"/>
              </w:rPr>
              <w:t>Documents connexes :</w:t>
            </w:r>
          </w:p>
        </w:tc>
        <w:tc>
          <w:tcPr>
            <w:tcW w:w="7228" w:type="dxa"/>
            <w:shd w:val="clear" w:color="auto" w:fill="auto"/>
          </w:tcPr>
          <w:p w:rsidR="007D70C8" w:rsidRPr="007D70C8" w:rsidRDefault="007D70C8" w:rsidP="007D70C8">
            <w:pPr>
              <w:spacing w:before="60" w:after="60"/>
              <w:ind w:left="113"/>
              <w:rPr>
                <w:lang w:val="fr-FR" w:eastAsia="fr-FR" w:bidi="fr-FR"/>
              </w:rPr>
            </w:pPr>
            <w:r w:rsidRPr="007D70C8">
              <w:rPr>
                <w:lang w:val="fr-FR" w:eastAsia="fr-FR" w:bidi="fr-FR"/>
              </w:rPr>
              <w:t>Aucun</w:t>
            </w:r>
            <w:r w:rsidR="00066DA9">
              <w:rPr>
                <w:lang w:val="fr-FR" w:eastAsia="fr-FR" w:bidi="fr-FR"/>
              </w:rPr>
              <w:t>.</w:t>
            </w:r>
          </w:p>
        </w:tc>
      </w:tr>
      <w:tr w:rsidR="007D70C8" w:rsidTr="007D70C8">
        <w:trPr>
          <w:jc w:val="center"/>
        </w:trPr>
        <w:tc>
          <w:tcPr>
            <w:tcW w:w="9637" w:type="dxa"/>
            <w:gridSpan w:val="2"/>
            <w:shd w:val="clear" w:color="auto" w:fill="auto"/>
          </w:tcPr>
          <w:p w:rsidR="007D70C8" w:rsidRDefault="007D70C8" w:rsidP="007D70C8">
            <w:pPr>
              <w:rPr>
                <w:lang w:val="fr-FR" w:eastAsia="fr-FR" w:bidi="fr-FR"/>
              </w:rPr>
            </w:pPr>
          </w:p>
        </w:tc>
      </w:tr>
    </w:tbl>
    <w:p w:rsidR="007D70C8" w:rsidRPr="007D70C8" w:rsidRDefault="007D70C8" w:rsidP="007D70C8">
      <w:pPr>
        <w:pStyle w:val="HChG"/>
        <w:rPr>
          <w:lang w:val="fr-FR" w:eastAsia="de-DE" w:bidi="fr-FR"/>
        </w:rPr>
      </w:pPr>
      <w:r>
        <w:rPr>
          <w:lang w:val="fr-FR" w:eastAsia="de-DE" w:bidi="fr-FR"/>
        </w:rPr>
        <w:lastRenderedPageBreak/>
        <w:tab/>
      </w:r>
      <w:r>
        <w:rPr>
          <w:lang w:val="fr-FR" w:eastAsia="de-DE" w:bidi="fr-FR"/>
        </w:rPr>
        <w:tab/>
      </w:r>
      <w:r w:rsidRPr="007D70C8">
        <w:rPr>
          <w:lang w:val="fr-FR" w:eastAsia="de-DE" w:bidi="fr-FR"/>
        </w:rPr>
        <w:t>Introduction</w:t>
      </w:r>
    </w:p>
    <w:p w:rsidR="007D70C8" w:rsidRPr="007D70C8" w:rsidRDefault="007D70C8" w:rsidP="007D70C8">
      <w:pPr>
        <w:pStyle w:val="SingleTxtG"/>
        <w:rPr>
          <w:lang w:val="fr-FR" w:eastAsia="de-DE" w:bidi="fr-FR"/>
        </w:rPr>
      </w:pPr>
      <w:r w:rsidRPr="007D70C8">
        <w:rPr>
          <w:lang w:val="fr-FR" w:eastAsia="de-DE" w:bidi="fr-FR"/>
        </w:rPr>
        <w:t>1.</w:t>
      </w:r>
      <w:r w:rsidRPr="007D70C8">
        <w:rPr>
          <w:lang w:val="fr-FR" w:eastAsia="de-DE" w:bidi="fr-FR"/>
        </w:rPr>
        <w:tab/>
        <w:t>Le 8.3.1 contient des dispositions détaillées concernant les personnes autorisées à bord de bateaux à marchandises sèches et de bateaux-citernes qui transportent des marchandises dangereuses.</w:t>
      </w:r>
    </w:p>
    <w:p w:rsidR="007D70C8" w:rsidRPr="007D70C8" w:rsidRDefault="007D70C8" w:rsidP="007D70C8">
      <w:pPr>
        <w:pStyle w:val="SingleTxtG"/>
        <w:rPr>
          <w:lang w:val="fr-FR" w:eastAsia="de-DE" w:bidi="fr-FR"/>
        </w:rPr>
      </w:pPr>
      <w:r w:rsidRPr="007D70C8">
        <w:rPr>
          <w:lang w:val="fr-FR" w:eastAsia="de-DE" w:bidi="fr-FR"/>
        </w:rPr>
        <w:t>2.</w:t>
      </w:r>
      <w:r w:rsidRPr="007D70C8">
        <w:rPr>
          <w:lang w:val="fr-FR" w:eastAsia="de-DE" w:bidi="fr-FR"/>
        </w:rPr>
        <w:tab/>
        <w:t>Le 7.1.4.14.7.1.3, qui a été incorporé ultérieurement à l’ADN, contient une réglementation plus spécifique pour le cas du transport de matières radioactives :</w:t>
      </w:r>
    </w:p>
    <w:p w:rsidR="007D70C8" w:rsidRPr="007D70C8" w:rsidRDefault="007D70C8" w:rsidP="007D70C8">
      <w:pPr>
        <w:pStyle w:val="SingleTxtG"/>
        <w:rPr>
          <w:i/>
          <w:lang w:val="fr-FR" w:eastAsia="de-DE" w:bidi="fr-FR"/>
        </w:rPr>
      </w:pPr>
      <w:r>
        <w:rPr>
          <w:i/>
          <w:lang w:val="fr-FR" w:eastAsia="de-DE" w:bidi="fr-FR"/>
        </w:rPr>
        <w:t>«</w:t>
      </w:r>
      <w:r w:rsidRPr="007D70C8">
        <w:rPr>
          <w:i/>
          <w:lang w:val="fr-FR" w:eastAsia="de-DE" w:bidi="fr-FR"/>
        </w:rPr>
        <w:t>La présence d'aucune personne autre que le conducteur du bateau ou du véhicule embarqué et les autres membres de l'équipage ne doit être autorisée dans les bateaux transportant des colis, des suremballages ou des conteneurs portant des étiquettes des ca</w:t>
      </w:r>
      <w:r>
        <w:rPr>
          <w:i/>
          <w:lang w:val="fr-FR" w:eastAsia="de-DE" w:bidi="fr-FR"/>
        </w:rPr>
        <w:t>tégories II-JAUNE ou III-JAUNE.</w:t>
      </w:r>
      <w:r w:rsidRPr="007D70C8">
        <w:rPr>
          <w:i/>
          <w:lang w:val="fr-FR" w:eastAsia="de-DE" w:bidi="fr-FR"/>
        </w:rPr>
        <w:t>»</w:t>
      </w:r>
    </w:p>
    <w:p w:rsidR="007D70C8" w:rsidRPr="007D70C8" w:rsidRDefault="007D70C8" w:rsidP="007D70C8">
      <w:pPr>
        <w:pStyle w:val="HChG"/>
        <w:rPr>
          <w:lang w:val="fr-FR" w:eastAsia="de-DE" w:bidi="fr-FR"/>
        </w:rPr>
      </w:pPr>
      <w:r>
        <w:rPr>
          <w:lang w:val="fr-FR" w:eastAsia="de-DE" w:bidi="fr-FR"/>
        </w:rPr>
        <w:tab/>
      </w:r>
      <w:r>
        <w:rPr>
          <w:lang w:val="fr-FR" w:eastAsia="de-DE" w:bidi="fr-FR"/>
        </w:rPr>
        <w:tab/>
      </w:r>
      <w:r w:rsidRPr="007D70C8">
        <w:rPr>
          <w:lang w:val="fr-FR" w:eastAsia="de-DE" w:bidi="fr-FR"/>
        </w:rPr>
        <w:t>Proposition de modification</w:t>
      </w:r>
    </w:p>
    <w:p w:rsidR="007D70C8" w:rsidRPr="007D70C8" w:rsidRDefault="007D70C8" w:rsidP="007D70C8">
      <w:pPr>
        <w:pStyle w:val="SingleTxtG"/>
        <w:rPr>
          <w:bCs/>
          <w:lang w:val="fr-FR" w:eastAsia="de-DE" w:bidi="fr-FR"/>
        </w:rPr>
      </w:pPr>
      <w:r w:rsidRPr="007D70C8">
        <w:rPr>
          <w:bCs/>
          <w:lang w:val="fr-FR" w:eastAsia="de-DE" w:bidi="fr-FR"/>
        </w:rPr>
        <w:t xml:space="preserve">(Suppressions: texte </w:t>
      </w:r>
      <w:r w:rsidRPr="007D70C8">
        <w:rPr>
          <w:bCs/>
          <w:strike/>
          <w:lang w:val="fr-FR" w:eastAsia="de-DE" w:bidi="fr-FR"/>
        </w:rPr>
        <w:t>barré</w:t>
      </w:r>
      <w:r w:rsidRPr="007D70C8">
        <w:rPr>
          <w:bCs/>
          <w:lang w:val="fr-FR" w:eastAsia="de-DE" w:bidi="fr-FR"/>
        </w:rPr>
        <w:t xml:space="preserve">, </w:t>
      </w:r>
      <w:r w:rsidRPr="007D70C8">
        <w:rPr>
          <w:lang w:val="fr-FR" w:eastAsia="de-DE" w:bidi="fr-FR"/>
        </w:rPr>
        <w:t xml:space="preserve">le nouveau texte est </w:t>
      </w:r>
      <w:r w:rsidRPr="007D70C8">
        <w:rPr>
          <w:u w:val="single"/>
          <w:lang w:val="fr-FR" w:eastAsia="de-DE" w:bidi="fr-FR"/>
        </w:rPr>
        <w:t>souligné</w:t>
      </w:r>
      <w:r w:rsidRPr="007D70C8">
        <w:rPr>
          <w:bCs/>
          <w:lang w:val="fr-FR" w:eastAsia="de-DE" w:bidi="fr-FR"/>
        </w:rPr>
        <w:t>)</w:t>
      </w:r>
    </w:p>
    <w:p w:rsidR="007D70C8" w:rsidRPr="007D70C8" w:rsidRDefault="007D70C8" w:rsidP="007D70C8">
      <w:pPr>
        <w:pStyle w:val="SingleTxtG"/>
        <w:rPr>
          <w:lang w:val="fr-FR" w:eastAsia="de-DE" w:bidi="fr-FR"/>
        </w:rPr>
      </w:pPr>
      <w:r w:rsidRPr="007D70C8">
        <w:rPr>
          <w:lang w:val="fr-FR" w:eastAsia="de-DE" w:bidi="fr-FR"/>
        </w:rPr>
        <w:t>3.</w:t>
      </w:r>
      <w:r w:rsidRPr="007D70C8">
        <w:rPr>
          <w:lang w:val="fr-FR" w:eastAsia="de-DE" w:bidi="fr-FR"/>
        </w:rPr>
        <w:tab/>
        <w:t>L‘Allemagne propose de modifier le 8.3.1.1 comme suit :</w:t>
      </w:r>
    </w:p>
    <w:p w:rsidR="007D70C8" w:rsidRPr="007D70C8" w:rsidRDefault="007D70C8" w:rsidP="00B23236">
      <w:pPr>
        <w:pStyle w:val="SingleTxtG"/>
        <w:ind w:left="1701"/>
        <w:rPr>
          <w:lang w:val="fr-FR" w:eastAsia="de-DE" w:bidi="fr-FR"/>
        </w:rPr>
      </w:pPr>
      <w:r w:rsidRPr="007D70C8">
        <w:rPr>
          <w:b/>
          <w:lang w:val="fr-FR" w:eastAsia="de-DE" w:bidi="fr-FR"/>
        </w:rPr>
        <w:t>8.3.1.1</w:t>
      </w:r>
      <w:r w:rsidRPr="007D70C8">
        <w:rPr>
          <w:lang w:val="fr-FR" w:eastAsia="de-DE" w:bidi="fr-FR"/>
        </w:rPr>
        <w:tab/>
      </w:r>
      <w:r w:rsidRPr="007D70C8">
        <w:rPr>
          <w:u w:val="single"/>
          <w:lang w:val="fr-FR" w:eastAsia="de-DE" w:bidi="fr-FR"/>
        </w:rPr>
        <w:tab/>
        <w:t>Sau</w:t>
      </w:r>
      <w:bookmarkStart w:id="0" w:name="_GoBack"/>
      <w:bookmarkEnd w:id="0"/>
      <w:r w:rsidRPr="007D70C8">
        <w:rPr>
          <w:u w:val="single"/>
          <w:lang w:val="fr-FR" w:eastAsia="de-DE" w:bidi="fr-FR"/>
        </w:rPr>
        <w:t>f disposition contraire dans la Partie 7</w:t>
      </w:r>
      <w:r w:rsidRPr="007D70C8">
        <w:rPr>
          <w:lang w:val="fr-FR" w:eastAsia="de-DE" w:bidi="fr-FR"/>
        </w:rPr>
        <w:t>,</w:t>
      </w:r>
      <w:r w:rsidRPr="007D70C8">
        <w:rPr>
          <w:strike/>
          <w:lang w:val="fr-FR" w:eastAsia="de-DE" w:bidi="fr-FR"/>
        </w:rPr>
        <w:t>Ne</w:t>
      </w:r>
      <w:r w:rsidRPr="007D70C8">
        <w:rPr>
          <w:lang w:val="fr-FR" w:eastAsia="de-DE" w:bidi="fr-FR"/>
        </w:rPr>
        <w:t xml:space="preserve"> </w:t>
      </w:r>
      <w:r w:rsidRPr="007D70C8">
        <w:rPr>
          <w:u w:val="single"/>
          <w:lang w:val="fr-FR" w:eastAsia="de-DE" w:bidi="fr-FR"/>
        </w:rPr>
        <w:t>ne</w:t>
      </w:r>
      <w:r w:rsidRPr="007D70C8">
        <w:rPr>
          <w:lang w:val="fr-FR" w:eastAsia="de-DE" w:bidi="fr-FR"/>
        </w:rPr>
        <w:t xml:space="preserve"> sont autorisés à bord que :</w:t>
      </w:r>
    </w:p>
    <w:p w:rsidR="007D70C8" w:rsidRPr="007D70C8" w:rsidRDefault="007D70C8" w:rsidP="007D70C8">
      <w:pPr>
        <w:pStyle w:val="SingleTxtG"/>
        <w:ind w:left="2835" w:hanging="567"/>
        <w:rPr>
          <w:lang w:val="fr-FR" w:eastAsia="de-DE" w:bidi="fr-FR"/>
        </w:rPr>
      </w:pPr>
      <w:r w:rsidRPr="007D70C8">
        <w:rPr>
          <w:lang w:val="fr-FR" w:eastAsia="de-DE" w:bidi="fr-FR"/>
        </w:rPr>
        <w:t>a)</w:t>
      </w:r>
      <w:r w:rsidRPr="007D70C8">
        <w:rPr>
          <w:lang w:val="fr-FR" w:eastAsia="de-DE" w:bidi="fr-FR"/>
        </w:rPr>
        <w:tab/>
        <w:t>les membres de l'équipage;</w:t>
      </w:r>
    </w:p>
    <w:p w:rsidR="007D70C8" w:rsidRPr="007D70C8" w:rsidRDefault="007D70C8" w:rsidP="007D70C8">
      <w:pPr>
        <w:pStyle w:val="SingleTxtG"/>
        <w:ind w:left="2835" w:hanging="567"/>
        <w:rPr>
          <w:lang w:val="fr-FR" w:eastAsia="de-DE" w:bidi="fr-FR"/>
        </w:rPr>
      </w:pPr>
      <w:r w:rsidRPr="007D70C8">
        <w:rPr>
          <w:lang w:val="fr-FR" w:eastAsia="de-DE" w:bidi="fr-FR"/>
        </w:rPr>
        <w:t>b)</w:t>
      </w:r>
      <w:r w:rsidRPr="007D70C8">
        <w:rPr>
          <w:lang w:val="fr-FR" w:eastAsia="de-DE" w:bidi="fr-FR"/>
        </w:rPr>
        <w:tab/>
        <w:t>les personnes qui, bien que n'étant pas membres de l'équipage, vivent normalement à bord;</w:t>
      </w:r>
    </w:p>
    <w:p w:rsidR="007D70C8" w:rsidRPr="007D70C8" w:rsidRDefault="007D70C8" w:rsidP="007D70C8">
      <w:pPr>
        <w:pStyle w:val="SingleTxtG"/>
        <w:ind w:left="2835" w:hanging="567"/>
        <w:rPr>
          <w:lang w:val="fr-FR" w:eastAsia="de-DE" w:bidi="fr-FR"/>
        </w:rPr>
      </w:pPr>
      <w:r w:rsidRPr="007D70C8">
        <w:rPr>
          <w:lang w:val="fr-FR" w:eastAsia="de-DE" w:bidi="fr-FR"/>
        </w:rPr>
        <w:t>c)</w:t>
      </w:r>
      <w:r w:rsidRPr="007D70C8">
        <w:rPr>
          <w:lang w:val="fr-FR" w:eastAsia="de-DE" w:bidi="fr-FR"/>
        </w:rPr>
        <w:tab/>
        <w:t>les personnes qui sont à bord pour raison de service.</w:t>
      </w:r>
    </w:p>
    <w:p w:rsidR="007D70C8" w:rsidRPr="007D70C8" w:rsidRDefault="007D70C8" w:rsidP="007D70C8">
      <w:pPr>
        <w:pStyle w:val="HChG"/>
        <w:rPr>
          <w:lang w:val="fr-FR" w:eastAsia="de-DE" w:bidi="fr-FR"/>
        </w:rPr>
      </w:pPr>
      <w:r>
        <w:rPr>
          <w:lang w:val="fr-FR" w:eastAsia="de-DE" w:bidi="fr-FR"/>
        </w:rPr>
        <w:tab/>
      </w:r>
      <w:r>
        <w:rPr>
          <w:lang w:val="fr-FR" w:eastAsia="de-DE" w:bidi="fr-FR"/>
        </w:rPr>
        <w:tab/>
      </w:r>
      <w:r w:rsidRPr="007D70C8">
        <w:rPr>
          <w:lang w:val="fr-FR" w:eastAsia="de-DE" w:bidi="fr-FR"/>
        </w:rPr>
        <w:t>Motif</w:t>
      </w:r>
    </w:p>
    <w:p w:rsidR="007D70C8" w:rsidRPr="007D70C8" w:rsidRDefault="007D70C8" w:rsidP="007D70C8">
      <w:pPr>
        <w:pStyle w:val="SingleTxtG"/>
        <w:rPr>
          <w:lang w:val="fr-FR" w:eastAsia="de-DE" w:bidi="fr-FR"/>
        </w:rPr>
      </w:pPr>
      <w:r w:rsidRPr="007D70C8">
        <w:rPr>
          <w:lang w:val="fr-FR" w:eastAsia="de-DE" w:bidi="fr-FR"/>
        </w:rPr>
        <w:t>4.</w:t>
      </w:r>
      <w:r w:rsidRPr="007D70C8">
        <w:rPr>
          <w:lang w:val="fr-FR" w:eastAsia="de-DE" w:bidi="fr-FR"/>
        </w:rPr>
        <w:tab/>
        <w:t>Suppression de réglementations contradictoires, remplacement par la mention claire de l’éventualité de réglementations plus spécifiques, comme ici pour le transport de matières radioactives.</w:t>
      </w:r>
    </w:p>
    <w:p w:rsidR="007D70C8" w:rsidRPr="007D70C8" w:rsidRDefault="007D70C8" w:rsidP="007D70C8">
      <w:pPr>
        <w:pStyle w:val="SingleTxtG"/>
        <w:rPr>
          <w:lang w:val="fr-FR" w:eastAsia="de-DE" w:bidi="fr-FR"/>
        </w:rPr>
      </w:pPr>
      <w:r w:rsidRPr="007D70C8">
        <w:rPr>
          <w:lang w:val="fr-FR" w:eastAsia="de-DE" w:bidi="fr-FR"/>
        </w:rPr>
        <w:t>5.</w:t>
      </w:r>
      <w:r w:rsidRPr="007D70C8">
        <w:rPr>
          <w:lang w:val="fr-FR" w:eastAsia="de-DE" w:bidi="fr-FR"/>
        </w:rPr>
        <w:tab/>
        <w:t>Il faudrait éviter de renvoyer à un point particulier de la Partie 7, afin de ne pas devoir effectuer de manière répétée des modifications dans la Partie 8 en cas d’éventuels compléments futurs dans la Partie 7.</w:t>
      </w:r>
    </w:p>
    <w:p w:rsidR="007D70C8" w:rsidRPr="007D70C8" w:rsidRDefault="007D70C8" w:rsidP="007D70C8">
      <w:pPr>
        <w:pStyle w:val="HChG"/>
        <w:rPr>
          <w:lang w:val="fr-FR" w:eastAsia="de-DE" w:bidi="fr-FR"/>
        </w:rPr>
      </w:pPr>
      <w:r>
        <w:rPr>
          <w:lang w:val="fr-FR" w:eastAsia="de-DE" w:bidi="fr-FR"/>
        </w:rPr>
        <w:tab/>
      </w:r>
      <w:r>
        <w:rPr>
          <w:lang w:val="fr-FR" w:eastAsia="de-DE" w:bidi="fr-FR"/>
        </w:rPr>
        <w:tab/>
      </w:r>
      <w:r w:rsidRPr="007D70C8">
        <w:rPr>
          <w:lang w:val="fr-FR" w:eastAsia="de-DE" w:bidi="fr-FR"/>
        </w:rPr>
        <w:t>Sécurité</w:t>
      </w:r>
    </w:p>
    <w:p w:rsidR="007D70C8" w:rsidRPr="007D70C8" w:rsidRDefault="007D70C8" w:rsidP="007D70C8">
      <w:pPr>
        <w:pStyle w:val="SingleTxtG"/>
        <w:rPr>
          <w:lang w:val="fr-FR" w:eastAsia="de-DE" w:bidi="fr-FR"/>
        </w:rPr>
      </w:pPr>
      <w:r w:rsidRPr="007D70C8">
        <w:rPr>
          <w:lang w:val="fr-FR" w:eastAsia="de-DE" w:bidi="fr-FR"/>
        </w:rPr>
        <w:t>6.</w:t>
      </w:r>
      <w:r w:rsidRPr="007D70C8">
        <w:rPr>
          <w:lang w:val="fr-FR" w:eastAsia="de-DE" w:bidi="fr-FR"/>
        </w:rPr>
        <w:tab/>
        <w:t>La sécurité du transport est améliorée si seules les personnes impérativement nécessaires à bord sont exposées à un risque du fait des matières radioactives.</w:t>
      </w:r>
    </w:p>
    <w:p w:rsidR="007D70C8" w:rsidRPr="007D70C8" w:rsidRDefault="007D70C8" w:rsidP="007D70C8">
      <w:pPr>
        <w:pStyle w:val="HChG"/>
        <w:rPr>
          <w:lang w:val="fr-FR" w:eastAsia="de-DE" w:bidi="fr-FR"/>
        </w:rPr>
      </w:pPr>
      <w:r>
        <w:rPr>
          <w:lang w:val="fr-FR" w:eastAsia="de-DE" w:bidi="fr-FR"/>
        </w:rPr>
        <w:tab/>
      </w:r>
      <w:r>
        <w:rPr>
          <w:lang w:val="fr-FR" w:eastAsia="de-DE" w:bidi="fr-FR"/>
        </w:rPr>
        <w:tab/>
      </w:r>
      <w:r w:rsidRPr="007D70C8">
        <w:rPr>
          <w:lang w:val="fr-FR" w:eastAsia="de-DE" w:bidi="fr-FR"/>
        </w:rPr>
        <w:t>Mise en œuvre</w:t>
      </w:r>
    </w:p>
    <w:p w:rsidR="007D70C8" w:rsidRPr="007D70C8" w:rsidRDefault="007D70C8" w:rsidP="007D70C8">
      <w:pPr>
        <w:pStyle w:val="SingleTxtG"/>
        <w:rPr>
          <w:lang w:val="fr-FR" w:eastAsia="de-DE" w:bidi="fr-FR"/>
        </w:rPr>
      </w:pPr>
      <w:r w:rsidRPr="007D70C8">
        <w:rPr>
          <w:lang w:val="fr-FR" w:eastAsia="de-DE" w:bidi="fr-FR"/>
        </w:rPr>
        <w:t>7.</w:t>
      </w:r>
      <w:r w:rsidRPr="007D70C8">
        <w:rPr>
          <w:lang w:val="fr-FR" w:eastAsia="de-DE" w:bidi="fr-FR"/>
        </w:rPr>
        <w:tab/>
        <w:t>On ne s’attend à aucune difficulté de mise en œuvre.</w:t>
      </w:r>
    </w:p>
    <w:p w:rsidR="00191B0F" w:rsidRPr="00191B0F" w:rsidRDefault="00191B0F" w:rsidP="00191B0F">
      <w:pPr>
        <w:pStyle w:val="SingleTxtG"/>
        <w:spacing w:before="240" w:after="0"/>
        <w:jc w:val="center"/>
        <w:rPr>
          <w:u w:val="single"/>
          <w:lang w:val="fr-FR" w:eastAsia="de-DE"/>
        </w:rPr>
      </w:pPr>
      <w:r>
        <w:rPr>
          <w:u w:val="single"/>
          <w:lang w:val="fr-FR" w:eastAsia="de-DE"/>
        </w:rPr>
        <w:tab/>
      </w:r>
      <w:r>
        <w:rPr>
          <w:u w:val="single"/>
          <w:lang w:val="fr-FR" w:eastAsia="de-DE"/>
        </w:rPr>
        <w:tab/>
      </w:r>
      <w:r>
        <w:rPr>
          <w:u w:val="single"/>
          <w:lang w:val="fr-FR" w:eastAsia="de-DE"/>
        </w:rPr>
        <w:tab/>
      </w:r>
    </w:p>
    <w:sectPr w:rsidR="00191B0F" w:rsidRPr="00191B0F" w:rsidSect="00BD44C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32B" w:rsidRDefault="0061732B"/>
  </w:endnote>
  <w:endnote w:type="continuationSeparator" w:id="0">
    <w:p w:rsidR="0061732B" w:rsidRDefault="0061732B"/>
  </w:endnote>
  <w:endnote w:type="continuationNotice" w:id="1">
    <w:p w:rsidR="0061732B" w:rsidRPr="00BF38EF" w:rsidRDefault="0061732B"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B23236">
      <w:rPr>
        <w:b/>
        <w:noProof/>
        <w:sz w:val="18"/>
      </w:rPr>
      <w:t>2</w:t>
    </w:r>
    <w:r w:rsidRPr="00CD4281">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7D70C8">
      <w:rPr>
        <w:b/>
        <w:noProof/>
        <w:sz w:val="18"/>
      </w:rPr>
      <w:t>3</w:t>
    </w:r>
    <w:r w:rsidRPr="00CD42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pPr>
      <w:pStyle w:val="Footer"/>
      <w:rPr>
        <w:sz w:val="20"/>
      </w:rPr>
    </w:pPr>
    <w:r>
      <w:rPr>
        <w:sz w:val="20"/>
      </w:rPr>
      <w:t>GE.</w:t>
    </w:r>
    <w:r w:rsidR="00523538">
      <w:rPr>
        <w:noProof/>
        <w:lang w:val="fr-FR" w:eastAsia="fr-FR"/>
      </w:rPr>
      <w:drawing>
        <wp:anchor distT="0" distB="0" distL="114300" distR="114300" simplePos="0" relativeHeight="251657728" behindDoc="0" locked="0" layoutInCell="1" allowOverlap="1">
          <wp:simplePos x="0" y="0"/>
          <wp:positionH relativeFrom="column">
            <wp:posOffset>5040630</wp:posOffset>
          </wp:positionH>
          <wp:positionV relativeFrom="line">
            <wp:posOffset>-107950</wp:posOffset>
          </wp:positionV>
          <wp:extent cx="1104265" cy="233045"/>
          <wp:effectExtent l="0" t="0" r="635"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074">
      <w:rPr>
        <w:sz w:val="20"/>
      </w:rPr>
      <w:t>1</w:t>
    </w:r>
    <w:r w:rsidR="006B6C93">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32B" w:rsidRPr="00D27D5E" w:rsidRDefault="0061732B" w:rsidP="00D27D5E">
      <w:pPr>
        <w:tabs>
          <w:tab w:val="right" w:pos="2155"/>
        </w:tabs>
        <w:spacing w:after="80"/>
        <w:ind w:left="680"/>
        <w:rPr>
          <w:u w:val="single"/>
        </w:rPr>
      </w:pPr>
      <w:r>
        <w:rPr>
          <w:u w:val="single"/>
        </w:rPr>
        <w:tab/>
      </w:r>
    </w:p>
  </w:footnote>
  <w:footnote w:type="continuationSeparator" w:id="0">
    <w:p w:rsidR="0061732B" w:rsidRPr="00836A24" w:rsidRDefault="0061732B" w:rsidP="00836A24">
      <w:pPr>
        <w:tabs>
          <w:tab w:val="right" w:pos="2155"/>
        </w:tabs>
        <w:spacing w:after="80"/>
        <w:ind w:left="680"/>
        <w:rPr>
          <w:u w:val="single"/>
        </w:rPr>
      </w:pPr>
      <w:r w:rsidRPr="00836A24">
        <w:rPr>
          <w:u w:val="single"/>
        </w:rPr>
        <w:tab/>
      </w:r>
    </w:p>
  </w:footnote>
  <w:footnote w:type="continuationNotice" w:id="1">
    <w:p w:rsidR="0061732B" w:rsidRPr="00BF38EF" w:rsidRDefault="0061732B" w:rsidP="00BF38EF">
      <w:pPr>
        <w:spacing w:line="240" w:lineRule="auto"/>
        <w:rPr>
          <w:sz w:val="2"/>
          <w:szCs w:val="2"/>
        </w:rPr>
      </w:pPr>
    </w:p>
  </w:footnote>
  <w:footnote w:id="2">
    <w:p w:rsidR="00C26F66" w:rsidRPr="00F337B3" w:rsidRDefault="00D64213" w:rsidP="00D64213">
      <w:pPr>
        <w:pStyle w:val="FootnoteText"/>
      </w:pPr>
      <w:r>
        <w:rPr>
          <w:szCs w:val="24"/>
        </w:rPr>
        <w:tab/>
      </w:r>
      <w:r w:rsidR="00C26F66" w:rsidRPr="00F337B3">
        <w:rPr>
          <w:rStyle w:val="FootnoteReference"/>
          <w:szCs w:val="24"/>
        </w:rPr>
        <w:footnoteRef/>
      </w:r>
      <w:r w:rsidR="00C26F66" w:rsidRPr="00F337B3">
        <w:rPr>
          <w:szCs w:val="24"/>
        </w:rPr>
        <w:tab/>
      </w:r>
      <w:r w:rsidR="00C26F66" w:rsidRPr="00F337B3">
        <w:t xml:space="preserve">Diffusé en langue </w:t>
      </w:r>
      <w:r w:rsidR="00C26F66" w:rsidRPr="00D64213">
        <w:t>allemande</w:t>
      </w:r>
      <w:r w:rsidR="00C26F66" w:rsidRPr="00F337B3">
        <w:t xml:space="preserve"> par la Commission centrale pour la navigation du Rhin sous la cote</w:t>
      </w:r>
      <w:r w:rsidR="00C26F66">
        <w:t xml:space="preserve"> CCNR/ZKR/ADN/WP.15/AC.2/201</w:t>
      </w:r>
      <w:r w:rsidR="00CB0B63">
        <w:t>6</w:t>
      </w:r>
      <w:r w:rsidR="00C26F66">
        <w:t>/</w:t>
      </w:r>
      <w:r w:rsidR="007D70C8">
        <w:t>10</w:t>
      </w:r>
      <w:r w:rsidR="00C26F66" w:rsidRPr="00F337B3">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263074">
    <w:pPr>
      <w:pStyle w:val="Header"/>
    </w:pPr>
    <w:r>
      <w:t>ECE/TRANS/WP.15/AC.2/201</w:t>
    </w:r>
    <w:r w:rsidR="00CB0B63">
      <w:t>6</w:t>
    </w:r>
    <w:r w:rsidR="006B6C93">
      <w:t>/</w:t>
    </w:r>
    <w:r w:rsidR="007D70C8">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AA4C53" w:rsidP="00CD4281">
    <w:pPr>
      <w:pStyle w:val="Header"/>
      <w:jc w:val="right"/>
    </w:pPr>
    <w:r>
      <w:t>ECE/TRANS/WP.15/AC.2/2015</w:t>
    </w:r>
    <w:r w:rsidR="00812C43">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9571F96"/>
    <w:multiLevelType w:val="hybridMultilevel"/>
    <w:tmpl w:val="D58CD566"/>
    <w:lvl w:ilvl="0" w:tplc="E5E2B3DE">
      <w:start w:val="2"/>
      <w:numFmt w:val="bullet"/>
      <w:lvlText w:val="•"/>
      <w:lvlJc w:val="left"/>
      <w:pPr>
        <w:ind w:left="2772" w:hanging="360"/>
      </w:pPr>
      <w:rPr>
        <w:rFonts w:ascii="Arial" w:eastAsia="Calibri" w:hAnsi="Arial" w:cs="Arial" w:hint="default"/>
      </w:rPr>
    </w:lvl>
    <w:lvl w:ilvl="1" w:tplc="04070003" w:tentative="1">
      <w:start w:val="1"/>
      <w:numFmt w:val="bullet"/>
      <w:lvlText w:val="o"/>
      <w:lvlJc w:val="left"/>
      <w:pPr>
        <w:ind w:left="3492" w:hanging="360"/>
      </w:pPr>
      <w:rPr>
        <w:rFonts w:ascii="Courier New" w:hAnsi="Courier New" w:cs="Courier New" w:hint="default"/>
      </w:rPr>
    </w:lvl>
    <w:lvl w:ilvl="2" w:tplc="04070005" w:tentative="1">
      <w:start w:val="1"/>
      <w:numFmt w:val="bullet"/>
      <w:lvlText w:val=""/>
      <w:lvlJc w:val="left"/>
      <w:pPr>
        <w:ind w:left="4212" w:hanging="360"/>
      </w:pPr>
      <w:rPr>
        <w:rFonts w:ascii="Wingdings" w:hAnsi="Wingdings" w:hint="default"/>
      </w:rPr>
    </w:lvl>
    <w:lvl w:ilvl="3" w:tplc="04070001" w:tentative="1">
      <w:start w:val="1"/>
      <w:numFmt w:val="bullet"/>
      <w:lvlText w:val=""/>
      <w:lvlJc w:val="left"/>
      <w:pPr>
        <w:ind w:left="4932" w:hanging="360"/>
      </w:pPr>
      <w:rPr>
        <w:rFonts w:ascii="Symbol" w:hAnsi="Symbol" w:hint="default"/>
      </w:rPr>
    </w:lvl>
    <w:lvl w:ilvl="4" w:tplc="04070003" w:tentative="1">
      <w:start w:val="1"/>
      <w:numFmt w:val="bullet"/>
      <w:lvlText w:val="o"/>
      <w:lvlJc w:val="left"/>
      <w:pPr>
        <w:ind w:left="5652" w:hanging="360"/>
      </w:pPr>
      <w:rPr>
        <w:rFonts w:ascii="Courier New" w:hAnsi="Courier New" w:cs="Courier New" w:hint="default"/>
      </w:rPr>
    </w:lvl>
    <w:lvl w:ilvl="5" w:tplc="04070005" w:tentative="1">
      <w:start w:val="1"/>
      <w:numFmt w:val="bullet"/>
      <w:lvlText w:val=""/>
      <w:lvlJc w:val="left"/>
      <w:pPr>
        <w:ind w:left="6372" w:hanging="360"/>
      </w:pPr>
      <w:rPr>
        <w:rFonts w:ascii="Wingdings" w:hAnsi="Wingdings" w:hint="default"/>
      </w:rPr>
    </w:lvl>
    <w:lvl w:ilvl="6" w:tplc="04070001" w:tentative="1">
      <w:start w:val="1"/>
      <w:numFmt w:val="bullet"/>
      <w:lvlText w:val=""/>
      <w:lvlJc w:val="left"/>
      <w:pPr>
        <w:ind w:left="7092" w:hanging="360"/>
      </w:pPr>
      <w:rPr>
        <w:rFonts w:ascii="Symbol" w:hAnsi="Symbol" w:hint="default"/>
      </w:rPr>
    </w:lvl>
    <w:lvl w:ilvl="7" w:tplc="04070003" w:tentative="1">
      <w:start w:val="1"/>
      <w:numFmt w:val="bullet"/>
      <w:lvlText w:val="o"/>
      <w:lvlJc w:val="left"/>
      <w:pPr>
        <w:ind w:left="7812" w:hanging="360"/>
      </w:pPr>
      <w:rPr>
        <w:rFonts w:ascii="Courier New" w:hAnsi="Courier New" w:cs="Courier New" w:hint="default"/>
      </w:rPr>
    </w:lvl>
    <w:lvl w:ilvl="8" w:tplc="04070005" w:tentative="1">
      <w:start w:val="1"/>
      <w:numFmt w:val="bullet"/>
      <w:lvlText w:val=""/>
      <w:lvlJc w:val="left"/>
      <w:pPr>
        <w:ind w:left="8532"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3BBA7BD7"/>
    <w:multiLevelType w:val="hybridMultilevel"/>
    <w:tmpl w:val="46C2CE76"/>
    <w:lvl w:ilvl="0" w:tplc="41D4EDE0">
      <w:start w:val="5"/>
      <w:numFmt w:val="upperRoman"/>
      <w:lvlText w:val="%1."/>
      <w:lvlJc w:val="left"/>
      <w:pPr>
        <w:tabs>
          <w:tab w:val="num" w:pos="1848"/>
        </w:tabs>
        <w:ind w:left="1848" w:hanging="720"/>
      </w:pPr>
      <w:rPr>
        <w:rFonts w:hint="default"/>
      </w:rPr>
    </w:lvl>
    <w:lvl w:ilvl="1" w:tplc="040C0019" w:tentative="1">
      <w:start w:val="1"/>
      <w:numFmt w:val="lowerLetter"/>
      <w:lvlText w:val="%2."/>
      <w:lvlJc w:val="left"/>
      <w:pPr>
        <w:tabs>
          <w:tab w:val="num" w:pos="2208"/>
        </w:tabs>
        <w:ind w:left="2208" w:hanging="360"/>
      </w:pPr>
    </w:lvl>
    <w:lvl w:ilvl="2" w:tplc="040C001B" w:tentative="1">
      <w:start w:val="1"/>
      <w:numFmt w:val="lowerRoman"/>
      <w:lvlText w:val="%3."/>
      <w:lvlJc w:val="right"/>
      <w:pPr>
        <w:tabs>
          <w:tab w:val="num" w:pos="2928"/>
        </w:tabs>
        <w:ind w:left="2928" w:hanging="180"/>
      </w:pPr>
    </w:lvl>
    <w:lvl w:ilvl="3" w:tplc="040C000F" w:tentative="1">
      <w:start w:val="1"/>
      <w:numFmt w:val="decimal"/>
      <w:lvlText w:val="%4."/>
      <w:lvlJc w:val="left"/>
      <w:pPr>
        <w:tabs>
          <w:tab w:val="num" w:pos="3648"/>
        </w:tabs>
        <w:ind w:left="3648" w:hanging="360"/>
      </w:pPr>
    </w:lvl>
    <w:lvl w:ilvl="4" w:tplc="040C0019" w:tentative="1">
      <w:start w:val="1"/>
      <w:numFmt w:val="lowerLetter"/>
      <w:lvlText w:val="%5."/>
      <w:lvlJc w:val="left"/>
      <w:pPr>
        <w:tabs>
          <w:tab w:val="num" w:pos="4368"/>
        </w:tabs>
        <w:ind w:left="4368" w:hanging="360"/>
      </w:pPr>
    </w:lvl>
    <w:lvl w:ilvl="5" w:tplc="040C001B" w:tentative="1">
      <w:start w:val="1"/>
      <w:numFmt w:val="lowerRoman"/>
      <w:lvlText w:val="%6."/>
      <w:lvlJc w:val="right"/>
      <w:pPr>
        <w:tabs>
          <w:tab w:val="num" w:pos="5088"/>
        </w:tabs>
        <w:ind w:left="5088" w:hanging="180"/>
      </w:pPr>
    </w:lvl>
    <w:lvl w:ilvl="6" w:tplc="040C000F" w:tentative="1">
      <w:start w:val="1"/>
      <w:numFmt w:val="decimal"/>
      <w:lvlText w:val="%7."/>
      <w:lvlJc w:val="left"/>
      <w:pPr>
        <w:tabs>
          <w:tab w:val="num" w:pos="5808"/>
        </w:tabs>
        <w:ind w:left="5808" w:hanging="360"/>
      </w:pPr>
    </w:lvl>
    <w:lvl w:ilvl="7" w:tplc="040C0019" w:tentative="1">
      <w:start w:val="1"/>
      <w:numFmt w:val="lowerLetter"/>
      <w:lvlText w:val="%8."/>
      <w:lvlJc w:val="left"/>
      <w:pPr>
        <w:tabs>
          <w:tab w:val="num" w:pos="6528"/>
        </w:tabs>
        <w:ind w:left="6528" w:hanging="360"/>
      </w:pPr>
    </w:lvl>
    <w:lvl w:ilvl="8" w:tplc="040C001B" w:tentative="1">
      <w:start w:val="1"/>
      <w:numFmt w:val="lowerRoman"/>
      <w:lvlText w:val="%9."/>
      <w:lvlJc w:val="right"/>
      <w:pPr>
        <w:tabs>
          <w:tab w:val="num" w:pos="7248"/>
        </w:tabs>
        <w:ind w:left="7248" w:hanging="18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36"/>
    <w:rsid w:val="00016AC5"/>
    <w:rsid w:val="000229BE"/>
    <w:rsid w:val="00023FAD"/>
    <w:rsid w:val="00030ADE"/>
    <w:rsid w:val="000312C0"/>
    <w:rsid w:val="00066DA9"/>
    <w:rsid w:val="00075AF8"/>
    <w:rsid w:val="00090A5D"/>
    <w:rsid w:val="000A0D7D"/>
    <w:rsid w:val="000A55CE"/>
    <w:rsid w:val="000B0D4D"/>
    <w:rsid w:val="000B60CE"/>
    <w:rsid w:val="000D17BF"/>
    <w:rsid w:val="000F41F2"/>
    <w:rsid w:val="00103471"/>
    <w:rsid w:val="00111648"/>
    <w:rsid w:val="00114D3F"/>
    <w:rsid w:val="001260A6"/>
    <w:rsid w:val="00133F18"/>
    <w:rsid w:val="00135C0D"/>
    <w:rsid w:val="001542D1"/>
    <w:rsid w:val="00160540"/>
    <w:rsid w:val="001636E0"/>
    <w:rsid w:val="001701DC"/>
    <w:rsid w:val="0017182C"/>
    <w:rsid w:val="0017360A"/>
    <w:rsid w:val="00177007"/>
    <w:rsid w:val="001823D4"/>
    <w:rsid w:val="00186EE9"/>
    <w:rsid w:val="00191B0F"/>
    <w:rsid w:val="00192EEB"/>
    <w:rsid w:val="001947FF"/>
    <w:rsid w:val="001A20FB"/>
    <w:rsid w:val="001B0BE2"/>
    <w:rsid w:val="001B46BD"/>
    <w:rsid w:val="001B6F40"/>
    <w:rsid w:val="001C4184"/>
    <w:rsid w:val="001C61AA"/>
    <w:rsid w:val="001D7F8A"/>
    <w:rsid w:val="001E3FEB"/>
    <w:rsid w:val="001E4A02"/>
    <w:rsid w:val="00223B89"/>
    <w:rsid w:val="002255DD"/>
    <w:rsid w:val="00225A8C"/>
    <w:rsid w:val="00234E40"/>
    <w:rsid w:val="00251000"/>
    <w:rsid w:val="00263074"/>
    <w:rsid w:val="002659F1"/>
    <w:rsid w:val="00271AAD"/>
    <w:rsid w:val="00271C7C"/>
    <w:rsid w:val="00287E79"/>
    <w:rsid w:val="002928F9"/>
    <w:rsid w:val="002A5D07"/>
    <w:rsid w:val="002B4585"/>
    <w:rsid w:val="002B64EB"/>
    <w:rsid w:val="002C4C91"/>
    <w:rsid w:val="002D31AC"/>
    <w:rsid w:val="002D7669"/>
    <w:rsid w:val="002E6444"/>
    <w:rsid w:val="002E6F0D"/>
    <w:rsid w:val="003016B7"/>
    <w:rsid w:val="003044AA"/>
    <w:rsid w:val="00330F9C"/>
    <w:rsid w:val="00331156"/>
    <w:rsid w:val="00340C35"/>
    <w:rsid w:val="00343C15"/>
    <w:rsid w:val="003515AA"/>
    <w:rsid w:val="00364866"/>
    <w:rsid w:val="00370352"/>
    <w:rsid w:val="00370E0F"/>
    <w:rsid w:val="00374106"/>
    <w:rsid w:val="003976D5"/>
    <w:rsid w:val="003A2976"/>
    <w:rsid w:val="003C3BD4"/>
    <w:rsid w:val="003D1DF3"/>
    <w:rsid w:val="003D46A7"/>
    <w:rsid w:val="003D6C68"/>
    <w:rsid w:val="003E5551"/>
    <w:rsid w:val="004159D0"/>
    <w:rsid w:val="00416747"/>
    <w:rsid w:val="0042377E"/>
    <w:rsid w:val="004249E7"/>
    <w:rsid w:val="00426657"/>
    <w:rsid w:val="0043292F"/>
    <w:rsid w:val="00442D65"/>
    <w:rsid w:val="004532CE"/>
    <w:rsid w:val="00460C54"/>
    <w:rsid w:val="004812F5"/>
    <w:rsid w:val="004856F9"/>
    <w:rsid w:val="00493C5D"/>
    <w:rsid w:val="004958E9"/>
    <w:rsid w:val="00497E7A"/>
    <w:rsid w:val="004A5935"/>
    <w:rsid w:val="004D0439"/>
    <w:rsid w:val="004E6373"/>
    <w:rsid w:val="00523538"/>
    <w:rsid w:val="00530F2E"/>
    <w:rsid w:val="00543D5E"/>
    <w:rsid w:val="00571F41"/>
    <w:rsid w:val="00580744"/>
    <w:rsid w:val="00580EEC"/>
    <w:rsid w:val="00595BE4"/>
    <w:rsid w:val="005A20B5"/>
    <w:rsid w:val="005A69D3"/>
    <w:rsid w:val="005B76A3"/>
    <w:rsid w:val="005E0BAE"/>
    <w:rsid w:val="005E5D1F"/>
    <w:rsid w:val="00602512"/>
    <w:rsid w:val="00603391"/>
    <w:rsid w:val="00611D43"/>
    <w:rsid w:val="00612D48"/>
    <w:rsid w:val="00616B45"/>
    <w:rsid w:val="0061732B"/>
    <w:rsid w:val="00630D9B"/>
    <w:rsid w:val="00631953"/>
    <w:rsid w:val="006320E9"/>
    <w:rsid w:val="006439EC"/>
    <w:rsid w:val="00650FD4"/>
    <w:rsid w:val="00653D13"/>
    <w:rsid w:val="006606BB"/>
    <w:rsid w:val="006834E6"/>
    <w:rsid w:val="00694F83"/>
    <w:rsid w:val="006B4590"/>
    <w:rsid w:val="006B6C93"/>
    <w:rsid w:val="006C340C"/>
    <w:rsid w:val="006C7F8A"/>
    <w:rsid w:val="006D3C84"/>
    <w:rsid w:val="006E5FC7"/>
    <w:rsid w:val="0070347C"/>
    <w:rsid w:val="007176C1"/>
    <w:rsid w:val="007330FE"/>
    <w:rsid w:val="00735A79"/>
    <w:rsid w:val="00757352"/>
    <w:rsid w:val="00763EB9"/>
    <w:rsid w:val="00790336"/>
    <w:rsid w:val="00790F2F"/>
    <w:rsid w:val="007A1954"/>
    <w:rsid w:val="007B0F68"/>
    <w:rsid w:val="007C3462"/>
    <w:rsid w:val="007C3C4F"/>
    <w:rsid w:val="007D70C8"/>
    <w:rsid w:val="007F55CB"/>
    <w:rsid w:val="00805BAD"/>
    <w:rsid w:val="00812C1A"/>
    <w:rsid w:val="00812C43"/>
    <w:rsid w:val="00830891"/>
    <w:rsid w:val="008317F6"/>
    <w:rsid w:val="00836A24"/>
    <w:rsid w:val="00844750"/>
    <w:rsid w:val="00846C19"/>
    <w:rsid w:val="0086369F"/>
    <w:rsid w:val="008940D7"/>
    <w:rsid w:val="008A767B"/>
    <w:rsid w:val="008B09B3"/>
    <w:rsid w:val="008B44C4"/>
    <w:rsid w:val="008B7879"/>
    <w:rsid w:val="008D3919"/>
    <w:rsid w:val="008E7FAE"/>
    <w:rsid w:val="008F059B"/>
    <w:rsid w:val="00911BF7"/>
    <w:rsid w:val="00911DA7"/>
    <w:rsid w:val="00916183"/>
    <w:rsid w:val="009165B3"/>
    <w:rsid w:val="00945FF8"/>
    <w:rsid w:val="009461E5"/>
    <w:rsid w:val="00952FDB"/>
    <w:rsid w:val="0095536D"/>
    <w:rsid w:val="00974DF0"/>
    <w:rsid w:val="00975B8F"/>
    <w:rsid w:val="009761FC"/>
    <w:rsid w:val="00977EC8"/>
    <w:rsid w:val="00980B3E"/>
    <w:rsid w:val="00984468"/>
    <w:rsid w:val="009A5E81"/>
    <w:rsid w:val="009B18A3"/>
    <w:rsid w:val="009D3A8C"/>
    <w:rsid w:val="009E01B8"/>
    <w:rsid w:val="009E2194"/>
    <w:rsid w:val="009E7956"/>
    <w:rsid w:val="00A15CB2"/>
    <w:rsid w:val="00A24903"/>
    <w:rsid w:val="00A2492E"/>
    <w:rsid w:val="00A31A6B"/>
    <w:rsid w:val="00A666CE"/>
    <w:rsid w:val="00A70163"/>
    <w:rsid w:val="00A721A2"/>
    <w:rsid w:val="00A96408"/>
    <w:rsid w:val="00A97D9A"/>
    <w:rsid w:val="00AA4C53"/>
    <w:rsid w:val="00AA5935"/>
    <w:rsid w:val="00AB7D3D"/>
    <w:rsid w:val="00AC2802"/>
    <w:rsid w:val="00AC67A1"/>
    <w:rsid w:val="00AC7977"/>
    <w:rsid w:val="00AE352C"/>
    <w:rsid w:val="00AF1499"/>
    <w:rsid w:val="00AF4C64"/>
    <w:rsid w:val="00B03463"/>
    <w:rsid w:val="00B23236"/>
    <w:rsid w:val="00B32E2D"/>
    <w:rsid w:val="00B4466B"/>
    <w:rsid w:val="00B5393D"/>
    <w:rsid w:val="00B57132"/>
    <w:rsid w:val="00B60BEC"/>
    <w:rsid w:val="00B61990"/>
    <w:rsid w:val="00B6334B"/>
    <w:rsid w:val="00B73AAE"/>
    <w:rsid w:val="00B75DC2"/>
    <w:rsid w:val="00B75EC5"/>
    <w:rsid w:val="00B85D99"/>
    <w:rsid w:val="00B86EA9"/>
    <w:rsid w:val="00B93E72"/>
    <w:rsid w:val="00BA5250"/>
    <w:rsid w:val="00BB5362"/>
    <w:rsid w:val="00BC5FA7"/>
    <w:rsid w:val="00BD44CD"/>
    <w:rsid w:val="00BD67A2"/>
    <w:rsid w:val="00BF0556"/>
    <w:rsid w:val="00BF38EF"/>
    <w:rsid w:val="00C24B53"/>
    <w:rsid w:val="00C261F8"/>
    <w:rsid w:val="00C26F66"/>
    <w:rsid w:val="00C27150"/>
    <w:rsid w:val="00C33100"/>
    <w:rsid w:val="00C57892"/>
    <w:rsid w:val="00C74D15"/>
    <w:rsid w:val="00C908B9"/>
    <w:rsid w:val="00C940E9"/>
    <w:rsid w:val="00CA1414"/>
    <w:rsid w:val="00CB0B63"/>
    <w:rsid w:val="00CB373C"/>
    <w:rsid w:val="00CB6267"/>
    <w:rsid w:val="00CB694A"/>
    <w:rsid w:val="00CD1A25"/>
    <w:rsid w:val="00CD1A71"/>
    <w:rsid w:val="00CD1FBB"/>
    <w:rsid w:val="00CD3488"/>
    <w:rsid w:val="00CD4281"/>
    <w:rsid w:val="00CE5BF6"/>
    <w:rsid w:val="00CF1893"/>
    <w:rsid w:val="00CF7A47"/>
    <w:rsid w:val="00D016B5"/>
    <w:rsid w:val="00D034F1"/>
    <w:rsid w:val="00D04D8B"/>
    <w:rsid w:val="00D11B17"/>
    <w:rsid w:val="00D205A3"/>
    <w:rsid w:val="00D24779"/>
    <w:rsid w:val="00D24B1D"/>
    <w:rsid w:val="00D27D5E"/>
    <w:rsid w:val="00D46004"/>
    <w:rsid w:val="00D60301"/>
    <w:rsid w:val="00D64213"/>
    <w:rsid w:val="00D761E2"/>
    <w:rsid w:val="00D92026"/>
    <w:rsid w:val="00DA4A3C"/>
    <w:rsid w:val="00DA57D4"/>
    <w:rsid w:val="00DB4793"/>
    <w:rsid w:val="00DB6CD1"/>
    <w:rsid w:val="00DC794A"/>
    <w:rsid w:val="00DE01E3"/>
    <w:rsid w:val="00DE45DF"/>
    <w:rsid w:val="00DE56E5"/>
    <w:rsid w:val="00DE6D90"/>
    <w:rsid w:val="00DF002F"/>
    <w:rsid w:val="00E0244D"/>
    <w:rsid w:val="00E0331A"/>
    <w:rsid w:val="00E2484C"/>
    <w:rsid w:val="00E37AE2"/>
    <w:rsid w:val="00E401F2"/>
    <w:rsid w:val="00E413D8"/>
    <w:rsid w:val="00E47862"/>
    <w:rsid w:val="00E50079"/>
    <w:rsid w:val="00E55D71"/>
    <w:rsid w:val="00E56ED3"/>
    <w:rsid w:val="00E75221"/>
    <w:rsid w:val="00E81E94"/>
    <w:rsid w:val="00E82607"/>
    <w:rsid w:val="00EA31C2"/>
    <w:rsid w:val="00EA320D"/>
    <w:rsid w:val="00EC510E"/>
    <w:rsid w:val="00EE2EA3"/>
    <w:rsid w:val="00EE56CB"/>
    <w:rsid w:val="00EF1183"/>
    <w:rsid w:val="00EF486C"/>
    <w:rsid w:val="00F01516"/>
    <w:rsid w:val="00F32462"/>
    <w:rsid w:val="00F50F4F"/>
    <w:rsid w:val="00F56DE8"/>
    <w:rsid w:val="00F57129"/>
    <w:rsid w:val="00FA5A79"/>
    <w:rsid w:val="00FB00CB"/>
    <w:rsid w:val="00FB0BFE"/>
    <w:rsid w:val="00FB44CA"/>
    <w:rsid w:val="00FB4C51"/>
    <w:rsid w:val="00FC017A"/>
    <w:rsid w:val="00FD3CA2"/>
    <w:rsid w:val="00FF0745"/>
    <w:rsid w:val="00FF10CF"/>
    <w:rsid w:val="00FF1DBD"/>
    <w:rsid w:val="00FF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B654651-F040-4F5E-8A87-297AB954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2E6F0D"/>
    <w:rPr>
      <w:lang w:val="fr-CH" w:eastAsia="en-US"/>
    </w:rPr>
  </w:style>
  <w:style w:type="character" w:customStyle="1" w:styleId="H23GChar">
    <w:name w:val="_ H_2/3_G Char"/>
    <w:link w:val="H23G"/>
    <w:rsid w:val="002E6F0D"/>
    <w:rPr>
      <w:b/>
      <w:lang w:val="fr-CH" w:eastAsia="en-US"/>
    </w:rPr>
  </w:style>
  <w:style w:type="paragraph" w:styleId="BalloonText">
    <w:name w:val="Balloon Text"/>
    <w:basedOn w:val="Normal"/>
    <w:link w:val="BalloonTextChar"/>
    <w:rsid w:val="00023FAD"/>
    <w:pPr>
      <w:spacing w:line="240" w:lineRule="auto"/>
    </w:pPr>
    <w:rPr>
      <w:rFonts w:ascii="Tahoma" w:hAnsi="Tahoma" w:cs="Tahoma"/>
      <w:sz w:val="16"/>
      <w:szCs w:val="16"/>
    </w:rPr>
  </w:style>
  <w:style w:type="character" w:customStyle="1" w:styleId="BalloonTextChar">
    <w:name w:val="Balloon Text Char"/>
    <w:link w:val="BalloonText"/>
    <w:rsid w:val="00023FA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54138">
      <w:bodyDiv w:val="1"/>
      <w:marLeft w:val="0"/>
      <w:marRight w:val="0"/>
      <w:marTop w:val="0"/>
      <w:marBottom w:val="0"/>
      <w:divBdr>
        <w:top w:val="none" w:sz="0" w:space="0" w:color="auto"/>
        <w:left w:val="none" w:sz="0" w:space="0" w:color="auto"/>
        <w:bottom w:val="none" w:sz="0" w:space="0" w:color="auto"/>
        <w:right w:val="none" w:sz="0" w:space="0" w:color="auto"/>
      </w:divBdr>
      <w:divsChild>
        <w:div w:id="1267957048">
          <w:marLeft w:val="0"/>
          <w:marRight w:val="0"/>
          <w:marTop w:val="0"/>
          <w:marBottom w:val="0"/>
          <w:divBdr>
            <w:top w:val="none" w:sz="0" w:space="0" w:color="auto"/>
            <w:left w:val="none" w:sz="0" w:space="0" w:color="auto"/>
            <w:bottom w:val="none" w:sz="0" w:space="0" w:color="auto"/>
            <w:right w:val="none" w:sz="0" w:space="0" w:color="auto"/>
          </w:divBdr>
          <w:divsChild>
            <w:div w:id="1375034013">
              <w:marLeft w:val="0"/>
              <w:marRight w:val="0"/>
              <w:marTop w:val="0"/>
              <w:marBottom w:val="0"/>
              <w:divBdr>
                <w:top w:val="none" w:sz="0" w:space="0" w:color="auto"/>
                <w:left w:val="none" w:sz="0" w:space="0" w:color="auto"/>
                <w:bottom w:val="none" w:sz="0" w:space="0" w:color="auto"/>
                <w:right w:val="none" w:sz="0" w:space="0" w:color="auto"/>
              </w:divBdr>
              <w:divsChild>
                <w:div w:id="2036538188">
                  <w:marLeft w:val="0"/>
                  <w:marRight w:val="0"/>
                  <w:marTop w:val="0"/>
                  <w:marBottom w:val="0"/>
                  <w:divBdr>
                    <w:top w:val="none" w:sz="0" w:space="0" w:color="auto"/>
                    <w:left w:val="none" w:sz="0" w:space="0" w:color="auto"/>
                    <w:bottom w:val="none" w:sz="0" w:space="0" w:color="auto"/>
                    <w:right w:val="none" w:sz="0" w:space="0" w:color="auto"/>
                  </w:divBdr>
                  <w:divsChild>
                    <w:div w:id="721487795">
                      <w:marLeft w:val="0"/>
                      <w:marRight w:val="0"/>
                      <w:marTop w:val="0"/>
                      <w:marBottom w:val="0"/>
                      <w:divBdr>
                        <w:top w:val="none" w:sz="0" w:space="0" w:color="auto"/>
                        <w:left w:val="none" w:sz="0" w:space="0" w:color="auto"/>
                        <w:bottom w:val="none" w:sz="0" w:space="0" w:color="auto"/>
                        <w:right w:val="none" w:sz="0" w:space="0" w:color="auto"/>
                      </w:divBdr>
                      <w:divsChild>
                        <w:div w:id="1303922587">
                          <w:marLeft w:val="0"/>
                          <w:marRight w:val="0"/>
                          <w:marTop w:val="0"/>
                          <w:marBottom w:val="0"/>
                          <w:divBdr>
                            <w:top w:val="none" w:sz="0" w:space="0" w:color="auto"/>
                            <w:left w:val="none" w:sz="0" w:space="0" w:color="auto"/>
                            <w:bottom w:val="none" w:sz="0" w:space="0" w:color="auto"/>
                            <w:right w:val="none" w:sz="0" w:space="0" w:color="auto"/>
                          </w:divBdr>
                          <w:divsChild>
                            <w:div w:id="1575698532">
                              <w:marLeft w:val="0"/>
                              <w:marRight w:val="0"/>
                              <w:marTop w:val="0"/>
                              <w:marBottom w:val="0"/>
                              <w:divBdr>
                                <w:top w:val="none" w:sz="0" w:space="0" w:color="auto"/>
                                <w:left w:val="none" w:sz="0" w:space="0" w:color="auto"/>
                                <w:bottom w:val="none" w:sz="0" w:space="0" w:color="auto"/>
                                <w:right w:val="none" w:sz="0" w:space="0" w:color="auto"/>
                              </w:divBdr>
                              <w:divsChild>
                                <w:div w:id="1814903297">
                                  <w:marLeft w:val="0"/>
                                  <w:marRight w:val="0"/>
                                  <w:marTop w:val="0"/>
                                  <w:marBottom w:val="0"/>
                                  <w:divBdr>
                                    <w:top w:val="none" w:sz="0" w:space="0" w:color="auto"/>
                                    <w:left w:val="none" w:sz="0" w:space="0" w:color="auto"/>
                                    <w:bottom w:val="none" w:sz="0" w:space="0" w:color="auto"/>
                                    <w:right w:val="none" w:sz="0" w:space="0" w:color="auto"/>
                                  </w:divBdr>
                                  <w:divsChild>
                                    <w:div w:id="1885217430">
                                      <w:marLeft w:val="0"/>
                                      <w:marRight w:val="0"/>
                                      <w:marTop w:val="0"/>
                                      <w:marBottom w:val="0"/>
                                      <w:divBdr>
                                        <w:top w:val="single" w:sz="6" w:space="0" w:color="F5F5F5"/>
                                        <w:left w:val="single" w:sz="6" w:space="0" w:color="F5F5F5"/>
                                        <w:bottom w:val="single" w:sz="6" w:space="0" w:color="F5F5F5"/>
                                        <w:right w:val="single" w:sz="6" w:space="0" w:color="F5F5F5"/>
                                      </w:divBdr>
                                      <w:divsChild>
                                        <w:div w:id="1010832895">
                                          <w:marLeft w:val="0"/>
                                          <w:marRight w:val="0"/>
                                          <w:marTop w:val="0"/>
                                          <w:marBottom w:val="0"/>
                                          <w:divBdr>
                                            <w:top w:val="none" w:sz="0" w:space="0" w:color="auto"/>
                                            <w:left w:val="none" w:sz="0" w:space="0" w:color="auto"/>
                                            <w:bottom w:val="none" w:sz="0" w:space="0" w:color="auto"/>
                                            <w:right w:val="none" w:sz="0" w:space="0" w:color="auto"/>
                                          </w:divBdr>
                                          <w:divsChild>
                                            <w:div w:id="19961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4185-32A1-45DB-B7D1-898ED9CD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Caillot</cp:lastModifiedBy>
  <cp:revision>2</cp:revision>
  <cp:lastPrinted>2015-04-23T08:25:00Z</cp:lastPrinted>
  <dcterms:created xsi:type="dcterms:W3CDTF">2015-10-23T14:25:00Z</dcterms:created>
  <dcterms:modified xsi:type="dcterms:W3CDTF">2015-10-23T14:25:00Z</dcterms:modified>
</cp:coreProperties>
</file>