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17EEC" w:rsidTr="00F01516">
        <w:trPr>
          <w:trHeight w:hRule="exact" w:val="851"/>
        </w:trPr>
        <w:tc>
          <w:tcPr>
            <w:tcW w:w="1277" w:type="dxa"/>
            <w:tcBorders>
              <w:bottom w:val="single" w:sz="4" w:space="0" w:color="auto"/>
            </w:tcBorders>
          </w:tcPr>
          <w:p w:rsidR="003D1DF3" w:rsidRPr="00A17EEC" w:rsidRDefault="003D1DF3" w:rsidP="00F01516">
            <w:pPr>
              <w:rPr>
                <w:lang w:val="fr-FR"/>
              </w:rPr>
            </w:pPr>
            <w:bookmarkStart w:id="0" w:name="_GoBack"/>
            <w:bookmarkEnd w:id="0"/>
          </w:p>
        </w:tc>
        <w:tc>
          <w:tcPr>
            <w:tcW w:w="2268" w:type="dxa"/>
            <w:tcBorders>
              <w:bottom w:val="single" w:sz="4" w:space="0" w:color="auto"/>
            </w:tcBorders>
            <w:vAlign w:val="bottom"/>
          </w:tcPr>
          <w:p w:rsidR="003D1DF3" w:rsidRPr="00A17EEC" w:rsidRDefault="003D1DF3" w:rsidP="00F01516">
            <w:pPr>
              <w:spacing w:after="80" w:line="300" w:lineRule="exact"/>
              <w:rPr>
                <w:sz w:val="28"/>
                <w:lang w:val="fr-FR"/>
              </w:rPr>
            </w:pPr>
            <w:r w:rsidRPr="00A17EEC">
              <w:rPr>
                <w:sz w:val="28"/>
                <w:lang w:val="fr-FR"/>
              </w:rPr>
              <w:t>Nations Unies</w:t>
            </w:r>
          </w:p>
        </w:tc>
        <w:tc>
          <w:tcPr>
            <w:tcW w:w="6094" w:type="dxa"/>
            <w:gridSpan w:val="2"/>
            <w:tcBorders>
              <w:bottom w:val="single" w:sz="4" w:space="0" w:color="auto"/>
            </w:tcBorders>
            <w:vAlign w:val="bottom"/>
          </w:tcPr>
          <w:p w:rsidR="003D1DF3" w:rsidRPr="00A17EEC" w:rsidRDefault="009C73A2" w:rsidP="009C73A2">
            <w:pPr>
              <w:jc w:val="right"/>
              <w:rPr>
                <w:lang w:val="fr-FR"/>
              </w:rPr>
            </w:pPr>
            <w:r w:rsidRPr="009C73A2">
              <w:rPr>
                <w:sz w:val="40"/>
                <w:lang w:val="fr-FR"/>
              </w:rPr>
              <w:t>ECE</w:t>
            </w:r>
            <w:r>
              <w:rPr>
                <w:lang w:val="fr-FR"/>
              </w:rPr>
              <w:t>/TRANS/WP.15/AC.2/2016/7</w:t>
            </w:r>
          </w:p>
        </w:tc>
      </w:tr>
      <w:tr w:rsidR="003D1DF3" w:rsidRPr="00A17EEC" w:rsidTr="00F01516">
        <w:trPr>
          <w:trHeight w:hRule="exact" w:val="2835"/>
        </w:trPr>
        <w:tc>
          <w:tcPr>
            <w:tcW w:w="1276" w:type="dxa"/>
            <w:tcBorders>
              <w:top w:val="single" w:sz="4" w:space="0" w:color="auto"/>
              <w:bottom w:val="single" w:sz="12" w:space="0" w:color="auto"/>
            </w:tcBorders>
          </w:tcPr>
          <w:p w:rsidR="003D1DF3" w:rsidRPr="00A17EEC" w:rsidRDefault="00A17EEC" w:rsidP="00F01516">
            <w:pPr>
              <w:spacing w:before="120"/>
              <w:jc w:val="center"/>
              <w:rPr>
                <w:lang w:val="fr-FR"/>
              </w:rP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A17EEC" w:rsidRDefault="003D1DF3" w:rsidP="00F01516">
            <w:pPr>
              <w:spacing w:before="120" w:line="420" w:lineRule="exact"/>
              <w:rPr>
                <w:b/>
                <w:sz w:val="40"/>
                <w:szCs w:val="40"/>
                <w:lang w:val="fr-FR"/>
              </w:rPr>
            </w:pPr>
            <w:r w:rsidRPr="00A17EEC">
              <w:rPr>
                <w:b/>
                <w:sz w:val="40"/>
                <w:szCs w:val="40"/>
                <w:lang w:val="fr-FR"/>
              </w:rPr>
              <w:t>Conseil économique et social</w:t>
            </w:r>
          </w:p>
        </w:tc>
        <w:tc>
          <w:tcPr>
            <w:tcW w:w="2835" w:type="dxa"/>
            <w:tcBorders>
              <w:top w:val="single" w:sz="4" w:space="0" w:color="auto"/>
              <w:bottom w:val="single" w:sz="12" w:space="0" w:color="auto"/>
            </w:tcBorders>
          </w:tcPr>
          <w:p w:rsidR="003D1DF3" w:rsidRDefault="009C73A2" w:rsidP="009C73A2">
            <w:pPr>
              <w:spacing w:before="240" w:line="240" w:lineRule="exact"/>
              <w:rPr>
                <w:lang w:val="fr-FR"/>
              </w:rPr>
            </w:pPr>
            <w:r>
              <w:rPr>
                <w:lang w:val="fr-FR"/>
              </w:rPr>
              <w:t>Distr. Générale</w:t>
            </w:r>
          </w:p>
          <w:p w:rsidR="009C73A2" w:rsidRDefault="00911972" w:rsidP="009C73A2">
            <w:pPr>
              <w:spacing w:line="240" w:lineRule="exact"/>
              <w:rPr>
                <w:lang w:val="fr-FR"/>
              </w:rPr>
            </w:pPr>
            <w:r>
              <w:rPr>
                <w:lang w:val="fr-FR"/>
              </w:rPr>
              <w:t>23</w:t>
            </w:r>
            <w:r w:rsidR="009C73A2">
              <w:rPr>
                <w:lang w:val="fr-FR"/>
              </w:rPr>
              <w:t xml:space="preserve"> </w:t>
            </w:r>
            <w:r w:rsidR="00CD79EB">
              <w:rPr>
                <w:lang w:val="fr-FR"/>
              </w:rPr>
              <w:t>octobre</w:t>
            </w:r>
            <w:r w:rsidR="009C73A2">
              <w:rPr>
                <w:lang w:val="fr-FR"/>
              </w:rPr>
              <w:t xml:space="preserve"> 2015</w:t>
            </w:r>
          </w:p>
          <w:p w:rsidR="009C73A2" w:rsidRDefault="009C73A2" w:rsidP="009C73A2">
            <w:pPr>
              <w:spacing w:line="240" w:lineRule="exact"/>
              <w:rPr>
                <w:lang w:val="fr-FR"/>
              </w:rPr>
            </w:pPr>
          </w:p>
          <w:p w:rsidR="009C73A2" w:rsidRPr="00A17EEC" w:rsidRDefault="009C73A2" w:rsidP="009C73A2">
            <w:pPr>
              <w:spacing w:line="240" w:lineRule="exact"/>
              <w:rPr>
                <w:lang w:val="fr-FR"/>
              </w:rPr>
            </w:pPr>
            <w:r>
              <w:rPr>
                <w:lang w:val="fr-FR"/>
              </w:rPr>
              <w:t xml:space="preserve">Original: français </w:t>
            </w:r>
          </w:p>
        </w:tc>
      </w:tr>
    </w:tbl>
    <w:p w:rsidR="00FF1DBD" w:rsidRPr="00A17EEC" w:rsidRDefault="000312C0" w:rsidP="000312C0">
      <w:pPr>
        <w:spacing w:before="120"/>
        <w:rPr>
          <w:b/>
          <w:sz w:val="28"/>
          <w:szCs w:val="28"/>
          <w:lang w:val="fr-FR"/>
        </w:rPr>
      </w:pPr>
      <w:r w:rsidRPr="00A17EEC">
        <w:rPr>
          <w:b/>
          <w:sz w:val="28"/>
          <w:szCs w:val="28"/>
          <w:lang w:val="fr-FR"/>
        </w:rPr>
        <w:t>Commission économique pour l’Europe</w:t>
      </w:r>
    </w:p>
    <w:p w:rsidR="00B93E72" w:rsidRPr="00A17EEC" w:rsidRDefault="00B93E72" w:rsidP="00B93E72">
      <w:pPr>
        <w:spacing w:before="120"/>
        <w:rPr>
          <w:sz w:val="28"/>
          <w:szCs w:val="28"/>
          <w:lang w:val="fr-FR"/>
        </w:rPr>
      </w:pPr>
      <w:r w:rsidRPr="00A17EEC">
        <w:rPr>
          <w:sz w:val="28"/>
          <w:szCs w:val="28"/>
          <w:lang w:val="fr-FR"/>
        </w:rPr>
        <w:t>Comité des transports intérieurs</w:t>
      </w:r>
    </w:p>
    <w:p w:rsidR="00B93E72" w:rsidRPr="00A17EEC" w:rsidRDefault="00B93E72" w:rsidP="00B93E72">
      <w:pPr>
        <w:spacing w:before="120"/>
        <w:rPr>
          <w:b/>
          <w:sz w:val="24"/>
          <w:szCs w:val="24"/>
          <w:lang w:val="fr-FR"/>
        </w:rPr>
      </w:pPr>
      <w:r w:rsidRPr="00A17EEC">
        <w:rPr>
          <w:b/>
          <w:sz w:val="24"/>
          <w:szCs w:val="24"/>
          <w:lang w:val="fr-FR"/>
        </w:rPr>
        <w:t>Groupe de travail des transports</w:t>
      </w:r>
      <w:r w:rsidR="002F4E78" w:rsidRPr="00A17EEC">
        <w:rPr>
          <w:b/>
          <w:sz w:val="24"/>
          <w:szCs w:val="24"/>
          <w:lang w:val="fr-FR"/>
        </w:rPr>
        <w:t xml:space="preserve"> </w:t>
      </w:r>
      <w:r w:rsidRPr="00A17EEC">
        <w:rPr>
          <w:b/>
          <w:sz w:val="24"/>
          <w:szCs w:val="24"/>
          <w:lang w:val="fr-FR"/>
        </w:rPr>
        <w:t>de marchandises dangereuses</w:t>
      </w:r>
    </w:p>
    <w:p w:rsidR="00B93E72" w:rsidRPr="00A17EEC" w:rsidRDefault="00234E40" w:rsidP="00B93E72">
      <w:pPr>
        <w:spacing w:before="120"/>
        <w:rPr>
          <w:b/>
          <w:lang w:val="fr-FR"/>
        </w:rPr>
      </w:pPr>
      <w:r w:rsidRPr="00A17EEC">
        <w:rPr>
          <w:b/>
          <w:lang w:val="fr-FR"/>
        </w:rPr>
        <w:t>Réunion commune d’experts sur le Règlement annexé</w:t>
      </w:r>
      <w:r w:rsidR="00CE5BF6" w:rsidRPr="00A17EEC">
        <w:rPr>
          <w:b/>
          <w:lang w:val="fr-FR"/>
        </w:rPr>
        <w:br/>
      </w:r>
      <w:r w:rsidRPr="00A17EEC">
        <w:rPr>
          <w:b/>
          <w:lang w:val="fr-FR"/>
        </w:rPr>
        <w:t>à l’Accord européen</w:t>
      </w:r>
      <w:r w:rsidR="00CE5BF6" w:rsidRPr="00A17EEC">
        <w:rPr>
          <w:b/>
          <w:lang w:val="fr-FR"/>
        </w:rPr>
        <w:t xml:space="preserve"> </w:t>
      </w:r>
      <w:r w:rsidRPr="00A17EEC">
        <w:rPr>
          <w:b/>
          <w:lang w:val="fr-FR"/>
        </w:rPr>
        <w:t>relatif au transport international</w:t>
      </w:r>
      <w:r w:rsidR="00CE5BF6" w:rsidRPr="00A17EEC">
        <w:rPr>
          <w:b/>
          <w:lang w:val="fr-FR"/>
        </w:rPr>
        <w:br/>
      </w:r>
      <w:r w:rsidRPr="00A17EEC">
        <w:rPr>
          <w:b/>
          <w:lang w:val="fr-FR"/>
        </w:rPr>
        <w:t xml:space="preserve">des marchandises </w:t>
      </w:r>
      <w:r w:rsidRPr="00A17EEC">
        <w:rPr>
          <w:b/>
          <w:bCs/>
          <w:iCs/>
          <w:lang w:val="fr-FR"/>
        </w:rPr>
        <w:t>dangereuses par voies</w:t>
      </w:r>
      <w:r w:rsidR="00CE5BF6" w:rsidRPr="00A17EEC">
        <w:rPr>
          <w:b/>
          <w:bCs/>
          <w:iCs/>
          <w:lang w:val="fr-FR"/>
        </w:rPr>
        <w:t xml:space="preserve"> </w:t>
      </w:r>
      <w:r w:rsidRPr="00A17EEC">
        <w:rPr>
          <w:b/>
          <w:bCs/>
          <w:iCs/>
          <w:lang w:val="fr-FR"/>
        </w:rPr>
        <w:t>de navigation</w:t>
      </w:r>
      <w:r w:rsidR="00CE5BF6" w:rsidRPr="00A17EEC">
        <w:rPr>
          <w:b/>
          <w:bCs/>
          <w:iCs/>
          <w:lang w:val="fr-FR"/>
        </w:rPr>
        <w:br/>
      </w:r>
      <w:r w:rsidRPr="00A17EEC">
        <w:rPr>
          <w:b/>
          <w:bCs/>
          <w:iCs/>
          <w:lang w:val="fr-FR"/>
        </w:rPr>
        <w:t xml:space="preserve">intérieures (ADN) </w:t>
      </w:r>
      <w:r w:rsidRPr="00A17EEC">
        <w:rPr>
          <w:b/>
          <w:bCs/>
          <w:lang w:val="fr-FR"/>
        </w:rPr>
        <w:t>(Comité de sécurité de l’ADN)</w:t>
      </w:r>
    </w:p>
    <w:p w:rsidR="00F47359" w:rsidRPr="00234E40" w:rsidRDefault="00F47359" w:rsidP="00F47359">
      <w:pPr>
        <w:spacing w:before="120"/>
        <w:rPr>
          <w:b/>
        </w:rPr>
      </w:pPr>
      <w:r>
        <w:rPr>
          <w:b/>
        </w:rPr>
        <w:t xml:space="preserve">Vingt-huitième </w:t>
      </w:r>
      <w:r w:rsidRPr="00234E40">
        <w:rPr>
          <w:b/>
        </w:rPr>
        <w:t>session</w:t>
      </w:r>
    </w:p>
    <w:p w:rsidR="00F47359" w:rsidRDefault="00F47359" w:rsidP="00F47359">
      <w:r>
        <w:t>Genève, 25-29 janvier 2016</w:t>
      </w:r>
    </w:p>
    <w:p w:rsidR="00F47359" w:rsidRDefault="00F47359" w:rsidP="00F47359">
      <w:r w:rsidRPr="00B93E72">
        <w:t xml:space="preserve">Point </w:t>
      </w:r>
      <w:r w:rsidR="00CD79EB">
        <w:t>5</w:t>
      </w:r>
      <w:r>
        <w:t xml:space="preserve"> b)</w:t>
      </w:r>
      <w:r w:rsidRPr="00B93E72">
        <w:t xml:space="preserve"> de l</w:t>
      </w:r>
      <w:r>
        <w:t>’</w:t>
      </w:r>
      <w:r w:rsidRPr="00B93E72">
        <w:t>ordre du jour provisoire</w:t>
      </w:r>
    </w:p>
    <w:p w:rsidR="00F47359" w:rsidRPr="00602512" w:rsidRDefault="00F47359" w:rsidP="00F47359">
      <w:pPr>
        <w:rPr>
          <w:b/>
          <w:lang w:val="fr-FR"/>
        </w:rPr>
      </w:pPr>
      <w:r w:rsidRPr="00602512">
        <w:rPr>
          <w:b/>
          <w:lang w:val="fr-FR"/>
        </w:rPr>
        <w:t>Propositions d’amendements au règlement annexé à l’ADN</w:t>
      </w:r>
      <w:r>
        <w:rPr>
          <w:b/>
          <w:lang w:val="fr-FR"/>
        </w:rPr>
        <w:t>:</w:t>
      </w:r>
    </w:p>
    <w:p w:rsidR="005B76A3" w:rsidRDefault="00F47359" w:rsidP="00F47359">
      <w:pPr>
        <w:rPr>
          <w:b/>
          <w:color w:val="000000"/>
          <w:szCs w:val="24"/>
          <w:lang w:val="fr-FR" w:eastAsia="fr-FR"/>
        </w:rPr>
      </w:pPr>
      <w:r w:rsidRPr="00602512">
        <w:rPr>
          <w:b/>
          <w:color w:val="000000"/>
          <w:szCs w:val="24"/>
          <w:lang w:val="fr-FR" w:eastAsia="fr-FR"/>
        </w:rPr>
        <w:t>Autres propositions</w:t>
      </w:r>
    </w:p>
    <w:p w:rsidR="00F47359" w:rsidRDefault="00F47359" w:rsidP="00F47359">
      <w:pPr>
        <w:pStyle w:val="HChG"/>
        <w:rPr>
          <w:bCs/>
        </w:rPr>
      </w:pPr>
      <w:r>
        <w:rPr>
          <w:bCs/>
        </w:rPr>
        <w:tab/>
      </w:r>
      <w:r>
        <w:rPr>
          <w:bCs/>
        </w:rPr>
        <w:tab/>
      </w:r>
      <w:r w:rsidRPr="00F47359">
        <w:rPr>
          <w:bCs/>
          <w:iCs/>
          <w:lang w:val="fr-FR"/>
        </w:rPr>
        <w:t>Propositions de texte pour les commentaires relatifs au tableau C et à la colonne (5) Dangers</w:t>
      </w:r>
    </w:p>
    <w:p w:rsidR="00F47359" w:rsidRDefault="00F47359" w:rsidP="00F47359">
      <w:pPr>
        <w:pStyle w:val="H1G"/>
        <w:rPr>
          <w:lang w:val="fr-FR"/>
        </w:rPr>
      </w:pPr>
      <w:r>
        <w:tab/>
      </w:r>
      <w:r>
        <w:tab/>
      </w:r>
      <w:r w:rsidRPr="00F47359">
        <w:rPr>
          <w:lang w:val="fr-FR"/>
        </w:rPr>
        <w:t>Communication de la Commission Centrale pour la Navigation du Rhin (CCNR)</w:t>
      </w:r>
      <w:r w:rsidRPr="00F47359">
        <w:rPr>
          <w:rStyle w:val="FootnoteReference"/>
          <w:sz w:val="24"/>
          <w:szCs w:val="24"/>
        </w:rPr>
        <w:footnoteReference w:id="2"/>
      </w:r>
    </w:p>
    <w:p w:rsidR="00A36360" w:rsidRPr="00A36360" w:rsidRDefault="00A36360" w:rsidP="00A36360">
      <w:pPr>
        <w:pStyle w:val="SingleTxtG"/>
        <w:rPr>
          <w:lang w:val="fr-FR"/>
        </w:rPr>
      </w:pPr>
      <w:r w:rsidRPr="00A36360">
        <w:rPr>
          <w:lang w:val="fr-FR"/>
        </w:rPr>
        <w:t>1.</w:t>
      </w:r>
      <w:r w:rsidRPr="00A36360">
        <w:rPr>
          <w:lang w:val="fr-FR"/>
        </w:rPr>
        <w:tab/>
        <w:t>L'Allemagne a constaté que dans la sous-s</w:t>
      </w:r>
      <w:r w:rsidR="007971B7">
        <w:rPr>
          <w:lang w:val="fr-FR"/>
        </w:rPr>
        <w:t>ection 3.2.3.1 de l'ADN, sous «</w:t>
      </w:r>
      <w:r w:rsidRPr="00A36360">
        <w:rPr>
          <w:lang w:val="fr-FR"/>
        </w:rPr>
        <w:t>Notes explicatives pour chaque colonne», pour la colonne 5, il n'y a pas de note indiquant pourquoi les risques subsidiaires figurent entre parenthèses pour certaines entrées. Ceci n'est pas non plus expliqué ailleurs dans l'ADN.</w:t>
      </w:r>
    </w:p>
    <w:p w:rsidR="00A36360" w:rsidRPr="00A36360" w:rsidRDefault="00A36360" w:rsidP="00A36360">
      <w:pPr>
        <w:pStyle w:val="SingleTxtG"/>
        <w:rPr>
          <w:lang w:val="fr-FR"/>
        </w:rPr>
      </w:pPr>
      <w:r w:rsidRPr="00A36360">
        <w:rPr>
          <w:lang w:val="fr-FR"/>
        </w:rPr>
        <w:t>2.</w:t>
      </w:r>
      <w:r w:rsidRPr="00A36360">
        <w:rPr>
          <w:lang w:val="fr-FR"/>
        </w:rPr>
        <w:tab/>
        <w:t xml:space="preserve">De même, la signification de la mention </w:t>
      </w:r>
      <w:r>
        <w:rPr>
          <w:lang w:val="fr-FR"/>
        </w:rPr>
        <w:t>«</w:t>
      </w:r>
      <w:r w:rsidRPr="00A36360">
        <w:rPr>
          <w:lang w:val="fr-FR"/>
        </w:rPr>
        <w:t xml:space="preserve">*» dans les colonnes 6 à 18 ne figure </w:t>
      </w:r>
      <w:r w:rsidR="00295959">
        <w:rPr>
          <w:lang w:val="fr-FR"/>
        </w:rPr>
        <w:t>p</w:t>
      </w:r>
      <w:r w:rsidRPr="00A36360">
        <w:rPr>
          <w:lang w:val="fr-FR"/>
        </w:rPr>
        <w:t xml:space="preserve">as dans la sous-section 3.2.3.1 </w:t>
      </w:r>
      <w:r>
        <w:rPr>
          <w:lang w:val="fr-FR"/>
        </w:rPr>
        <w:t>«</w:t>
      </w:r>
      <w:r w:rsidRPr="00A36360">
        <w:rPr>
          <w:lang w:val="fr-FR"/>
        </w:rPr>
        <w:t>Explications concernant le tableau C», comme on pourrait s'y attendre.</w:t>
      </w:r>
    </w:p>
    <w:p w:rsidR="00A36360" w:rsidRPr="00A36360" w:rsidRDefault="00A36360" w:rsidP="00A36360">
      <w:pPr>
        <w:pStyle w:val="SingleTxtG"/>
        <w:rPr>
          <w:lang w:val="fr-FR"/>
        </w:rPr>
      </w:pPr>
      <w:r w:rsidRPr="00A36360">
        <w:rPr>
          <w:lang w:val="fr-FR"/>
        </w:rPr>
        <w:t>3.</w:t>
      </w:r>
      <w:r w:rsidRPr="00A36360">
        <w:rPr>
          <w:lang w:val="fr-FR"/>
        </w:rPr>
        <w:tab/>
        <w:t>Au terme des consultations au sein du Comité de sécurité, le groupe de travail informel Matières a été invité à soumettre un complément correspondant pour la sous-section 3.2.3.1 «Explications concernant le tableau C» en vue d'une prise de décision.</w:t>
      </w:r>
    </w:p>
    <w:p w:rsidR="00A36360" w:rsidRDefault="00A36360" w:rsidP="00A36360">
      <w:pPr>
        <w:pStyle w:val="SingleTxtG"/>
        <w:rPr>
          <w:lang w:val="fr-FR"/>
        </w:rPr>
      </w:pPr>
      <w:r w:rsidRPr="00A36360">
        <w:rPr>
          <w:lang w:val="fr-FR"/>
        </w:rPr>
        <w:t>4.</w:t>
      </w:r>
      <w:r w:rsidRPr="00A36360">
        <w:rPr>
          <w:lang w:val="fr-FR"/>
        </w:rPr>
        <w:tab/>
        <w:t>Il est proposé de rédiger comme suit les observations concernant le tableau C et la colonne (5) Dangers (les passages supprimés sont barrés et les passages insérés sont soulignés):</w:t>
      </w:r>
    </w:p>
    <w:p w:rsidR="00A36360" w:rsidRPr="00A36360" w:rsidRDefault="001D7722" w:rsidP="001D7722">
      <w:pPr>
        <w:pStyle w:val="H23G"/>
        <w:rPr>
          <w:lang w:val="fr-FR"/>
        </w:rPr>
      </w:pPr>
      <w:r>
        <w:rPr>
          <w:lang w:val="fr-FR"/>
        </w:rPr>
        <w:lastRenderedPageBreak/>
        <w:tab/>
      </w:r>
      <w:r>
        <w:rPr>
          <w:lang w:val="fr-FR"/>
        </w:rPr>
        <w:tab/>
      </w:r>
      <w:r w:rsidR="00A36360">
        <w:rPr>
          <w:lang w:val="fr-FR"/>
        </w:rPr>
        <w:t>«</w:t>
      </w:r>
      <w:r w:rsidR="00A36360" w:rsidRPr="00A36360">
        <w:rPr>
          <w:lang w:val="fr-FR"/>
        </w:rPr>
        <w:t xml:space="preserve">3.2.3.1 </w:t>
      </w:r>
      <w:r w:rsidR="00A36360" w:rsidRPr="00A36360">
        <w:rPr>
          <w:lang w:val="fr-FR"/>
        </w:rPr>
        <w:tab/>
        <w:t>Explications concernant le tableau C</w:t>
      </w:r>
    </w:p>
    <w:p w:rsidR="00A36360" w:rsidRPr="00A36360" w:rsidRDefault="00A36360" w:rsidP="00A36360">
      <w:pPr>
        <w:pStyle w:val="SingleTxtG"/>
        <w:rPr>
          <w:lang w:val="fr-FR"/>
        </w:rPr>
      </w:pPr>
      <w:r w:rsidRPr="00A36360">
        <w:rPr>
          <w:lang w:val="fr-FR"/>
        </w:rPr>
        <w:t>En règle générale, chaque ligne du tableau C concerne la ou les matières correspondant à un numéro ONU spécifique ou à un numéro d’identification de la matière. Toutefois, si des matières ou des objets du même numéro ONU ou du même numéro d’identification de la matière ont des propriétés chimiques, des propriétés physiques ou des conditions de transport différentes, plusieurs lignes consécutives peuvent être utilisées pour ce numéro ONU ou ce numéro d’identification de la matière.</w:t>
      </w:r>
    </w:p>
    <w:p w:rsidR="00A36360" w:rsidRPr="00A36360" w:rsidRDefault="00A36360" w:rsidP="00A36360">
      <w:pPr>
        <w:pStyle w:val="SingleTxtG"/>
        <w:rPr>
          <w:lang w:val="fr-FR"/>
        </w:rPr>
      </w:pPr>
      <w:r w:rsidRPr="00A36360">
        <w:rPr>
          <w:lang w:val="fr-FR"/>
        </w:rPr>
        <w:t>Chaque colonne du tableau C est consacrée à un sujet spécifique comme indiqué dans les notes explicatives ci-après. À l'intersection des colonnes et des lignes (case) on trouve des informations concernant la question traitée dans cette colonne, pour la ou les matières de cette ligne :</w:t>
      </w:r>
    </w:p>
    <w:p w:rsidR="00A36360" w:rsidRPr="00A36360" w:rsidRDefault="00A36360" w:rsidP="00A36360">
      <w:pPr>
        <w:pStyle w:val="SingleTxtG"/>
        <w:numPr>
          <w:ilvl w:val="0"/>
          <w:numId w:val="3"/>
        </w:numPr>
        <w:rPr>
          <w:lang w:val="fr-FR"/>
        </w:rPr>
      </w:pPr>
      <w:r w:rsidRPr="00A36360">
        <w:rPr>
          <w:lang w:val="fr-FR"/>
        </w:rPr>
        <w:t>les quatre premières cases indiquent la ou les matières appartenant à cette ligne ;</w:t>
      </w:r>
    </w:p>
    <w:p w:rsidR="00A36360" w:rsidRPr="00A36360" w:rsidRDefault="00A36360" w:rsidP="00A36360">
      <w:pPr>
        <w:pStyle w:val="SingleTxtG"/>
        <w:numPr>
          <w:ilvl w:val="0"/>
          <w:numId w:val="3"/>
        </w:numPr>
        <w:rPr>
          <w:lang w:val="fr-FR"/>
        </w:rPr>
      </w:pPr>
      <w:r w:rsidRPr="00A36360">
        <w:rPr>
          <w:lang w:val="fr-FR"/>
        </w:rPr>
        <w:t xml:space="preserve">les cases suivantes indiquent les dispositions spéciales applicables </w:t>
      </w:r>
      <w:r w:rsidRPr="00A36360">
        <w:rPr>
          <w:u w:val="single"/>
          <w:lang w:val="fr-FR"/>
        </w:rPr>
        <w:t>à appliquer</w:t>
      </w:r>
      <w:r w:rsidRPr="00A36360">
        <w:rPr>
          <w:lang w:val="fr-FR"/>
        </w:rPr>
        <w:t>, sous forme d'information complète ou de code. Les codes renvoient à des informations détaillées qui figurent dans les numéros indiqués dans les notes explicatives ci-après. Une case vide indique qu'il n'y a pas de disposition spéciale et que seules les prescriptions générales sont applicables ou que la restriction de transport indiquée dans les notes explicatives est en vigueur.</w:t>
      </w:r>
    </w:p>
    <w:p w:rsidR="00A36360" w:rsidRPr="00A36360" w:rsidRDefault="00A36360" w:rsidP="00A36360">
      <w:pPr>
        <w:pStyle w:val="SingleTxtG"/>
        <w:numPr>
          <w:ilvl w:val="0"/>
          <w:numId w:val="3"/>
        </w:numPr>
        <w:rPr>
          <w:u w:val="single"/>
          <w:lang w:val="fr-FR"/>
        </w:rPr>
      </w:pPr>
      <w:r w:rsidRPr="00A36360">
        <w:rPr>
          <w:u w:val="single"/>
          <w:lang w:val="fr-FR"/>
        </w:rPr>
        <w:t>si une case contient une</w:t>
      </w:r>
      <w:r>
        <w:rPr>
          <w:u w:val="single"/>
          <w:lang w:val="fr-FR"/>
        </w:rPr>
        <w:t xml:space="preserve"> «</w:t>
      </w:r>
      <w:r w:rsidRPr="00A36360">
        <w:rPr>
          <w:u w:val="single"/>
          <w:lang w:val="fr-FR"/>
        </w:rPr>
        <w:t>*», les prescriptions applicables doivent être déterminées par l'application du 3.2.3.3.</w:t>
      </w:r>
    </w:p>
    <w:p w:rsidR="00A36360" w:rsidRPr="00A36360" w:rsidRDefault="00A36360" w:rsidP="00A36360">
      <w:pPr>
        <w:pStyle w:val="SingleTxtG"/>
        <w:rPr>
          <w:lang w:val="fr-FR"/>
        </w:rPr>
      </w:pPr>
      <w:r w:rsidRPr="00A36360">
        <w:rPr>
          <w:lang w:val="fr-FR"/>
        </w:rPr>
        <w:t>Les prescriptions générales applicables ne sont pas mentionnées dans les cases correspondantes.»</w:t>
      </w:r>
    </w:p>
    <w:p w:rsidR="00A36360" w:rsidRPr="00A36360" w:rsidRDefault="001D7722" w:rsidP="001D7722">
      <w:pPr>
        <w:pStyle w:val="H23G"/>
        <w:rPr>
          <w:lang w:val="fr-FR"/>
        </w:rPr>
      </w:pPr>
      <w:r>
        <w:rPr>
          <w:lang w:val="fr-FR"/>
        </w:rPr>
        <w:tab/>
      </w:r>
      <w:r>
        <w:rPr>
          <w:lang w:val="fr-FR"/>
        </w:rPr>
        <w:tab/>
      </w:r>
      <w:r w:rsidR="00A36360">
        <w:rPr>
          <w:lang w:val="fr-FR"/>
        </w:rPr>
        <w:t>«</w:t>
      </w:r>
      <w:r w:rsidR="00A36360" w:rsidRPr="00A36360">
        <w:rPr>
          <w:lang w:val="fr-FR"/>
        </w:rPr>
        <w:t xml:space="preserve">Colonne (5) </w:t>
      </w:r>
      <w:r w:rsidR="00A36360">
        <w:rPr>
          <w:lang w:val="fr-FR"/>
        </w:rPr>
        <w:t>«</w:t>
      </w:r>
      <w:r w:rsidR="00A36360" w:rsidRPr="00A36360">
        <w:rPr>
          <w:lang w:val="fr-FR"/>
        </w:rPr>
        <w:t>Dangers»</w:t>
      </w:r>
    </w:p>
    <w:p w:rsidR="00A36360" w:rsidRPr="00A36360" w:rsidRDefault="00A36360" w:rsidP="00A36360">
      <w:pPr>
        <w:pStyle w:val="SingleTxtG"/>
        <w:rPr>
          <w:lang w:val="fr-FR"/>
        </w:rPr>
      </w:pPr>
      <w:r w:rsidRPr="00A36360">
        <w:rPr>
          <w:lang w:val="fr-FR"/>
        </w:rPr>
        <w:t>Cette colonne contient des informations concernant les dangers de la matière dangereuse. Ces dangers sont repris en général sur la base des étiquettes de danger du tableau A, colonne 5.</w:t>
      </w:r>
    </w:p>
    <w:p w:rsidR="00A36360" w:rsidRPr="00A36360" w:rsidRDefault="00A36360" w:rsidP="00A36360">
      <w:pPr>
        <w:pStyle w:val="SingleTxtG"/>
        <w:rPr>
          <w:lang w:val="fr-FR"/>
        </w:rPr>
      </w:pPr>
      <w:r w:rsidRPr="00A36360">
        <w:rPr>
          <w:lang w:val="fr-FR"/>
        </w:rPr>
        <w:t>Lorsqu’il s’agit d’une matière chimiquement instable, ces indications sont complétées par le code 'inst.'.</w:t>
      </w:r>
    </w:p>
    <w:p w:rsidR="00A36360" w:rsidRPr="00A36360" w:rsidRDefault="00A36360" w:rsidP="00A36360">
      <w:pPr>
        <w:pStyle w:val="SingleTxtG"/>
        <w:rPr>
          <w:lang w:val="fr-FR"/>
        </w:rPr>
      </w:pPr>
      <w:r w:rsidRPr="00A36360">
        <w:rPr>
          <w:lang w:val="fr-FR"/>
        </w:rPr>
        <w:t xml:space="preserve">Lorsqu’il s’agit d’une matière ou d’un mélange dangereux du point de vue de l’environnement aquatique, ces indications sont complétées par le code </w:t>
      </w:r>
      <w:r w:rsidR="001D7722">
        <w:rPr>
          <w:lang w:val="fr-FR"/>
        </w:rPr>
        <w:t>"</w:t>
      </w:r>
      <w:r w:rsidRPr="00A36360">
        <w:rPr>
          <w:lang w:val="fr-FR"/>
        </w:rPr>
        <w:t>N1</w:t>
      </w:r>
      <w:r w:rsidR="001D7722">
        <w:rPr>
          <w:lang w:val="fr-FR"/>
        </w:rPr>
        <w:t>"</w:t>
      </w:r>
      <w:r w:rsidRPr="00A36360">
        <w:rPr>
          <w:lang w:val="fr-FR"/>
        </w:rPr>
        <w:t xml:space="preserve">, </w:t>
      </w:r>
      <w:r w:rsidR="001D7722">
        <w:rPr>
          <w:lang w:val="fr-FR"/>
        </w:rPr>
        <w:t>"</w:t>
      </w:r>
      <w:r w:rsidRPr="00A36360">
        <w:rPr>
          <w:lang w:val="fr-FR"/>
        </w:rPr>
        <w:t>N2</w:t>
      </w:r>
      <w:r w:rsidR="001D7722">
        <w:rPr>
          <w:lang w:val="fr-FR"/>
        </w:rPr>
        <w:t>"</w:t>
      </w:r>
      <w:r w:rsidRPr="00A36360">
        <w:rPr>
          <w:lang w:val="fr-FR"/>
        </w:rPr>
        <w:t xml:space="preserve"> ou </w:t>
      </w:r>
      <w:r w:rsidR="001D7722">
        <w:rPr>
          <w:lang w:val="fr-FR"/>
        </w:rPr>
        <w:t>"</w:t>
      </w:r>
      <w:r w:rsidRPr="00A36360">
        <w:rPr>
          <w:lang w:val="fr-FR"/>
        </w:rPr>
        <w:t>N3</w:t>
      </w:r>
      <w:r w:rsidR="001D7722">
        <w:rPr>
          <w:lang w:val="fr-FR"/>
        </w:rPr>
        <w:t>"</w:t>
      </w:r>
      <w:r w:rsidRPr="00A36360">
        <w:rPr>
          <w:lang w:val="fr-FR"/>
        </w:rPr>
        <w:t>.</w:t>
      </w:r>
    </w:p>
    <w:p w:rsidR="00A36360" w:rsidRPr="00A36360" w:rsidRDefault="00A36360" w:rsidP="00A36360">
      <w:pPr>
        <w:pStyle w:val="SingleTxtG"/>
        <w:rPr>
          <w:lang w:val="fr-FR"/>
        </w:rPr>
      </w:pPr>
      <w:r w:rsidRPr="00A36360">
        <w:rPr>
          <w:lang w:val="fr-FR"/>
        </w:rPr>
        <w:t xml:space="preserve">Lorsqu’il s’agit d’une matière ou d’un mélange avec des caractéristiques CMR, ces indications sont complétées par le code </w:t>
      </w:r>
      <w:r w:rsidR="001D7722">
        <w:rPr>
          <w:lang w:val="fr-FR"/>
        </w:rPr>
        <w:t>"</w:t>
      </w:r>
      <w:r w:rsidRPr="00A36360">
        <w:rPr>
          <w:lang w:val="fr-FR"/>
        </w:rPr>
        <w:t>CMR</w:t>
      </w:r>
      <w:r w:rsidR="001D7722">
        <w:rPr>
          <w:lang w:val="fr-FR"/>
        </w:rPr>
        <w:t>"</w:t>
      </w:r>
      <w:r w:rsidRPr="00A36360">
        <w:rPr>
          <w:lang w:val="fr-FR"/>
        </w:rPr>
        <w:t>.</w:t>
      </w:r>
    </w:p>
    <w:p w:rsidR="00A36360" w:rsidRPr="00A36360" w:rsidRDefault="00A36360" w:rsidP="00A36360">
      <w:pPr>
        <w:pStyle w:val="SingleTxtG"/>
        <w:rPr>
          <w:lang w:val="fr-FR"/>
        </w:rPr>
      </w:pPr>
      <w:r w:rsidRPr="00A36360">
        <w:rPr>
          <w:lang w:val="fr-FR"/>
        </w:rPr>
        <w:t xml:space="preserve">Lorsqu’il s’agit d’une matière ou d’un mélange qui surnage à la surface de l’eau, ne s’évapore pas et est difficilement soluble dans l’eau ou qui sombre au fond de l’eau et est difficilement soluble, ces indications sont complétées respectivement par le code 'F' (pour le terme anglais </w:t>
      </w:r>
      <w:r w:rsidR="001D7722">
        <w:rPr>
          <w:lang w:val="fr-FR"/>
        </w:rPr>
        <w:t>"</w:t>
      </w:r>
      <w:r w:rsidRPr="00A36360">
        <w:rPr>
          <w:lang w:val="fr-FR"/>
        </w:rPr>
        <w:t>Floater</w:t>
      </w:r>
      <w:r w:rsidR="001D7722">
        <w:rPr>
          <w:lang w:val="fr-FR"/>
        </w:rPr>
        <w:t>"</w:t>
      </w:r>
      <w:r w:rsidRPr="00A36360">
        <w:rPr>
          <w:lang w:val="fr-FR"/>
        </w:rPr>
        <w:t xml:space="preserve">) ou 'S' (pour le terme anglais </w:t>
      </w:r>
      <w:r w:rsidR="001D7722">
        <w:rPr>
          <w:lang w:val="fr-FR"/>
        </w:rPr>
        <w:t>"</w:t>
      </w:r>
      <w:r w:rsidRPr="00A36360">
        <w:rPr>
          <w:lang w:val="fr-FR"/>
        </w:rPr>
        <w:t>Sinker</w:t>
      </w:r>
      <w:r w:rsidR="001D7722">
        <w:rPr>
          <w:lang w:val="fr-FR"/>
        </w:rPr>
        <w:t>"</w:t>
      </w:r>
      <w:r w:rsidRPr="00A36360">
        <w:rPr>
          <w:lang w:val="fr-FR"/>
        </w:rPr>
        <w:t>).</w:t>
      </w:r>
    </w:p>
    <w:p w:rsidR="00A36360" w:rsidRPr="00A36360" w:rsidRDefault="00A36360" w:rsidP="00A36360">
      <w:pPr>
        <w:pStyle w:val="SingleTxtG"/>
        <w:rPr>
          <w:u w:val="single"/>
          <w:lang w:val="fr-FR"/>
        </w:rPr>
      </w:pPr>
      <w:r w:rsidRPr="00A36360">
        <w:rPr>
          <w:u w:val="single"/>
          <w:lang w:val="fr-FR"/>
        </w:rPr>
        <w:t>Pour les indications entre parenthèses concernant des dangers ne doivent être utilisés que les codes pertinents pour le transport concret.»</w:t>
      </w:r>
    </w:p>
    <w:p w:rsidR="00A36360" w:rsidRPr="00A36360" w:rsidRDefault="00A36360" w:rsidP="00A36360">
      <w:pPr>
        <w:pStyle w:val="SingleTxtG"/>
        <w:spacing w:before="240" w:after="0"/>
        <w:jc w:val="center"/>
        <w:rPr>
          <w:u w:val="single"/>
        </w:rPr>
      </w:pPr>
      <w:r>
        <w:rPr>
          <w:u w:val="single"/>
          <w:lang w:val="fr-FR"/>
        </w:rPr>
        <w:tab/>
      </w:r>
      <w:r>
        <w:rPr>
          <w:u w:val="single"/>
          <w:lang w:val="fr-FR"/>
        </w:rPr>
        <w:tab/>
      </w:r>
      <w:r>
        <w:rPr>
          <w:u w:val="single"/>
          <w:lang w:val="fr-FR"/>
        </w:rPr>
        <w:tab/>
      </w:r>
    </w:p>
    <w:sectPr w:rsidR="00A36360" w:rsidRPr="00A36360" w:rsidSect="009C73A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5C" w:rsidRDefault="002C405C"/>
  </w:endnote>
  <w:endnote w:type="continuationSeparator" w:id="0">
    <w:p w:rsidR="002C405C" w:rsidRDefault="002C405C"/>
  </w:endnote>
  <w:endnote w:type="continuationNotice" w:id="1">
    <w:p w:rsidR="002C405C" w:rsidRDefault="002C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A2" w:rsidRPr="009C73A2" w:rsidRDefault="009C73A2" w:rsidP="009C73A2">
    <w:pPr>
      <w:pStyle w:val="Footer"/>
      <w:tabs>
        <w:tab w:val="right" w:pos="9638"/>
      </w:tabs>
      <w:rPr>
        <w:sz w:val="18"/>
      </w:rPr>
    </w:pPr>
    <w:r w:rsidRPr="009C73A2">
      <w:rPr>
        <w:b/>
        <w:sz w:val="18"/>
      </w:rPr>
      <w:fldChar w:fldCharType="begin"/>
    </w:r>
    <w:r w:rsidRPr="009C73A2">
      <w:rPr>
        <w:b/>
        <w:sz w:val="18"/>
      </w:rPr>
      <w:instrText xml:space="preserve"> PAGE  \* MERGEFORMAT </w:instrText>
    </w:r>
    <w:r w:rsidRPr="009C73A2">
      <w:rPr>
        <w:b/>
        <w:sz w:val="18"/>
      </w:rPr>
      <w:fldChar w:fldCharType="separate"/>
    </w:r>
    <w:r w:rsidR="005368DB">
      <w:rPr>
        <w:b/>
        <w:noProof/>
        <w:sz w:val="18"/>
      </w:rPr>
      <w:t>2</w:t>
    </w:r>
    <w:r w:rsidRPr="009C73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62" w:rsidRPr="009C73A2" w:rsidRDefault="009C73A2" w:rsidP="009C73A2">
    <w:pPr>
      <w:pStyle w:val="Footer"/>
      <w:tabs>
        <w:tab w:val="right" w:pos="9638"/>
      </w:tabs>
      <w:rPr>
        <w:sz w:val="18"/>
      </w:rPr>
    </w:pPr>
    <w:r>
      <w:tab/>
    </w:r>
    <w:r w:rsidRPr="009C73A2">
      <w:rPr>
        <w:b/>
        <w:sz w:val="18"/>
      </w:rPr>
      <w:fldChar w:fldCharType="begin"/>
    </w:r>
    <w:r w:rsidRPr="009C73A2">
      <w:rPr>
        <w:b/>
        <w:sz w:val="18"/>
      </w:rPr>
      <w:instrText xml:space="preserve"> PAGE  \* MERGEFORMAT </w:instrText>
    </w:r>
    <w:r w:rsidRPr="009C73A2">
      <w:rPr>
        <w:b/>
        <w:sz w:val="18"/>
      </w:rPr>
      <w:fldChar w:fldCharType="separate"/>
    </w:r>
    <w:r w:rsidR="00A36360">
      <w:rPr>
        <w:b/>
        <w:noProof/>
        <w:sz w:val="18"/>
      </w:rPr>
      <w:t>3</w:t>
    </w:r>
    <w:r w:rsidRPr="009C73A2">
      <w:rPr>
        <w:b/>
        <w:sz w:val="18"/>
      </w:rPr>
      <w:fldChar w:fldCharType="end"/>
    </w:r>
    <w:r w:rsidR="00A17EEC" w:rsidRPr="009C73A2">
      <w:rPr>
        <w:noProof/>
        <w:sz w:val="18"/>
        <w:lang w:val="fr-FR" w:eastAsia="fr-FR"/>
      </w:rPr>
      <w:drawing>
        <wp:anchor distT="0" distB="0" distL="114300" distR="114300" simplePos="0" relativeHeight="251657728" behindDoc="0" locked="0" layoutInCell="1" allowOverlap="1" wp14:anchorId="2F00D6C5" wp14:editId="4E3C196F">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A2" w:rsidRPr="00F47359" w:rsidRDefault="00F47359" w:rsidP="00F47359">
    <w:pPr>
      <w:pStyle w:val="Footer"/>
      <w:rPr>
        <w:sz w:val="20"/>
      </w:rPr>
    </w:pPr>
    <w:r>
      <w:rPr>
        <w:sz w:val="20"/>
      </w:rPr>
      <w:t>GE.</w:t>
    </w:r>
    <w:r>
      <w:rPr>
        <w:noProof/>
        <w:lang w:val="fr-FR" w:eastAsia="fr-FR"/>
      </w:rPr>
      <w:drawing>
        <wp:anchor distT="0" distB="0" distL="114300" distR="114300" simplePos="0" relativeHeight="251659776" behindDoc="0" locked="0" layoutInCell="1" allowOverlap="1" wp14:anchorId="2CC3EB2C" wp14:editId="7321B911">
          <wp:simplePos x="0" y="0"/>
          <wp:positionH relativeFrom="column">
            <wp:posOffset>5040630</wp:posOffset>
          </wp:positionH>
          <wp:positionV relativeFrom="line">
            <wp:posOffset>-107950</wp:posOffset>
          </wp:positionV>
          <wp:extent cx="1104265" cy="233045"/>
          <wp:effectExtent l="0" t="0" r="635" b="0"/>
          <wp:wrapNone/>
          <wp:docPr id="3" name="Pictur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5C" w:rsidRPr="00D27D5E" w:rsidRDefault="002C405C" w:rsidP="00D27D5E">
      <w:pPr>
        <w:tabs>
          <w:tab w:val="right" w:pos="2155"/>
        </w:tabs>
        <w:spacing w:after="80"/>
        <w:ind w:left="680"/>
        <w:rPr>
          <w:u w:val="single"/>
        </w:rPr>
      </w:pPr>
      <w:r>
        <w:rPr>
          <w:u w:val="single"/>
        </w:rPr>
        <w:tab/>
      </w:r>
    </w:p>
  </w:footnote>
  <w:footnote w:type="continuationSeparator" w:id="0">
    <w:p w:rsidR="002C405C" w:rsidRPr="003F3EFA" w:rsidRDefault="002C405C" w:rsidP="003F3EFA">
      <w:pPr>
        <w:tabs>
          <w:tab w:val="left" w:pos="2155"/>
        </w:tabs>
        <w:spacing w:after="80"/>
        <w:ind w:left="680"/>
        <w:rPr>
          <w:u w:val="single"/>
        </w:rPr>
      </w:pPr>
      <w:r w:rsidRPr="003F3EFA">
        <w:rPr>
          <w:u w:val="single"/>
        </w:rPr>
        <w:tab/>
      </w:r>
    </w:p>
  </w:footnote>
  <w:footnote w:type="continuationNotice" w:id="1">
    <w:p w:rsidR="002C405C" w:rsidRDefault="002C405C"/>
  </w:footnote>
  <w:footnote w:id="2">
    <w:p w:rsidR="00F47359" w:rsidRDefault="00F47359" w:rsidP="00F47359">
      <w:pPr>
        <w:pStyle w:val="FootnoteText"/>
        <w:widowControl w:val="0"/>
        <w:tabs>
          <w:tab w:val="clear" w:pos="1021"/>
          <w:tab w:val="right" w:pos="1020"/>
        </w:tabs>
      </w:pPr>
      <w:r>
        <w:tab/>
      </w:r>
      <w:r>
        <w:rPr>
          <w:rStyle w:val="FootnoteReference"/>
        </w:rPr>
        <w:footnoteRef/>
      </w:r>
      <w:r>
        <w:tab/>
      </w:r>
      <w:r w:rsidRPr="00F47359">
        <w:t>Diffusé en langue allemande par la Commission centrale pour la navigation du Rhin sous la cote CCNR/ZKR/ADN/WP.15/AC.2/2016/</w:t>
      </w:r>
      <w:r w:rsidR="00295959">
        <w:t>7</w:t>
      </w:r>
      <w:r w:rsidRPr="00F4735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A2" w:rsidRPr="009C73A2" w:rsidRDefault="009C73A2">
    <w:pPr>
      <w:pStyle w:val="Header"/>
    </w:pPr>
    <w:r>
      <w:t>ECE/TRANS/WP.15/AC.2/2016/7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A2" w:rsidRPr="009C73A2" w:rsidRDefault="009C73A2" w:rsidP="009C73A2">
    <w:pPr>
      <w:pStyle w:val="Header"/>
      <w:jc w:val="right"/>
    </w:pPr>
    <w:r>
      <w:t>ECE/TRANS/WP.15/AC.2/2016/7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55C0005E"/>
    <w:multiLevelType w:val="hybridMultilevel"/>
    <w:tmpl w:val="168C680E"/>
    <w:lvl w:ilvl="0" w:tplc="7D9E9F34">
      <w:start w:val="3"/>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A2"/>
    <w:rsid w:val="00015347"/>
    <w:rsid w:val="00016AC5"/>
    <w:rsid w:val="00030ADE"/>
    <w:rsid w:val="000312C0"/>
    <w:rsid w:val="00070511"/>
    <w:rsid w:val="00085B9B"/>
    <w:rsid w:val="000B0D4D"/>
    <w:rsid w:val="000F41F2"/>
    <w:rsid w:val="00117BFB"/>
    <w:rsid w:val="00135C0D"/>
    <w:rsid w:val="00160540"/>
    <w:rsid w:val="0017182C"/>
    <w:rsid w:val="00177007"/>
    <w:rsid w:val="00186EE9"/>
    <w:rsid w:val="00192EEB"/>
    <w:rsid w:val="001A20FB"/>
    <w:rsid w:val="001B6F40"/>
    <w:rsid w:val="001D7722"/>
    <w:rsid w:val="001D7F8A"/>
    <w:rsid w:val="001E3FEB"/>
    <w:rsid w:val="001E4A02"/>
    <w:rsid w:val="001F1A6C"/>
    <w:rsid w:val="00223B89"/>
    <w:rsid w:val="00225A8C"/>
    <w:rsid w:val="00234E40"/>
    <w:rsid w:val="00265652"/>
    <w:rsid w:val="002659F1"/>
    <w:rsid w:val="00271C7C"/>
    <w:rsid w:val="00287E79"/>
    <w:rsid w:val="002928F9"/>
    <w:rsid w:val="00295959"/>
    <w:rsid w:val="002A5D07"/>
    <w:rsid w:val="002C405C"/>
    <w:rsid w:val="002D7669"/>
    <w:rsid w:val="002F4E78"/>
    <w:rsid w:val="003016B7"/>
    <w:rsid w:val="00330F9C"/>
    <w:rsid w:val="00340C35"/>
    <w:rsid w:val="003515AA"/>
    <w:rsid w:val="00370E0F"/>
    <w:rsid w:val="00374106"/>
    <w:rsid w:val="003976D5"/>
    <w:rsid w:val="003A2976"/>
    <w:rsid w:val="003C3BD4"/>
    <w:rsid w:val="003D1DF3"/>
    <w:rsid w:val="003D46A7"/>
    <w:rsid w:val="003D6C68"/>
    <w:rsid w:val="003F3EFA"/>
    <w:rsid w:val="004159D0"/>
    <w:rsid w:val="004249E7"/>
    <w:rsid w:val="004532CE"/>
    <w:rsid w:val="004812F5"/>
    <w:rsid w:val="00530F2E"/>
    <w:rsid w:val="005368DB"/>
    <w:rsid w:val="00543D5E"/>
    <w:rsid w:val="00571F41"/>
    <w:rsid w:val="00595BE4"/>
    <w:rsid w:val="005B76A3"/>
    <w:rsid w:val="005E5D1F"/>
    <w:rsid w:val="00603391"/>
    <w:rsid w:val="00611D43"/>
    <w:rsid w:val="00612D48"/>
    <w:rsid w:val="00616B45"/>
    <w:rsid w:val="00630D9B"/>
    <w:rsid w:val="00631953"/>
    <w:rsid w:val="006439EC"/>
    <w:rsid w:val="006A11FB"/>
    <w:rsid w:val="006B4590"/>
    <w:rsid w:val="006C340C"/>
    <w:rsid w:val="006E5FC7"/>
    <w:rsid w:val="0070347C"/>
    <w:rsid w:val="007176C1"/>
    <w:rsid w:val="00763EB9"/>
    <w:rsid w:val="00790F2F"/>
    <w:rsid w:val="007971B7"/>
    <w:rsid w:val="007F55CB"/>
    <w:rsid w:val="00812C1A"/>
    <w:rsid w:val="008317F6"/>
    <w:rsid w:val="00844750"/>
    <w:rsid w:val="008B44C4"/>
    <w:rsid w:val="008B7879"/>
    <w:rsid w:val="008D3919"/>
    <w:rsid w:val="008E7FAE"/>
    <w:rsid w:val="00911972"/>
    <w:rsid w:val="00911BF7"/>
    <w:rsid w:val="00916183"/>
    <w:rsid w:val="00952FDB"/>
    <w:rsid w:val="00977EC8"/>
    <w:rsid w:val="009B18A3"/>
    <w:rsid w:val="009C73A2"/>
    <w:rsid w:val="009D3A8C"/>
    <w:rsid w:val="009E01B8"/>
    <w:rsid w:val="009E7956"/>
    <w:rsid w:val="00A17EEC"/>
    <w:rsid w:val="00A2492E"/>
    <w:rsid w:val="00A36360"/>
    <w:rsid w:val="00A70163"/>
    <w:rsid w:val="00AC67A1"/>
    <w:rsid w:val="00AC7977"/>
    <w:rsid w:val="00AE352C"/>
    <w:rsid w:val="00B32E2D"/>
    <w:rsid w:val="00B4466B"/>
    <w:rsid w:val="00B61990"/>
    <w:rsid w:val="00B71396"/>
    <w:rsid w:val="00B85D99"/>
    <w:rsid w:val="00B93E72"/>
    <w:rsid w:val="00BF0556"/>
    <w:rsid w:val="00C24B53"/>
    <w:rsid w:val="00C261F8"/>
    <w:rsid w:val="00C33100"/>
    <w:rsid w:val="00C57892"/>
    <w:rsid w:val="00C940E9"/>
    <w:rsid w:val="00CB6267"/>
    <w:rsid w:val="00CB6C88"/>
    <w:rsid w:val="00CD1A71"/>
    <w:rsid w:val="00CD1FBB"/>
    <w:rsid w:val="00CD79EB"/>
    <w:rsid w:val="00CE5BF6"/>
    <w:rsid w:val="00CF0A0B"/>
    <w:rsid w:val="00D016B5"/>
    <w:rsid w:val="00D034F1"/>
    <w:rsid w:val="00D11B17"/>
    <w:rsid w:val="00D27D5E"/>
    <w:rsid w:val="00D60301"/>
    <w:rsid w:val="00D80E62"/>
    <w:rsid w:val="00DA57D4"/>
    <w:rsid w:val="00DB4793"/>
    <w:rsid w:val="00DE01E3"/>
    <w:rsid w:val="00DE6D90"/>
    <w:rsid w:val="00DF002F"/>
    <w:rsid w:val="00E0244D"/>
    <w:rsid w:val="00E0331A"/>
    <w:rsid w:val="00E50079"/>
    <w:rsid w:val="00E55D71"/>
    <w:rsid w:val="00E81E94"/>
    <w:rsid w:val="00E82607"/>
    <w:rsid w:val="00EA31C2"/>
    <w:rsid w:val="00EE1424"/>
    <w:rsid w:val="00EE2EA3"/>
    <w:rsid w:val="00EF486C"/>
    <w:rsid w:val="00F01516"/>
    <w:rsid w:val="00F47359"/>
    <w:rsid w:val="00F57129"/>
    <w:rsid w:val="00FA5A79"/>
    <w:rsid w:val="00FB00CB"/>
    <w:rsid w:val="00FB0BFE"/>
    <w:rsid w:val="00FB4C51"/>
    <w:rsid w:val="00FC6617"/>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B7F3987-4280-4220-9D4F-8402427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basedOn w:val="DefaultParagraphFont"/>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basedOn w:val="DefaultParagraphFont"/>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A0B"/>
    <w:rPr>
      <w:color w:val="auto"/>
      <w:u w:val="none"/>
    </w:rPr>
  </w:style>
  <w:style w:type="character" w:styleId="FollowedHyperlink">
    <w:name w:val="FollowedHyperlink"/>
    <w:basedOn w:val="DefaultParagraphFont"/>
    <w:semiHidden/>
    <w:rsid w:val="00CF0A0B"/>
    <w:rPr>
      <w:color w:val="auto"/>
      <w:u w:val="none"/>
    </w:rPr>
  </w:style>
  <w:style w:type="paragraph" w:styleId="BalloonText">
    <w:name w:val="Balloon Text"/>
    <w:basedOn w:val="Normal"/>
    <w:link w:val="BalloonTextChar"/>
    <w:rsid w:val="009C73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73A2"/>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5_AC2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TRANS_WP15_AC2_F</Template>
  <TotalTime>1</TotalTime>
  <Pages>2</Pages>
  <Words>678</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vt:lpstr>
      <vt:lpstr>ECE/TRANS/WP.15/AC.2/</vt:lpstr>
    </vt:vector>
  </TitlesOfParts>
  <Company>CSD</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Caillot</dc:creator>
  <cp:lastModifiedBy>Caillot</cp:lastModifiedBy>
  <cp:revision>2</cp:revision>
  <cp:lastPrinted>2009-10-06T13:35:00Z</cp:lastPrinted>
  <dcterms:created xsi:type="dcterms:W3CDTF">2015-10-23T14:22:00Z</dcterms:created>
  <dcterms:modified xsi:type="dcterms:W3CDTF">2015-10-23T14:22:00Z</dcterms:modified>
</cp:coreProperties>
</file>