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08" w:rsidRPr="00C842F6" w:rsidRDefault="00FB2908" w:rsidP="00FB2908">
      <w:pPr>
        <w:spacing w:line="60" w:lineRule="exact"/>
        <w:rPr>
          <w:color w:val="010000"/>
          <w:sz w:val="6"/>
        </w:rPr>
        <w:sectPr w:rsidR="00FB2908" w:rsidRPr="00C842F6" w:rsidSect="00FB290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C842F6" w:rsidRPr="00C842F6" w:rsidRDefault="00C842F6" w:rsidP="00C842F6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C842F6">
        <w:lastRenderedPageBreak/>
        <w:t>Европейская экономическая комиссия</w:t>
      </w:r>
    </w:p>
    <w:p w:rsidR="00C842F6" w:rsidRPr="00C842F6" w:rsidRDefault="00C842F6" w:rsidP="00C842F6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C842F6" w:rsidRPr="00C842F6" w:rsidRDefault="00C842F6" w:rsidP="00C842F6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C842F6">
        <w:rPr>
          <w:b w:val="0"/>
          <w:bCs/>
        </w:rPr>
        <w:t>Комитет по внутреннему транспорту</w:t>
      </w:r>
    </w:p>
    <w:p w:rsidR="00C842F6" w:rsidRPr="00C842F6" w:rsidRDefault="00C842F6" w:rsidP="00C842F6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C842F6" w:rsidRPr="00C842F6" w:rsidRDefault="00C842F6" w:rsidP="00C842F6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C842F6">
        <w:t>Рабочая группа по перевозкам опасных грузов</w:t>
      </w:r>
    </w:p>
    <w:p w:rsidR="00C842F6" w:rsidRPr="00C842F6" w:rsidRDefault="00C842F6" w:rsidP="00C842F6">
      <w:pPr>
        <w:spacing w:line="120" w:lineRule="exact"/>
        <w:rPr>
          <w:b/>
          <w:bCs/>
          <w:sz w:val="10"/>
        </w:rPr>
      </w:pPr>
    </w:p>
    <w:p w:rsidR="00C842F6" w:rsidRPr="00C842F6" w:rsidRDefault="00C842F6" w:rsidP="00AB130D">
      <w:pPr>
        <w:rPr>
          <w:b/>
          <w:bCs/>
        </w:rPr>
      </w:pPr>
      <w:r w:rsidRPr="00C842F6">
        <w:rPr>
          <w:b/>
          <w:bCs/>
        </w:rPr>
        <w:t>Совместное совещание Комиссии экспертов МПОГ</w:t>
      </w:r>
      <w:r w:rsidR="00AB130D">
        <w:rPr>
          <w:b/>
          <w:bCs/>
        </w:rPr>
        <w:br/>
      </w:r>
      <w:r w:rsidRPr="00C842F6">
        <w:rPr>
          <w:b/>
          <w:bCs/>
        </w:rPr>
        <w:t>и Рабочей группы по перевозкам опасных грузов</w:t>
      </w:r>
    </w:p>
    <w:p w:rsidR="00C842F6" w:rsidRPr="00C842F6" w:rsidRDefault="00C842F6" w:rsidP="00C842F6">
      <w:r w:rsidRPr="00C842F6">
        <w:t>Берн, 14–18 марта 2016 года</w:t>
      </w:r>
    </w:p>
    <w:p w:rsidR="00C842F6" w:rsidRPr="00C842F6" w:rsidRDefault="00C842F6" w:rsidP="00C842F6">
      <w:r w:rsidRPr="00C842F6">
        <w:t>Пункт 6 предварительной повестки дня</w:t>
      </w:r>
    </w:p>
    <w:p w:rsidR="00C842F6" w:rsidRPr="00C842F6" w:rsidRDefault="00C842F6" w:rsidP="00C842F6">
      <w:pPr>
        <w:rPr>
          <w:b/>
          <w:bCs/>
        </w:rPr>
      </w:pPr>
      <w:r w:rsidRPr="00C842F6">
        <w:rPr>
          <w:b/>
          <w:bCs/>
        </w:rPr>
        <w:t>Доклады неофициальных рабочих групп</w:t>
      </w:r>
    </w:p>
    <w:p w:rsidR="00C842F6" w:rsidRPr="00C842F6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C842F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842F6">
        <w:tab/>
      </w:r>
      <w:r w:rsidRPr="00C842F6">
        <w:tab/>
        <w:t xml:space="preserve">Доклад неофициальной рабочей группы по </w:t>
      </w:r>
      <w:proofErr w:type="spellStart"/>
      <w:r w:rsidRPr="00C842F6">
        <w:t>телематике</w:t>
      </w:r>
      <w:proofErr w:type="spellEnd"/>
      <w:r w:rsidRPr="00C842F6">
        <w:t xml:space="preserve"> (Бордо, 6</w:t>
      </w:r>
      <w:r w:rsidR="00AB130D">
        <w:t>–</w:t>
      </w:r>
      <w:r w:rsidRPr="00C842F6">
        <w:t>8 октября 2015 года)</w:t>
      </w:r>
    </w:p>
    <w:p w:rsidR="00C842F6" w:rsidRPr="00C842F6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AB130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842F6">
        <w:tab/>
      </w:r>
      <w:r w:rsidRPr="00C842F6">
        <w:tab/>
        <w:t xml:space="preserve">Передано правительством Франции </w:t>
      </w:r>
      <w:r w:rsidRPr="00AB130D">
        <w:rPr>
          <w:b w:val="0"/>
          <w:bCs/>
          <w:sz w:val="20"/>
          <w:vertAlign w:val="superscript"/>
        </w:rPr>
        <w:footnoteReference w:id="1"/>
      </w:r>
      <w:r w:rsidR="00AB130D" w:rsidRPr="00AB130D">
        <w:rPr>
          <w:b w:val="0"/>
          <w:bCs/>
          <w:vertAlign w:val="superscript"/>
        </w:rPr>
        <w:t>,</w:t>
      </w:r>
      <w:r w:rsidR="00AB130D">
        <w:rPr>
          <w:b w:val="0"/>
          <w:bCs/>
        </w:rPr>
        <w:t xml:space="preserve"> </w:t>
      </w:r>
      <w:r w:rsidRPr="00AB130D">
        <w:rPr>
          <w:b w:val="0"/>
          <w:bCs/>
          <w:sz w:val="20"/>
          <w:vertAlign w:val="superscript"/>
        </w:rPr>
        <w:footnoteReference w:id="2"/>
      </w:r>
    </w:p>
    <w:p w:rsidR="00C842F6" w:rsidRPr="00C842F6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C842F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842F6">
        <w:tab/>
      </w:r>
      <w:r w:rsidRPr="00C842F6">
        <w:tab/>
        <w:t>Введение</w:t>
      </w:r>
    </w:p>
    <w:p w:rsidR="00C842F6" w:rsidRPr="00C842F6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C842F6">
      <w:pPr>
        <w:pStyle w:val="SingleTxt"/>
      </w:pPr>
      <w:r w:rsidRPr="00C842F6">
        <w:t>1.</w:t>
      </w:r>
      <w:r w:rsidRPr="00C842F6">
        <w:tab/>
        <w:t xml:space="preserve">Неофициальная рабочая группа по </w:t>
      </w:r>
      <w:proofErr w:type="spellStart"/>
      <w:r w:rsidRPr="00C842F6">
        <w:t>телематике</w:t>
      </w:r>
      <w:proofErr w:type="spellEnd"/>
      <w:r w:rsidRPr="00C842F6">
        <w:t xml:space="preserve"> провела свое совещание в Бордо 7 и 8 октября 2015 года под председательством г-на К. </w:t>
      </w:r>
      <w:proofErr w:type="spellStart"/>
      <w:r w:rsidRPr="00C842F6">
        <w:t>Пфоваделя</w:t>
      </w:r>
      <w:proofErr w:type="spellEnd"/>
      <w:r w:rsidRPr="00C842F6">
        <w:t xml:space="preserve"> (Фра</w:t>
      </w:r>
      <w:r w:rsidRPr="00C842F6">
        <w:t>н</w:t>
      </w:r>
      <w:r w:rsidRPr="00C842F6">
        <w:t>ция) в ходе Всемирного конгресса по интеллектуальным транспортным системам (ИТС).</w:t>
      </w:r>
    </w:p>
    <w:p w:rsidR="00C842F6" w:rsidRPr="00C842F6" w:rsidRDefault="00C842F6" w:rsidP="000D16E2">
      <w:pPr>
        <w:pStyle w:val="SingleTxt"/>
      </w:pPr>
      <w:r w:rsidRPr="00C842F6">
        <w:t>2.</w:t>
      </w:r>
      <w:r w:rsidRPr="00C842F6">
        <w:tab/>
      </w:r>
      <w:proofErr w:type="gramStart"/>
      <w:r w:rsidRPr="00C842F6">
        <w:t>В совещании приняли участие представители Германии, Испании, Италии, Нидерландов, Словакии, Соединенного Королевства Великобритании и Северной Ирландии, Швеции и Франции, Европейского железнодорожного агентства (ЕЖДА), Межправительственной организации по международным железнод</w:t>
      </w:r>
      <w:r w:rsidRPr="00C842F6">
        <w:t>о</w:t>
      </w:r>
      <w:r w:rsidRPr="00C842F6">
        <w:t>рожным перевозкам (ОТИФ), Международного союза железных дорог (МСЖД), Международного союза автомобильного транспорта (МСАТ) и Союза предпри</w:t>
      </w:r>
      <w:r w:rsidRPr="00C842F6">
        <w:t>я</w:t>
      </w:r>
      <w:r w:rsidRPr="00C842F6">
        <w:t>тий европейской железнодорожной промышленности (ЮНИФЕ), а также пре</w:t>
      </w:r>
      <w:r w:rsidRPr="00C842F6">
        <w:t>д</w:t>
      </w:r>
      <w:r w:rsidRPr="00C842F6">
        <w:t xml:space="preserve">ставители ряда учреждений и частных компаний, занимающихся </w:t>
      </w:r>
      <w:r w:rsidR="000D16E2">
        <w:t>«</w:t>
      </w:r>
      <w:proofErr w:type="spellStart"/>
      <w:r w:rsidRPr="00C842F6">
        <w:t>телематич</w:t>
      </w:r>
      <w:r w:rsidRPr="00C842F6">
        <w:t>е</w:t>
      </w:r>
      <w:r w:rsidRPr="00C842F6">
        <w:t>скими</w:t>
      </w:r>
      <w:proofErr w:type="spellEnd"/>
      <w:r w:rsidR="000D16E2">
        <w:t>»</w:t>
      </w:r>
      <w:r w:rsidRPr="00C842F6">
        <w:t xml:space="preserve"> разработками в области</w:t>
      </w:r>
      <w:proofErr w:type="gramEnd"/>
      <w:r w:rsidRPr="00C842F6">
        <w:t xml:space="preserve"> перевозки опасных грузов (ПОГ). Список учас</w:t>
      </w:r>
      <w:r w:rsidRPr="00C842F6">
        <w:t>т</w:t>
      </w:r>
      <w:r w:rsidRPr="00C842F6">
        <w:t>ников будет распространен в качестве неофициального документа.</w:t>
      </w:r>
    </w:p>
    <w:p w:rsidR="00C842F6" w:rsidRPr="00C842F6" w:rsidRDefault="00C842F6" w:rsidP="00C842F6">
      <w:pPr>
        <w:pStyle w:val="SingleTxt"/>
      </w:pPr>
      <w:r w:rsidRPr="00C842F6">
        <w:t>3.</w:t>
      </w:r>
      <w:r w:rsidRPr="00C842F6">
        <w:tab/>
        <w:t>Совещание проводилось на английском языке без устного перевода. Подг</w:t>
      </w:r>
      <w:r w:rsidRPr="00C842F6">
        <w:t>о</w:t>
      </w:r>
      <w:r w:rsidRPr="00C842F6">
        <w:t>товлены резюме всех сообщений и представленных материалов, которые будут распространены в качестве неофициальных документов.</w:t>
      </w:r>
    </w:p>
    <w:p w:rsidR="00C842F6" w:rsidRPr="00C842F6" w:rsidRDefault="00C842F6" w:rsidP="00C842F6">
      <w:pPr>
        <w:pStyle w:val="SingleTxt"/>
      </w:pPr>
      <w:r w:rsidRPr="00C842F6">
        <w:lastRenderedPageBreak/>
        <w:t>4.</w:t>
      </w:r>
      <w:r w:rsidRPr="00C842F6">
        <w:tab/>
        <w:t>До проведения собственно совещания рабочей группы во второй половине дня 6 октября 2015 года в рамках конгресса по ИТС прошел открытый семинар. Экземпляры презентаций, использованных в ходе выступлений на этом семинаре, будут распространены в качестве неофициального документа; в них приводятся недавние примеры использования прикладных программ для транспорта или ИТС государственным сектором, а также некоторые примеры используемых на практике прикладных программ для ИТС, разработанных частными компаниями.</w:t>
      </w:r>
    </w:p>
    <w:p w:rsidR="00C842F6" w:rsidRPr="00C842F6" w:rsidRDefault="00C842F6" w:rsidP="00C842F6">
      <w:pPr>
        <w:pStyle w:val="SingleTxt"/>
      </w:pPr>
      <w:r w:rsidRPr="00C842F6">
        <w:t>5.</w:t>
      </w:r>
      <w:r w:rsidRPr="00C842F6">
        <w:tab/>
        <w:t>В числе конкретных реализованных проектов приводились два примера уже внедренных архитектур Доверительной стороны 1 (ДС</w:t>
      </w:r>
      <w:proofErr w:type="gramStart"/>
      <w:r w:rsidRPr="00C842F6">
        <w:t>1</w:t>
      </w:r>
      <w:proofErr w:type="gramEnd"/>
      <w:r w:rsidRPr="00C842F6">
        <w:t>) и четыре рабочих пр</w:t>
      </w:r>
      <w:r w:rsidRPr="00C842F6">
        <w:t>и</w:t>
      </w:r>
      <w:r w:rsidRPr="00C842F6">
        <w:t>мера возможной архитектуры Доверительной стороны 2 (ДС2), разработанных в рамках пилотного проекта GEOTRANSMD, которые вызвали значительный инт</w:t>
      </w:r>
      <w:r w:rsidRPr="00C842F6">
        <w:t>е</w:t>
      </w:r>
      <w:r w:rsidRPr="00C842F6">
        <w:t>рес у участников, в том числе у представителей Европейского союза (ГД по м</w:t>
      </w:r>
      <w:r w:rsidRPr="00C842F6">
        <w:t>о</w:t>
      </w:r>
      <w:r w:rsidRPr="00C842F6">
        <w:t>бильности) и Отдела транспорта Европейской экономической комиссии Орган</w:t>
      </w:r>
      <w:r w:rsidRPr="00C842F6">
        <w:t>и</w:t>
      </w:r>
      <w:r w:rsidRPr="00C842F6">
        <w:t>зации Объединенных Наций. Подробная информация об этих разработках прив</w:t>
      </w:r>
      <w:r w:rsidRPr="00C842F6">
        <w:t>о</w:t>
      </w:r>
      <w:r w:rsidRPr="00C842F6">
        <w:t>дится в презентации, которая будет распространена в качестве неофициального документа.</w:t>
      </w:r>
    </w:p>
    <w:p w:rsidR="00C842F6" w:rsidRPr="00C842F6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C842F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842F6">
        <w:tab/>
      </w:r>
      <w:r w:rsidRPr="00C842F6">
        <w:tab/>
        <w:t xml:space="preserve">Резюме обсуждений в ходе совещания рабочей группы </w:t>
      </w:r>
    </w:p>
    <w:p w:rsidR="00C842F6" w:rsidRPr="006305EC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6305EC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C842F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842F6">
        <w:tab/>
      </w:r>
      <w:r w:rsidRPr="00C842F6">
        <w:tab/>
        <w:t>Представление тематического исследования Швеции: добровольный транспортный мониторинг с использованием технологий ИТС</w:t>
      </w:r>
    </w:p>
    <w:p w:rsidR="00C842F6" w:rsidRPr="00C842F6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0D16E2">
      <w:pPr>
        <w:pStyle w:val="SingleTxt"/>
      </w:pPr>
      <w:r w:rsidRPr="00C842F6">
        <w:t>6.</w:t>
      </w:r>
      <w:r w:rsidRPr="00C842F6">
        <w:tab/>
        <w:t>Утреннее заседание 7 октября было решено начать с презентации шведского эксперта, поскольку в рамках конгресса у него были запланированы и другие м</w:t>
      </w:r>
      <w:r w:rsidRPr="00C842F6">
        <w:t>е</w:t>
      </w:r>
      <w:r w:rsidRPr="00C842F6">
        <w:t xml:space="preserve">роприятия. Г-н </w:t>
      </w:r>
      <w:proofErr w:type="spellStart"/>
      <w:r w:rsidRPr="00C842F6">
        <w:t>Штернберг</w:t>
      </w:r>
      <w:proofErr w:type="spellEnd"/>
      <w:r w:rsidRPr="00C842F6">
        <w:t xml:space="preserve"> (</w:t>
      </w:r>
      <w:proofErr w:type="spellStart"/>
      <w:r w:rsidRPr="00C842F6">
        <w:t>Лундский</w:t>
      </w:r>
      <w:proofErr w:type="spellEnd"/>
      <w:r w:rsidRPr="00C842F6">
        <w:t xml:space="preserve"> университет) представил прикладную пр</w:t>
      </w:r>
      <w:r w:rsidRPr="00C842F6">
        <w:t>о</w:t>
      </w:r>
      <w:r w:rsidRPr="00C842F6">
        <w:t>грамму для ИТС, в основе которой лежит принцип добровольного транспортного мониторинга, осуществляемого работающими в Швеции транспортными опер</w:t>
      </w:r>
      <w:r w:rsidRPr="00C842F6">
        <w:t>а</w:t>
      </w:r>
      <w:r w:rsidRPr="00C842F6">
        <w:t>торами. Он пояснил, что это делается в рамках добровольной кампании по с</w:t>
      </w:r>
      <w:r w:rsidRPr="00C842F6">
        <w:t>о</w:t>
      </w:r>
      <w:r w:rsidRPr="00C842F6">
        <w:t>блюдению, в частности, национального законодательства о запрете незаконных каботажных перевозок иностранными транспортными компаниями или их д</w:t>
      </w:r>
      <w:r w:rsidRPr="00C842F6">
        <w:t>о</w:t>
      </w:r>
      <w:r w:rsidRPr="00C842F6">
        <w:t>черними компаниями. Транспортные операторы, которые принимают участие в этой программе, регистрируются в ИТС, в которой ведется мониторинг всех осуществляемых ими транспортных операций. Доступ к некоторому объему с</w:t>
      </w:r>
      <w:r w:rsidRPr="00C842F6">
        <w:t>о</w:t>
      </w:r>
      <w:r w:rsidRPr="00C842F6">
        <w:t>бранных данных имеют третьи стороны, такие как грузоотправители, транспор</w:t>
      </w:r>
      <w:r w:rsidRPr="00C842F6">
        <w:t>т</w:t>
      </w:r>
      <w:r w:rsidRPr="00C842F6">
        <w:t xml:space="preserve">ные брокеры или соответствующие организации граждан. Основные шведские компании приняли решение о том, что после 2017 года они будут работать только с </w:t>
      </w:r>
      <w:r w:rsidR="000D16E2">
        <w:t>«</w:t>
      </w:r>
      <w:r w:rsidRPr="00C842F6">
        <w:t>прозрачными</w:t>
      </w:r>
      <w:r w:rsidR="000D16E2">
        <w:t>»</w:t>
      </w:r>
      <w:r w:rsidRPr="00C842F6">
        <w:t xml:space="preserve"> транспортными компаниями, принимающими участие в пр</w:t>
      </w:r>
      <w:r w:rsidRPr="00C842F6">
        <w:t>о</w:t>
      </w:r>
      <w:r w:rsidRPr="00C842F6">
        <w:t xml:space="preserve">грамме. Ожидается, что в результате этого компании, бизнес-модель которых </w:t>
      </w:r>
      <w:proofErr w:type="gramStart"/>
      <w:r w:rsidRPr="00C842F6">
        <w:t>о</w:t>
      </w:r>
      <w:r w:rsidRPr="00C842F6">
        <w:t>с</w:t>
      </w:r>
      <w:r w:rsidRPr="00C842F6">
        <w:t>нована</w:t>
      </w:r>
      <w:proofErr w:type="gramEnd"/>
      <w:r w:rsidRPr="00C842F6">
        <w:t xml:space="preserve"> на сознательном нарушении норм каботажных перевозок, в конечном ит</w:t>
      </w:r>
      <w:r w:rsidRPr="00C842F6">
        <w:t>о</w:t>
      </w:r>
      <w:r w:rsidRPr="00C842F6">
        <w:t>ге уйдут со шведского рынка транспортных услуг.</w:t>
      </w:r>
    </w:p>
    <w:p w:rsidR="00C842F6" w:rsidRPr="00C842F6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C842F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842F6">
        <w:tab/>
      </w:r>
      <w:r w:rsidRPr="00C842F6">
        <w:tab/>
        <w:t>Предварительное обсуждение</w:t>
      </w:r>
    </w:p>
    <w:p w:rsidR="00C842F6" w:rsidRPr="00C842F6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C842F6">
      <w:pPr>
        <w:pStyle w:val="SingleTxt"/>
      </w:pPr>
      <w:r w:rsidRPr="00C842F6">
        <w:t>7.</w:t>
      </w:r>
      <w:r w:rsidRPr="00C842F6">
        <w:tab/>
        <w:t>До обсуждения конкретных аспектов, касающихся оценки воздействия, и конкретных технических вопросов внедрения соответствующей архитектуры, с</w:t>
      </w:r>
      <w:r w:rsidRPr="00C842F6">
        <w:t>о</w:t>
      </w:r>
      <w:r w:rsidRPr="00C842F6">
        <w:t>стоялось предварительное обсуждение. Резюме основных затронутых тем прив</w:t>
      </w:r>
      <w:r w:rsidRPr="00C842F6">
        <w:t>о</w:t>
      </w:r>
      <w:r w:rsidRPr="00C842F6">
        <w:t>дится ниже.</w:t>
      </w:r>
    </w:p>
    <w:p w:rsidR="00C842F6" w:rsidRPr="00C842F6" w:rsidRDefault="00C842F6" w:rsidP="00C842F6">
      <w:pPr>
        <w:pStyle w:val="SingleTxt"/>
      </w:pPr>
      <w:r w:rsidRPr="00C842F6">
        <w:t>8.</w:t>
      </w:r>
      <w:r w:rsidRPr="00C842F6">
        <w:tab/>
        <w:t>Было отмечено, что согласованной целью архитектур ДС</w:t>
      </w:r>
      <w:proofErr w:type="gramStart"/>
      <w:r w:rsidRPr="00C842F6">
        <w:t>1</w:t>
      </w:r>
      <w:proofErr w:type="gramEnd"/>
      <w:r w:rsidRPr="00C842F6">
        <w:t>/ДС2, которые изучаются неофициальной рабочей группой и были утверждены Совместным с</w:t>
      </w:r>
      <w:r w:rsidRPr="00C842F6">
        <w:t>о</w:t>
      </w:r>
      <w:r w:rsidRPr="00C842F6">
        <w:t>вещанием как то направление, в котором следует двигаться дальше, является предоставление транспортным операторам, сотрудникам служб безопасности д</w:t>
      </w:r>
      <w:r w:rsidRPr="00C842F6">
        <w:t>о</w:t>
      </w:r>
      <w:r w:rsidRPr="00C842F6">
        <w:lastRenderedPageBreak/>
        <w:t>рожного движения или реагирования на чрезвычайные ситуации доступа к транспортным данным на нематериальных носителях. Таким образом, эта цель сильно отличается от мониторинга, даже если он проводится на добровольной основе, как в описанном выше примере.</w:t>
      </w:r>
    </w:p>
    <w:p w:rsidR="00C842F6" w:rsidRPr="00C842F6" w:rsidRDefault="00C842F6" w:rsidP="00C842F6">
      <w:pPr>
        <w:pStyle w:val="SingleTxt"/>
      </w:pPr>
      <w:r w:rsidRPr="00C842F6">
        <w:t>9.</w:t>
      </w:r>
      <w:r w:rsidRPr="00C842F6">
        <w:tab/>
        <w:t>Кроме того, было указано, что перевод информации по ПОГ с материальных на нематериальные носители может открыть доступ к большему, чем в настоящее время, объему данных, однако это влечет за собой новые требования для гос</w:t>
      </w:r>
      <w:r w:rsidRPr="00C842F6">
        <w:t>у</w:t>
      </w:r>
      <w:r w:rsidRPr="00C842F6">
        <w:t>дарственных органов, прежде всего необходимость создавать и обслуживать с</w:t>
      </w:r>
      <w:r w:rsidRPr="00C842F6">
        <w:t>о</w:t>
      </w:r>
      <w:r w:rsidRPr="00C842F6">
        <w:t>ответствующие архитектуры ИТС.</w:t>
      </w:r>
    </w:p>
    <w:p w:rsidR="00C842F6" w:rsidRPr="00C842F6" w:rsidRDefault="00C842F6" w:rsidP="00C842F6">
      <w:pPr>
        <w:pStyle w:val="SingleTxt"/>
      </w:pPr>
      <w:r w:rsidRPr="00C842F6">
        <w:t>10.</w:t>
      </w:r>
      <w:r w:rsidRPr="00C842F6">
        <w:tab/>
        <w:t>Представитель ЕЖДА отметил, что возможности использования таких с</w:t>
      </w:r>
      <w:r w:rsidRPr="00C842F6">
        <w:t>и</w:t>
      </w:r>
      <w:r w:rsidRPr="00C842F6">
        <w:t xml:space="preserve">стем для предоставления сведений или </w:t>
      </w:r>
      <w:proofErr w:type="gramStart"/>
      <w:r w:rsidRPr="00C842F6">
        <w:t>мониторинга</w:t>
      </w:r>
      <w:proofErr w:type="gramEnd"/>
      <w:r w:rsidRPr="00C842F6">
        <w:t xml:space="preserve"> несомненно имеются и что нормы ЕС ТУЭС-ПСТГП, отныне действующие в отношении европейского ж</w:t>
      </w:r>
      <w:r w:rsidRPr="00C842F6">
        <w:t>е</w:t>
      </w:r>
      <w:r w:rsidRPr="00C842F6">
        <w:t>лезнодорожного сектора, основаны на этих концепциях (см. ниже).</w:t>
      </w:r>
    </w:p>
    <w:p w:rsidR="00C842F6" w:rsidRPr="00C842F6" w:rsidRDefault="00C842F6" w:rsidP="00C842F6">
      <w:pPr>
        <w:pStyle w:val="SingleTxt"/>
      </w:pPr>
      <w:r w:rsidRPr="00C842F6">
        <w:t>11.</w:t>
      </w:r>
      <w:r w:rsidRPr="00C842F6">
        <w:tab/>
        <w:t>Наконец, рабочая группа приняла решение вести работу на основе подг</w:t>
      </w:r>
      <w:r w:rsidRPr="00C842F6">
        <w:t>о</w:t>
      </w:r>
      <w:r w:rsidRPr="00C842F6">
        <w:t xml:space="preserve">товленного Францией документа, в котором содержатся некоторые элементы для оценки воздействия (см. приложение). Франция пояснила, что этот документ </w:t>
      </w:r>
      <w:proofErr w:type="gramStart"/>
      <w:r w:rsidRPr="00C842F6">
        <w:t>представляет собой проект в самой первой редакции и что</w:t>
      </w:r>
      <w:proofErr w:type="gramEnd"/>
      <w:r w:rsidRPr="00C842F6">
        <w:t xml:space="preserve"> будут приветствоват</w:t>
      </w:r>
      <w:r w:rsidRPr="00C842F6">
        <w:t>ь</w:t>
      </w:r>
      <w:r w:rsidRPr="00C842F6">
        <w:t>ся конструктивные замечания. Поскольку процесс работы над документом пр</w:t>
      </w:r>
      <w:r w:rsidRPr="00C842F6">
        <w:t>о</w:t>
      </w:r>
      <w:r w:rsidRPr="00C842F6">
        <w:t>должается, Франция подготовит к Совместному совещанию новую редакцию эт</w:t>
      </w:r>
      <w:r w:rsidRPr="00C842F6">
        <w:t>о</w:t>
      </w:r>
      <w:r w:rsidRPr="00C842F6">
        <w:t>го документа. Было решено также, что технические презентации, приводимые в приложении к настоящему докладу, будут использоваться как инструменты для обсуждения.</w:t>
      </w:r>
    </w:p>
    <w:p w:rsidR="00C842F6" w:rsidRPr="00C842F6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C842F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842F6">
        <w:tab/>
      </w:r>
      <w:r w:rsidRPr="00C842F6">
        <w:tab/>
        <w:t>Общее обсуждение проекта документа по оценке воздействия</w:t>
      </w:r>
    </w:p>
    <w:p w:rsidR="00C842F6" w:rsidRPr="00C842F6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C842F6">
      <w:pPr>
        <w:pStyle w:val="SingleTxt"/>
      </w:pPr>
      <w:r w:rsidRPr="00C842F6">
        <w:t>12.</w:t>
      </w:r>
      <w:r w:rsidRPr="00C842F6">
        <w:tab/>
        <w:t>Председатель напомнил о том, что возможность хостинга интерфейса ДС</w:t>
      </w:r>
      <w:proofErr w:type="gramStart"/>
      <w:r w:rsidRPr="00C842F6">
        <w:t>1</w:t>
      </w:r>
      <w:proofErr w:type="gramEnd"/>
      <w:r w:rsidRPr="00C842F6">
        <w:t xml:space="preserve"> и начала надлежащей работы по стандартизации обсуждалась на уровне ЕС. Чтобы такое решение могло быть принято, в отношении проекта необходимо разраб</w:t>
      </w:r>
      <w:r w:rsidRPr="00C842F6">
        <w:t>о</w:t>
      </w:r>
      <w:r w:rsidRPr="00C842F6">
        <w:t>тать документ по оценке воздействия. Последнее Совместное совещание МПОГ/</w:t>
      </w:r>
      <w:r w:rsidR="00286A34">
        <w:br/>
      </w:r>
      <w:r w:rsidRPr="00C842F6">
        <w:t>ДОПОГ/ВОПОГ приняло решение включить эту работу в круг ведения рабочей группы (см. ECE/TRANS/WP.15/AC.1/138, пункты 48–52 и неофициальный док</w:t>
      </w:r>
      <w:r w:rsidRPr="00C842F6">
        <w:t>у</w:t>
      </w:r>
      <w:r w:rsidRPr="00C842F6">
        <w:t>мент INF.33 весенней сессии Совместного совещания 2015 года).</w:t>
      </w:r>
    </w:p>
    <w:p w:rsidR="00C842F6" w:rsidRPr="00C842F6" w:rsidRDefault="00C842F6" w:rsidP="00C842F6">
      <w:pPr>
        <w:pStyle w:val="SingleTxt"/>
      </w:pPr>
      <w:r w:rsidRPr="00C842F6">
        <w:t>13.</w:t>
      </w:r>
      <w:r w:rsidRPr="00C842F6">
        <w:tab/>
        <w:t>Представитель ЕЖДА, исходя из опыта работы этого учреждения по пров</w:t>
      </w:r>
      <w:r w:rsidRPr="00C842F6">
        <w:t>е</w:t>
      </w:r>
      <w:r w:rsidRPr="00C842F6">
        <w:t>дению оценок воздействия, напомнил о целях, которые ставит Европейский союз при их проведении – по сути, они должны дать ответ на следующие вопросы:</w:t>
      </w:r>
    </w:p>
    <w:p w:rsidR="00C842F6" w:rsidRPr="00C842F6" w:rsidRDefault="00C842F6" w:rsidP="00C842F6">
      <w:pPr>
        <w:pStyle w:val="Bullet1"/>
      </w:pPr>
      <w:r w:rsidRPr="00C842F6">
        <w:t>почему рассматриваемый вопрос уже превратился в проблему;</w:t>
      </w:r>
    </w:p>
    <w:p w:rsidR="00C842F6" w:rsidRPr="00C842F6" w:rsidRDefault="00C842F6" w:rsidP="00C842F6">
      <w:pPr>
        <w:pStyle w:val="Bullet1"/>
      </w:pPr>
      <w:r w:rsidRPr="00C842F6">
        <w:t>почему должен действовать Европейский союз (а не государства-члены с</w:t>
      </w:r>
      <w:r w:rsidRPr="00C842F6">
        <w:t>а</w:t>
      </w:r>
      <w:r w:rsidRPr="00C842F6">
        <w:t xml:space="preserve">мостоятельно: принцип </w:t>
      </w:r>
      <w:proofErr w:type="spellStart"/>
      <w:r w:rsidRPr="00C842F6">
        <w:t>субсидиарности</w:t>
      </w:r>
      <w:proofErr w:type="spellEnd"/>
      <w:r w:rsidRPr="00C842F6">
        <w:t>);</w:t>
      </w:r>
    </w:p>
    <w:p w:rsidR="00C842F6" w:rsidRPr="00C842F6" w:rsidRDefault="00C842F6" w:rsidP="00C842F6">
      <w:pPr>
        <w:pStyle w:val="Bullet1"/>
      </w:pPr>
      <w:r w:rsidRPr="00C842F6">
        <w:t>какие результаты должны быть достигнуты (перечень основных вариантов использования).</w:t>
      </w:r>
    </w:p>
    <w:p w:rsidR="00C842F6" w:rsidRPr="00C842F6" w:rsidRDefault="00C842F6" w:rsidP="00286A34">
      <w:pPr>
        <w:pStyle w:val="SingleTxt"/>
      </w:pPr>
      <w:r w:rsidRPr="00C842F6">
        <w:t>14.</w:t>
      </w:r>
      <w:r w:rsidRPr="00C842F6">
        <w:tab/>
        <w:t>Было отмечено, что руководство 2009 года было перенесено на веб-сайт, но его содержание, по сути, осталось без изменений. Председатель предложил вн</w:t>
      </w:r>
      <w:r w:rsidRPr="00C842F6">
        <w:t>е</w:t>
      </w:r>
      <w:r w:rsidRPr="00C842F6">
        <w:t>сти в существующий проект оценки воздействия все замечания неофициальной рабочей группы. При подготовке проекта оценки воздействия необходимо учит</w:t>
      </w:r>
      <w:r w:rsidRPr="00C842F6">
        <w:t>ы</w:t>
      </w:r>
      <w:r w:rsidRPr="00C842F6">
        <w:t>вать тот факт, что при реализации рассматриваемой архитектуры может быть охвачена территория, выходящая за пределы Европейского союза (</w:t>
      </w:r>
      <w:proofErr w:type="spellStart"/>
      <w:r w:rsidRPr="00C842F6">
        <w:t>государс</w:t>
      </w:r>
      <w:proofErr w:type="gramStart"/>
      <w:r w:rsidRPr="00C842F6">
        <w:t>т</w:t>
      </w:r>
      <w:proofErr w:type="spellEnd"/>
      <w:r w:rsidR="00286A34">
        <w:t>-</w:t>
      </w:r>
      <w:proofErr w:type="gramEnd"/>
      <w:r w:rsidR="00286A34">
        <w:br/>
      </w:r>
      <w:proofErr w:type="spellStart"/>
      <w:r w:rsidRPr="00C842F6">
        <w:t>ва</w:t>
      </w:r>
      <w:proofErr w:type="spellEnd"/>
      <w:r w:rsidRPr="00C842F6">
        <w:t xml:space="preserve"> </w:t>
      </w:r>
      <w:r w:rsidR="00286A34">
        <w:t>–</w:t>
      </w:r>
      <w:r w:rsidRPr="00C842F6">
        <w:t xml:space="preserve"> члены Европейской экономической комиссии Организации Объединенных Наций).</w:t>
      </w:r>
    </w:p>
    <w:p w:rsidR="00C842F6" w:rsidRPr="00C842F6" w:rsidRDefault="00C842F6" w:rsidP="00C842F6">
      <w:pPr>
        <w:pStyle w:val="SingleTxt"/>
      </w:pPr>
      <w:r w:rsidRPr="00C842F6">
        <w:lastRenderedPageBreak/>
        <w:t>15.</w:t>
      </w:r>
      <w:r w:rsidRPr="00C842F6">
        <w:tab/>
        <w:t>Представитель ЕЖДА напомнил, что в оценке воздействия необходимо то</w:t>
      </w:r>
      <w:r w:rsidRPr="00C842F6">
        <w:t>ч</w:t>
      </w:r>
      <w:r w:rsidRPr="00C842F6">
        <w:t xml:space="preserve">но определить эффективность затрат, связанных с использованием </w:t>
      </w:r>
      <w:proofErr w:type="spellStart"/>
      <w:r w:rsidRPr="00C842F6">
        <w:t>архите</w:t>
      </w:r>
      <w:proofErr w:type="gramStart"/>
      <w:r w:rsidRPr="00C842F6">
        <w:t>к</w:t>
      </w:r>
      <w:proofErr w:type="spellEnd"/>
      <w:r w:rsidR="00286A34">
        <w:t>-</w:t>
      </w:r>
      <w:proofErr w:type="gramEnd"/>
      <w:r w:rsidR="00286A34">
        <w:br/>
      </w:r>
      <w:r w:rsidRPr="00C842F6">
        <w:t>тур ДС1/ДС2. Он предложил описывать каждый из вариантов использования этих архитектур с учетом возможных модификаций и приводить оценку эффе</w:t>
      </w:r>
      <w:r w:rsidRPr="00C842F6">
        <w:t>к</w:t>
      </w:r>
      <w:r w:rsidRPr="00C842F6">
        <w:t xml:space="preserve">тивности затрат по каждому из них. Такую оценку эффективности затрат следует проводить путем сравнения, на первом этапе, затрат на внедрение </w:t>
      </w:r>
      <w:proofErr w:type="spellStart"/>
      <w:r w:rsidRPr="00C842F6">
        <w:t>архите</w:t>
      </w:r>
      <w:proofErr w:type="gramStart"/>
      <w:r w:rsidRPr="00C842F6">
        <w:t>к</w:t>
      </w:r>
      <w:proofErr w:type="spellEnd"/>
      <w:r w:rsidR="00286A34">
        <w:t>-</w:t>
      </w:r>
      <w:proofErr w:type="gramEnd"/>
      <w:r w:rsidR="00286A34">
        <w:br/>
      </w:r>
      <w:r w:rsidRPr="00C842F6">
        <w:t>тур ДС1/ДС2 со сценарием, при котором ничего не меняется, а затем – разли</w:t>
      </w:r>
      <w:r w:rsidRPr="00C842F6">
        <w:t>ч</w:t>
      </w:r>
      <w:r w:rsidRPr="00C842F6">
        <w:t>ных возможных модификаций друг с другом. Необходимо также точно оценить дополнительные затраты на внедрение этих систем (в части хостинга, материалов, затрат на управление ими и их техническое обслуживание).</w:t>
      </w:r>
    </w:p>
    <w:p w:rsidR="00C842F6" w:rsidRPr="00C842F6" w:rsidRDefault="00C842F6" w:rsidP="00C842F6">
      <w:pPr>
        <w:pStyle w:val="SingleTxt"/>
      </w:pPr>
      <w:r w:rsidRPr="00C842F6">
        <w:t>16.</w:t>
      </w:r>
      <w:r w:rsidRPr="00C842F6">
        <w:tab/>
        <w:t>Было отмечено, что, согласно рассматриваемой архитектуре, число инте</w:t>
      </w:r>
      <w:r w:rsidRPr="00C842F6">
        <w:t>р</w:t>
      </w:r>
      <w:r w:rsidRPr="00C842F6">
        <w:t>фейсов ДС</w:t>
      </w:r>
      <w:proofErr w:type="gramStart"/>
      <w:r w:rsidRPr="00C842F6">
        <w:t>1</w:t>
      </w:r>
      <w:proofErr w:type="gramEnd"/>
      <w:r w:rsidRPr="00C842F6">
        <w:t xml:space="preserve"> можно сократить до одного и что в целом их будет гораздо меньше, чем количество ДС2. Кроме того, поскольку интерфейс ДС</w:t>
      </w:r>
      <w:proofErr w:type="gramStart"/>
      <w:r w:rsidRPr="00C842F6">
        <w:t>1</w:t>
      </w:r>
      <w:proofErr w:type="gramEnd"/>
      <w:r w:rsidRPr="00C842F6">
        <w:t xml:space="preserve"> служит для связи с компетентными органами (интерфейс управления доступом), то развитие рынка в этом случае менее вероятно. Вероятность же того, что различные варианты ДС</w:t>
      </w:r>
      <w:proofErr w:type="gramStart"/>
      <w:r w:rsidRPr="00C842F6">
        <w:t>2</w:t>
      </w:r>
      <w:proofErr w:type="gramEnd"/>
      <w:r w:rsidRPr="00C842F6">
        <w:t xml:space="preserve"> будут внедрять, а затем обслуживать операторы частного сектора, больше. Н</w:t>
      </w:r>
      <w:r w:rsidRPr="00C842F6">
        <w:t>е</w:t>
      </w:r>
      <w:r w:rsidRPr="00C842F6">
        <w:t>сколько рабочих решений для ДС</w:t>
      </w:r>
      <w:proofErr w:type="gramStart"/>
      <w:r w:rsidRPr="00C842F6">
        <w:t>2</w:t>
      </w:r>
      <w:proofErr w:type="gramEnd"/>
      <w:r w:rsidRPr="00C842F6">
        <w:t xml:space="preserve"> уже предлагаются на французском рынке. П</w:t>
      </w:r>
      <w:r w:rsidRPr="00C842F6">
        <w:t>о</w:t>
      </w:r>
      <w:r w:rsidRPr="00C842F6">
        <w:t>скольку большинство основных транспортных компаний уже используют со</w:t>
      </w:r>
      <w:r w:rsidRPr="00C842F6">
        <w:t>б</w:t>
      </w:r>
      <w:r w:rsidRPr="00C842F6">
        <w:t>ственные системы баз данных для контроля за логистическими операциями или для оптимизации/мониторинга парка транспортных средств, то расходы на ДС</w:t>
      </w:r>
      <w:proofErr w:type="gramStart"/>
      <w:r w:rsidRPr="00C842F6">
        <w:t>2</w:t>
      </w:r>
      <w:proofErr w:type="gramEnd"/>
      <w:r w:rsidRPr="00C842F6">
        <w:t xml:space="preserve"> будут представлять собой только расходы на адаптацию этих уже существующих систем. Для сравнения, расходы на ДС</w:t>
      </w:r>
      <w:proofErr w:type="gramStart"/>
      <w:r w:rsidRPr="00C842F6">
        <w:t>1</w:t>
      </w:r>
      <w:proofErr w:type="gramEnd"/>
      <w:r w:rsidRPr="00C842F6">
        <w:t xml:space="preserve"> связаны с первоначальной разработкой этого интерфейса.</w:t>
      </w:r>
    </w:p>
    <w:p w:rsidR="00C842F6" w:rsidRPr="00C842F6" w:rsidRDefault="00C842F6" w:rsidP="00C842F6">
      <w:pPr>
        <w:pStyle w:val="SingleTxt"/>
      </w:pPr>
      <w:r w:rsidRPr="00C842F6">
        <w:t>17.</w:t>
      </w:r>
      <w:r w:rsidRPr="00C842F6">
        <w:tab/>
        <w:t>Участники пришли к общему мнению о том, что подсчитать в целом экон</w:t>
      </w:r>
      <w:r w:rsidRPr="00C842F6">
        <w:t>о</w:t>
      </w:r>
      <w:r w:rsidRPr="00C842F6">
        <w:t>мию от внедрения в транспортной отрасли безбумажного документооборота в нынешних условиях очень сложно или невозможно, даже если воспользоваться имеющейся транспортной статистикой. Прозвучало предложение оформить о</w:t>
      </w:r>
      <w:r w:rsidRPr="00C842F6">
        <w:t>с</w:t>
      </w:r>
      <w:r w:rsidRPr="00C842F6">
        <w:t>новное содержание оценки воздействия в виде перечня выявленных и соглас</w:t>
      </w:r>
      <w:r w:rsidRPr="00C842F6">
        <w:t>о</w:t>
      </w:r>
      <w:r w:rsidRPr="00C842F6">
        <w:t>ванных вариантов применения (безбумажный документооборот в транспортной отрасли, повышение эффективности реагирования на чрезвычайные ситуации и др.) и привести оценку эффективности затрат по каждому из таких примеров с учетом различных модификаций ДС</w:t>
      </w:r>
      <w:proofErr w:type="gramStart"/>
      <w:r w:rsidRPr="00C842F6">
        <w:t>1</w:t>
      </w:r>
      <w:proofErr w:type="gramEnd"/>
      <w:r w:rsidRPr="00C842F6">
        <w:t>/ДС2 (один интерфейс ДС1 или несколько и др.). Некоторые участники отметили, что</w:t>
      </w:r>
      <w:r w:rsidR="0013029A">
        <w:t>,</w:t>
      </w:r>
      <w:r w:rsidRPr="00C842F6">
        <w:t xml:space="preserve"> поскольку оценка воздействия пре</w:t>
      </w:r>
      <w:r w:rsidRPr="00C842F6">
        <w:t>д</w:t>
      </w:r>
      <w:r w:rsidRPr="00C842F6">
        <w:t>ставляет собой документ высокого уровня, основное внимание в нем следует с</w:t>
      </w:r>
      <w:r w:rsidRPr="00C842F6">
        <w:t>о</w:t>
      </w:r>
      <w:r w:rsidRPr="00C842F6">
        <w:t>средоточить на основных концепциях и, соответственно, не вдаваться в детали.</w:t>
      </w:r>
    </w:p>
    <w:p w:rsidR="00C842F6" w:rsidRPr="00C842F6" w:rsidRDefault="00C842F6" w:rsidP="00C842F6">
      <w:pPr>
        <w:pStyle w:val="SingleTxt"/>
      </w:pPr>
      <w:r w:rsidRPr="00C842F6">
        <w:t>18.</w:t>
      </w:r>
      <w:r w:rsidRPr="00C842F6">
        <w:tab/>
        <w:t>ЕЖДА предложило более точно описывать разные уровни услуг, связанные с различными техническими модификациями архитектуры ДС</w:t>
      </w:r>
      <w:proofErr w:type="gramStart"/>
      <w:r w:rsidRPr="00C842F6">
        <w:t>1</w:t>
      </w:r>
      <w:proofErr w:type="gramEnd"/>
      <w:r w:rsidRPr="00C842F6">
        <w:t xml:space="preserve"> и ДС2. Для ка</w:t>
      </w:r>
      <w:r w:rsidRPr="00C842F6">
        <w:t>ж</w:t>
      </w:r>
      <w:r w:rsidRPr="00C842F6">
        <w:t>дого уровня услуг следует вносить типовые сведения о количестве операций в день или о числе компаний, охваченных ДС</w:t>
      </w:r>
      <w:proofErr w:type="gramStart"/>
      <w:r w:rsidRPr="00C842F6">
        <w:t>2</w:t>
      </w:r>
      <w:proofErr w:type="gramEnd"/>
      <w:r w:rsidRPr="00C842F6">
        <w:t>. Такие данные, разумеется, также следует учитывать при оценке объема серверов и их стоимости. Некоторые участники привлекли внимание к тому, что такого уровня детализации сложно достичь в связи с общей проблемой недостаточности статистических данных по ПОГ. Франция пояснила, что для подготовки новой редакции документа по оце</w:t>
      </w:r>
      <w:r w:rsidRPr="00C842F6">
        <w:t>н</w:t>
      </w:r>
      <w:r w:rsidRPr="00C842F6">
        <w:t>ке воздействия будут приложены все возможные усилия, однако они будут огр</w:t>
      </w:r>
      <w:r w:rsidRPr="00C842F6">
        <w:t>а</w:t>
      </w:r>
      <w:r w:rsidRPr="00C842F6">
        <w:t>ничиваться имеющимися в наличии данными.</w:t>
      </w:r>
    </w:p>
    <w:p w:rsidR="00C842F6" w:rsidRPr="00C842F6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C842F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842F6">
        <w:tab/>
      </w:r>
      <w:r w:rsidRPr="00C842F6">
        <w:tab/>
        <w:t>Обсуждение вопроса о сокращении расходов вследствие отказа от использования бумажных документов</w:t>
      </w:r>
    </w:p>
    <w:p w:rsidR="00C842F6" w:rsidRPr="00C842F6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2257B0">
      <w:pPr>
        <w:pStyle w:val="SingleTxt"/>
      </w:pPr>
      <w:r w:rsidRPr="00C842F6">
        <w:t>19.</w:t>
      </w:r>
      <w:r w:rsidRPr="00C842F6">
        <w:tab/>
        <w:t>Было отмечено, что максимальный положительный эффект, как ожидается, получат транспортные компании, специализирующиеся на перевозке пакетир</w:t>
      </w:r>
      <w:r w:rsidRPr="00C842F6">
        <w:t>о</w:t>
      </w:r>
      <w:r w:rsidRPr="00C842F6">
        <w:t xml:space="preserve">ванных грузов. На примере существующей компании с парком примерно </w:t>
      </w:r>
      <w:r w:rsidRPr="00C842F6">
        <w:lastRenderedPageBreak/>
        <w:t>в</w:t>
      </w:r>
      <w:r w:rsidR="002257B0">
        <w:t> </w:t>
      </w:r>
      <w:r w:rsidRPr="00C842F6">
        <w:t>700</w:t>
      </w:r>
      <w:r w:rsidR="0013029A">
        <w:t> </w:t>
      </w:r>
      <w:r w:rsidRPr="00C842F6">
        <w:t>транспортных средств было показано, что на сегодняшний день на каждый рейс необходимо распечатать в среднем 15 транспортных документов (приме</w:t>
      </w:r>
      <w:r w:rsidRPr="00C842F6">
        <w:t>р</w:t>
      </w:r>
      <w:r w:rsidRPr="00C842F6">
        <w:t>но</w:t>
      </w:r>
      <w:r w:rsidR="002257B0">
        <w:t> </w:t>
      </w:r>
      <w:r w:rsidRPr="00C842F6">
        <w:t>20 страниц</w:t>
      </w:r>
      <w:r w:rsidR="0013029A">
        <w:t>), что представляет собой 6 тонн</w:t>
      </w:r>
      <w:r w:rsidRPr="00C842F6">
        <w:t xml:space="preserve"> бу</w:t>
      </w:r>
      <w:r w:rsidR="0013029A">
        <w:t>маги в год или приме</w:t>
      </w:r>
      <w:proofErr w:type="gramStart"/>
      <w:r w:rsidR="0013029A">
        <w:t>р-</w:t>
      </w:r>
      <w:proofErr w:type="gramEnd"/>
      <w:r w:rsidR="0013029A">
        <w:br/>
        <w:t>но 12 000 </w:t>
      </w:r>
      <w:r w:rsidRPr="00C842F6">
        <w:t xml:space="preserve">евро затрат. </w:t>
      </w:r>
      <w:proofErr w:type="gramStart"/>
      <w:r w:rsidRPr="00C842F6">
        <w:t>Рентабельность для компаний, специализирующихся на ПОГ в цистернах, как ожидается, будет ниже, поскольку в цистернах, как прав</w:t>
      </w:r>
      <w:r w:rsidRPr="00C842F6">
        <w:t>и</w:t>
      </w:r>
      <w:r w:rsidRPr="00C842F6">
        <w:t>ло, перевозится только какой-то один продукт (химикаты, углеводороды и др.), и, соответственно, транспортные документы проще, а их объем меньше.</w:t>
      </w:r>
      <w:proofErr w:type="gramEnd"/>
    </w:p>
    <w:p w:rsidR="00C842F6" w:rsidRPr="00C842F6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13029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842F6">
        <w:tab/>
      </w:r>
      <w:r w:rsidRPr="00C842F6">
        <w:tab/>
        <w:t xml:space="preserve">Обсуждение вопросов, касающихся прикладных </w:t>
      </w:r>
      <w:proofErr w:type="spellStart"/>
      <w:r w:rsidRPr="00C842F6">
        <w:t>телематических</w:t>
      </w:r>
      <w:proofErr w:type="spellEnd"/>
      <w:r w:rsidRPr="00C842F6">
        <w:t xml:space="preserve"> программ для грузовых перевозок </w:t>
      </w:r>
      <w:r w:rsidR="0013029A">
        <w:br/>
      </w:r>
      <w:r w:rsidRPr="00C842F6">
        <w:t>(ТУЭС-ПСТГП) – совместимость и возможные связи с</w:t>
      </w:r>
      <w:r w:rsidR="0013029A">
        <w:t> </w:t>
      </w:r>
      <w:r w:rsidRPr="00C842F6">
        <w:t>архитектурой ДС</w:t>
      </w:r>
      <w:proofErr w:type="gramStart"/>
      <w:r w:rsidRPr="00C842F6">
        <w:t>1</w:t>
      </w:r>
      <w:proofErr w:type="gramEnd"/>
      <w:r w:rsidRPr="00C842F6">
        <w:t xml:space="preserve"> </w:t>
      </w:r>
    </w:p>
    <w:p w:rsidR="00C842F6" w:rsidRPr="00C842F6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C842F6">
      <w:pPr>
        <w:pStyle w:val="SingleTxt"/>
      </w:pPr>
      <w:r w:rsidRPr="00C842F6">
        <w:t>20.</w:t>
      </w:r>
      <w:r w:rsidRPr="00C842F6">
        <w:tab/>
        <w:t>ЕЖДА представило основные аспекты норм ТУЭС-ПСТГП (презентацио</w:t>
      </w:r>
      <w:r w:rsidRPr="00C842F6">
        <w:t>н</w:t>
      </w:r>
      <w:r w:rsidRPr="00C842F6">
        <w:t>ные материалы будут распространены в качестве неофициального документа). Оно напомнило, что основная цель норм ТУЭС-ПСТГП – повысить эксплуатац</w:t>
      </w:r>
      <w:r w:rsidRPr="00C842F6">
        <w:t>и</w:t>
      </w:r>
      <w:r w:rsidRPr="00C842F6">
        <w:t>онную совместимость различных операторов железнодорожного транспорта и управляющих инфраструктурой путем введения правил обмена между ними да</w:t>
      </w:r>
      <w:r w:rsidRPr="00C842F6">
        <w:t>н</w:t>
      </w:r>
      <w:r w:rsidRPr="00C842F6">
        <w:t xml:space="preserve">ными о ПОГ или инструкциями по технике безопасности в письменной форме, чтобы снизить препятствия для перевозок и повысить безопасность. </w:t>
      </w:r>
      <w:proofErr w:type="gramStart"/>
      <w:r w:rsidRPr="00C842F6">
        <w:t>Было поя</w:t>
      </w:r>
      <w:r w:rsidRPr="00C842F6">
        <w:t>с</w:t>
      </w:r>
      <w:r w:rsidRPr="00C842F6">
        <w:t>нено, что машинист локомотива, как правило, может просматривать данные ТУЭС-ПСТГП на цифровом планшете, потому что это дешевле, чем выпускать печатные материалы, и потому что цифровые данные позволяют большую ги</w:t>
      </w:r>
      <w:r w:rsidRPr="00C842F6">
        <w:t>б</w:t>
      </w:r>
      <w:r w:rsidRPr="00C842F6">
        <w:t>кость, например для удобства чтения машинистом локомотива можно применять фильтры и выводить на экран только те части письменных указаний МПОГ, кот</w:t>
      </w:r>
      <w:r w:rsidRPr="00C842F6">
        <w:t>о</w:t>
      </w:r>
      <w:r w:rsidRPr="00C842F6">
        <w:t>рые касаются перевозимых составом опасных грузов.</w:t>
      </w:r>
      <w:proofErr w:type="gramEnd"/>
    </w:p>
    <w:p w:rsidR="00C842F6" w:rsidRPr="00C842F6" w:rsidRDefault="00C842F6" w:rsidP="00C842F6">
      <w:pPr>
        <w:pStyle w:val="SingleTxt"/>
      </w:pPr>
      <w:r w:rsidRPr="00C842F6">
        <w:t>21.</w:t>
      </w:r>
      <w:r w:rsidRPr="00C842F6">
        <w:tab/>
        <w:t>Как было разъяснено, нормы ТУЭС-ПСТГП предназначены для упрощения и унификации обмена данными между железнодорожными операторами и клие</w:t>
      </w:r>
      <w:r w:rsidRPr="00C842F6">
        <w:t>н</w:t>
      </w:r>
      <w:r w:rsidRPr="00C842F6">
        <w:t>тами и в них не рассматривается вопрос о том, каким образом эти данные будут предоставляться соответствующим органам, таким как контролирующие инста</w:t>
      </w:r>
      <w:r w:rsidRPr="00C842F6">
        <w:t>н</w:t>
      </w:r>
      <w:r w:rsidRPr="00C842F6">
        <w:t xml:space="preserve">ции или службы реагирования на чрезвычайные ситуации. Соответственно, участники пришли к мнению, что основное преимущество применения </w:t>
      </w:r>
      <w:proofErr w:type="spellStart"/>
      <w:r w:rsidRPr="00C842F6">
        <w:t>подх</w:t>
      </w:r>
      <w:proofErr w:type="gramStart"/>
      <w:r w:rsidRPr="00C842F6">
        <w:t>о</w:t>
      </w:r>
      <w:proofErr w:type="spellEnd"/>
      <w:r w:rsidR="0013029A">
        <w:t>-</w:t>
      </w:r>
      <w:proofErr w:type="gramEnd"/>
      <w:r w:rsidR="0013029A">
        <w:br/>
      </w:r>
      <w:r w:rsidRPr="00C842F6">
        <w:t>да ДС1 заключается в возможности извлечения имеющихся данных по ПОГ из системы ТУЭС-ПСТГП и что интерфейс ТУЭС-ПСТГП можно в определенной степени рассматривать как некий вариант специализированной ДС2 для желе</w:t>
      </w:r>
      <w:r w:rsidRPr="00C842F6">
        <w:t>з</w:t>
      </w:r>
      <w:r w:rsidRPr="00C842F6">
        <w:t>нодорожного транспорта.</w:t>
      </w:r>
    </w:p>
    <w:p w:rsidR="00C842F6" w:rsidRPr="00C842F6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C842F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842F6">
        <w:tab/>
      </w:r>
      <w:r w:rsidRPr="00C842F6">
        <w:tab/>
        <w:t>Обсуждение вопроса о реагировании на чрезвычайные ситуации</w:t>
      </w:r>
    </w:p>
    <w:p w:rsidR="00C842F6" w:rsidRPr="00C842F6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C842F6">
      <w:pPr>
        <w:pStyle w:val="SingleTxt"/>
      </w:pPr>
      <w:r w:rsidRPr="00C842F6">
        <w:t>22.</w:t>
      </w:r>
      <w:r w:rsidRPr="00C842F6">
        <w:tab/>
        <w:t>Председатель привел несколько примеров реальных случаев, когда реагир</w:t>
      </w:r>
      <w:r w:rsidRPr="00C842F6">
        <w:t>о</w:t>
      </w:r>
      <w:r w:rsidRPr="00C842F6">
        <w:t>вание на чрезвычайную ситуацию на ее начальной стадии могло бы существенно снизить ущерб. Так, на мосту Матильды в городе Руан произошло возгорание п</w:t>
      </w:r>
      <w:r w:rsidRPr="00C842F6">
        <w:t>е</w:t>
      </w:r>
      <w:r w:rsidRPr="00C842F6">
        <w:t>ревозившего опасный груз грузового автомобиля, что в итоге привело к выходу из строя моста; если бы пожарная бригада смогла с большей точностью опред</w:t>
      </w:r>
      <w:r w:rsidRPr="00C842F6">
        <w:t>е</w:t>
      </w:r>
      <w:r w:rsidRPr="00C842F6">
        <w:t>лить местоположение горящего транспортного средства, то благодаря более оп</w:t>
      </w:r>
      <w:r w:rsidRPr="00C842F6">
        <w:t>е</w:t>
      </w:r>
      <w:r w:rsidRPr="00C842F6">
        <w:t>ративному реагированию на чрезвычайную ситуацию такого исхода можно было бы избежать. ЕЖДА отметило, что в случае железнодорожного транспорта (здесь точное местоположение транспортной единицы всегда известно) подобное пр</w:t>
      </w:r>
      <w:r w:rsidRPr="00C842F6">
        <w:t>е</w:t>
      </w:r>
      <w:r w:rsidRPr="00C842F6">
        <w:t>имущество за счет более эффективного реагирования менее существенно, здесь речь скорее идет о правильном соотношении рисков и обеспечивающего бе</w:t>
      </w:r>
      <w:r w:rsidRPr="00C842F6">
        <w:t>з</w:t>
      </w:r>
      <w:r w:rsidRPr="00C842F6">
        <w:t>опасность оборудования.</w:t>
      </w:r>
    </w:p>
    <w:p w:rsidR="00C842F6" w:rsidRPr="00C842F6" w:rsidRDefault="00C842F6" w:rsidP="00C842F6">
      <w:pPr>
        <w:pStyle w:val="SingleTxt"/>
      </w:pPr>
      <w:r w:rsidRPr="00C842F6">
        <w:lastRenderedPageBreak/>
        <w:t xml:space="preserve">23. </w:t>
      </w:r>
      <w:r w:rsidRPr="00C842F6">
        <w:tab/>
        <w:t>ЕЖДА также отметило, что все более активно обсуждается вопрос модел</w:t>
      </w:r>
      <w:r w:rsidRPr="00C842F6">
        <w:t>и</w:t>
      </w:r>
      <w:r w:rsidRPr="00C842F6">
        <w:t xml:space="preserve">рования нештатных ситуаций на ранней стадии и что в будущие редакции </w:t>
      </w:r>
      <w:r w:rsidR="00101EF2">
        <w:br/>
      </w:r>
      <w:r w:rsidRPr="00C842F6">
        <w:t>ТУЭС-ПСТГП можно было бы включить требования о предоставлении сведений о некоторых показателях уровня безопасности (скорее не для целей реагирования на чрезвычайные ситуации на ранней стадии, а для предотвращения аварийных ситуаций).</w:t>
      </w:r>
    </w:p>
    <w:p w:rsidR="00C842F6" w:rsidRPr="00C842F6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101EF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842F6">
        <w:tab/>
      </w:r>
      <w:r w:rsidRPr="00C842F6">
        <w:tab/>
        <w:t>Обсуждение вопроса о сборе статистических данных об</w:t>
      </w:r>
      <w:r w:rsidR="00101EF2">
        <w:t> </w:t>
      </w:r>
      <w:r w:rsidRPr="00C842F6">
        <w:t>аварийных ситуациях</w:t>
      </w:r>
    </w:p>
    <w:p w:rsidR="00C842F6" w:rsidRPr="00C842F6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C842F6">
      <w:pPr>
        <w:pStyle w:val="SingleTxt"/>
      </w:pPr>
      <w:r w:rsidRPr="00C842F6">
        <w:t>24. Председатель рассказал о нынешнем положении дел со сбором статистич</w:t>
      </w:r>
      <w:r w:rsidRPr="00C842F6">
        <w:t>е</w:t>
      </w:r>
      <w:r w:rsidRPr="00C842F6">
        <w:t>ских данных по ПОГ во Франции, где в настоящее время над статистическими данными по ПОГ работают несколько человек. Он напомнил, что ежегодно на дорогах Франции осуществ</w:t>
      </w:r>
      <w:r w:rsidR="00101EF2">
        <w:t>ляется в среднем от 5 до 6 млн.</w:t>
      </w:r>
      <w:r w:rsidRPr="00C842F6">
        <w:t xml:space="preserve"> транспортных опер</w:t>
      </w:r>
      <w:r w:rsidRPr="00C842F6">
        <w:t>а</w:t>
      </w:r>
      <w:r w:rsidRPr="00C842F6">
        <w:t>ций. Несмотря на многочисленные усилия по сбору данных о дорожном движ</w:t>
      </w:r>
      <w:r w:rsidRPr="00C842F6">
        <w:t>е</w:t>
      </w:r>
      <w:r w:rsidRPr="00C842F6">
        <w:t>нии, эти данные не очень точны. Сбор данных для статистических исследований ПОГ может стать интересным вариантом использования архитектур ДС</w:t>
      </w:r>
      <w:proofErr w:type="gramStart"/>
      <w:r w:rsidRPr="00C842F6">
        <w:t>1</w:t>
      </w:r>
      <w:proofErr w:type="gramEnd"/>
      <w:r w:rsidRPr="00C842F6">
        <w:t>/ДС2, который технически легко осуществим. В заключение Председатель указал, что потребность в точных статистических данных растет: это необходимо для вне</w:t>
      </w:r>
      <w:r w:rsidRPr="00C842F6">
        <w:t>д</w:t>
      </w:r>
      <w:r w:rsidRPr="00C842F6">
        <w:t>рения учитывающего риски подхода при оценке проектов в области транспор</w:t>
      </w:r>
      <w:r w:rsidRPr="00C842F6">
        <w:t>т</w:t>
      </w:r>
      <w:r w:rsidRPr="00C842F6">
        <w:t>ной инфраструктуры.</w:t>
      </w:r>
    </w:p>
    <w:p w:rsidR="00C842F6" w:rsidRPr="00C842F6" w:rsidRDefault="00C842F6" w:rsidP="00101EF2">
      <w:pPr>
        <w:pStyle w:val="SingleTxt"/>
      </w:pPr>
      <w:r w:rsidRPr="00C842F6">
        <w:t>25.</w:t>
      </w:r>
      <w:r w:rsidRPr="00C842F6">
        <w:tab/>
        <w:t xml:space="preserve">ЕЖДА сообщило, что данные по рискам от ТУЭС-ПСТГП будут переданы в ГД по транспорту через пять лет. Председатель отметил, что в документе по оценке воздействия целесообразно упомянуть, что в результате применения ТУЭС-ПСТГП расходы на сбор статистических данных постепенно будут </w:t>
      </w:r>
      <w:proofErr w:type="gramStart"/>
      <w:r w:rsidRPr="00C842F6">
        <w:t>сн</w:t>
      </w:r>
      <w:r w:rsidRPr="00C842F6">
        <w:t>и</w:t>
      </w:r>
      <w:r w:rsidRPr="00C842F6">
        <w:t>жаться и что необходима</w:t>
      </w:r>
      <w:proofErr w:type="gramEnd"/>
      <w:r w:rsidRPr="00C842F6">
        <w:t xml:space="preserve"> такая же система для автомобильного транспорта. В</w:t>
      </w:r>
      <w:r w:rsidR="00101EF2">
        <w:t> </w:t>
      </w:r>
      <w:r w:rsidRPr="00C842F6">
        <w:t>оценку воздействия, таким образом, может быть включена оценка и этого в</w:t>
      </w:r>
      <w:r w:rsidRPr="00C842F6">
        <w:t>а</w:t>
      </w:r>
      <w:r w:rsidRPr="00C842F6">
        <w:t>рианта.</w:t>
      </w:r>
    </w:p>
    <w:p w:rsidR="00C842F6" w:rsidRPr="00C842F6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C842F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842F6">
        <w:tab/>
      </w:r>
      <w:r w:rsidRPr="00C842F6">
        <w:tab/>
        <w:t>Обсуждение вопросов, касающихся безопасности</w:t>
      </w:r>
    </w:p>
    <w:p w:rsidR="00C842F6" w:rsidRPr="00C842F6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C842F6">
      <w:pPr>
        <w:pStyle w:val="SingleTxt"/>
      </w:pPr>
      <w:r w:rsidRPr="00C842F6">
        <w:t>26.</w:t>
      </w:r>
      <w:r w:rsidRPr="00C842F6">
        <w:tab/>
        <w:t>Председатель напомнил, что для обеспечения безопасности данных, перед</w:t>
      </w:r>
      <w:r w:rsidRPr="00C842F6">
        <w:t>а</w:t>
      </w:r>
      <w:r w:rsidRPr="00C842F6">
        <w:t>ваемых через системы ДС</w:t>
      </w:r>
      <w:proofErr w:type="gramStart"/>
      <w:r w:rsidRPr="00C842F6">
        <w:t>1</w:t>
      </w:r>
      <w:proofErr w:type="gramEnd"/>
      <w:r w:rsidRPr="00C842F6">
        <w:t>/ДС2, необходимо решить следующие основные в</w:t>
      </w:r>
      <w:r w:rsidRPr="00C842F6">
        <w:t>о</w:t>
      </w:r>
      <w:r w:rsidRPr="00C842F6">
        <w:t>просы:</w:t>
      </w:r>
    </w:p>
    <w:p w:rsidR="00C842F6" w:rsidRPr="00C842F6" w:rsidRDefault="00C842F6" w:rsidP="00101EF2">
      <w:pPr>
        <w:pStyle w:val="Bullet1"/>
      </w:pPr>
      <w:r w:rsidRPr="00C842F6">
        <w:t>обеспечение защиты конфиденциальных данных и соответствия директиве Европейского союза о персональных данных;</w:t>
      </w:r>
    </w:p>
    <w:p w:rsidR="00C842F6" w:rsidRPr="00C842F6" w:rsidRDefault="00C842F6" w:rsidP="00101EF2">
      <w:pPr>
        <w:pStyle w:val="Bullet1"/>
      </w:pPr>
      <w:r w:rsidRPr="00C842F6">
        <w:t>обеспечение безопасности самой системы.</w:t>
      </w:r>
    </w:p>
    <w:p w:rsidR="00C842F6" w:rsidRPr="00C842F6" w:rsidRDefault="00C842F6" w:rsidP="00C842F6">
      <w:pPr>
        <w:pStyle w:val="SingleTxt"/>
      </w:pPr>
      <w:r w:rsidRPr="00C842F6">
        <w:t>27.</w:t>
      </w:r>
      <w:r w:rsidRPr="00C842F6">
        <w:tab/>
        <w:t>В соответствии с директивой Европейского союза о персональных данных любые данные, в отношении которых возможно определить их принадлежность конкретному физическому лицу, должны быть учтены, а их использование дол</w:t>
      </w:r>
      <w:r w:rsidRPr="00C842F6">
        <w:t>ж</w:t>
      </w:r>
      <w:r w:rsidRPr="00C842F6">
        <w:t>но декларироваться. Кроме того, должна быть предоставлена возможность вн</w:t>
      </w:r>
      <w:r w:rsidRPr="00C842F6">
        <w:t>е</w:t>
      </w:r>
      <w:r w:rsidRPr="00C842F6">
        <w:t xml:space="preserve">сения исправлений по запросу, вне зависимости от того, когда эти </w:t>
      </w:r>
      <w:proofErr w:type="gramStart"/>
      <w:r w:rsidRPr="00C842F6">
        <w:t>данные</w:t>
      </w:r>
      <w:proofErr w:type="gramEnd"/>
      <w:r w:rsidRPr="00C842F6">
        <w:t xml:space="preserve"> были получены и </w:t>
      </w:r>
      <w:proofErr w:type="gramStart"/>
      <w:r w:rsidRPr="00C842F6">
        <w:t>какая</w:t>
      </w:r>
      <w:proofErr w:type="gramEnd"/>
      <w:r w:rsidRPr="00C842F6">
        <w:t xml:space="preserve"> организация (государственная или частная, компетентный о</w:t>
      </w:r>
      <w:r w:rsidRPr="00C842F6">
        <w:t>р</w:t>
      </w:r>
      <w:r w:rsidRPr="00C842F6">
        <w:t>ган и т.п.) их собирает. Несмотря на то, что в принципе для надлежащей работы архитектуры никакие идентифицируемые персональные данные не нужны, было решено проверить, не подпадают ли какие-либо данные архитектуры ДС</w:t>
      </w:r>
      <w:proofErr w:type="gramStart"/>
      <w:r w:rsidRPr="00C842F6">
        <w:t>1</w:t>
      </w:r>
      <w:proofErr w:type="gramEnd"/>
      <w:r w:rsidRPr="00C842F6">
        <w:t xml:space="preserve">/ДС2 под действие директивы Европейского союза о персональных данных. </w:t>
      </w:r>
    </w:p>
    <w:p w:rsidR="00C842F6" w:rsidRPr="00C842F6" w:rsidRDefault="00C842F6" w:rsidP="00C842F6">
      <w:pPr>
        <w:pStyle w:val="SingleTxt"/>
      </w:pPr>
      <w:r w:rsidRPr="00C842F6">
        <w:t>28.</w:t>
      </w:r>
      <w:r w:rsidRPr="00C842F6">
        <w:tab/>
        <w:t>Что касается второго момента, то было указано на то, что безопасная сист</w:t>
      </w:r>
      <w:r w:rsidRPr="00C842F6">
        <w:t>е</w:t>
      </w:r>
      <w:r w:rsidRPr="00C842F6">
        <w:t>ма не должна позволять хранить незаконные данные. В то же время необходимо принять меры для обеспечения безопасности системы, поскольку она будет и</w:t>
      </w:r>
      <w:r w:rsidRPr="00C842F6">
        <w:t>с</w:t>
      </w:r>
      <w:r w:rsidRPr="00C842F6">
        <w:lastRenderedPageBreak/>
        <w:t>пользоваться в процессе исполнения нормативных требований вместо использ</w:t>
      </w:r>
      <w:r w:rsidRPr="00C842F6">
        <w:t>у</w:t>
      </w:r>
      <w:r w:rsidRPr="00C842F6">
        <w:t>емых в настоящее время документов на бумажном носителе.</w:t>
      </w:r>
    </w:p>
    <w:p w:rsidR="00C842F6" w:rsidRPr="00C842F6" w:rsidRDefault="00C842F6" w:rsidP="00A06ECD">
      <w:pPr>
        <w:pStyle w:val="SingleTxt"/>
      </w:pPr>
      <w:r w:rsidRPr="00C842F6">
        <w:t>29.</w:t>
      </w:r>
      <w:r w:rsidRPr="00C842F6">
        <w:tab/>
        <w:t>Если говорить о более широком контексте, то данные различных ДС</w:t>
      </w:r>
      <w:proofErr w:type="gramStart"/>
      <w:r w:rsidRPr="00C842F6">
        <w:t>2</w:t>
      </w:r>
      <w:proofErr w:type="gramEnd"/>
      <w:r w:rsidRPr="00C842F6">
        <w:t xml:space="preserve"> явл</w:t>
      </w:r>
      <w:r w:rsidRPr="00C842F6">
        <w:t>я</w:t>
      </w:r>
      <w:r w:rsidRPr="00C842F6">
        <w:t>ются и должны оставаться конфиденциальными. Система построена таким обр</w:t>
      </w:r>
      <w:r w:rsidRPr="00C842F6">
        <w:t>а</w:t>
      </w:r>
      <w:r w:rsidRPr="00C842F6">
        <w:t>зом, что все запросы этих данных исходят от соответствующих интерфейсов, а</w:t>
      </w:r>
      <w:r w:rsidRPr="00C842F6">
        <w:t>в</w:t>
      </w:r>
      <w:r w:rsidRPr="00C842F6">
        <w:t>торизованных для направления запросов в адрес различных ДС</w:t>
      </w:r>
      <w:proofErr w:type="gramStart"/>
      <w:r w:rsidRPr="00C842F6">
        <w:t>2</w:t>
      </w:r>
      <w:proofErr w:type="gramEnd"/>
      <w:r w:rsidRPr="00C842F6">
        <w:t xml:space="preserve"> через инте</w:t>
      </w:r>
      <w:r w:rsidRPr="00C842F6">
        <w:t>р</w:t>
      </w:r>
      <w:r w:rsidRPr="00C842F6">
        <w:t>фейс</w:t>
      </w:r>
      <w:r w:rsidR="00A06ECD">
        <w:t> </w:t>
      </w:r>
      <w:r w:rsidRPr="00C842F6">
        <w:t>ДС1, которая, в свою очередь, ни в каких случаях не получает доступа к</w:t>
      </w:r>
      <w:r w:rsidR="00A06ECD">
        <w:t> </w:t>
      </w:r>
      <w:r w:rsidRPr="00C842F6">
        <w:t>данным ДС2 и не хранит их. Если система реализуется в надлежащем порядке, то все ДС</w:t>
      </w:r>
      <w:proofErr w:type="gramStart"/>
      <w:r w:rsidRPr="00C842F6">
        <w:t>2</w:t>
      </w:r>
      <w:proofErr w:type="gramEnd"/>
      <w:r w:rsidRPr="00C842F6">
        <w:t xml:space="preserve"> остаются независимыми друг от друга, и все транспортные операторы, наделенные в соответствии с МПОГ/ДОПОГ разными обязанностями, могут п</w:t>
      </w:r>
      <w:r w:rsidRPr="00C842F6">
        <w:t>о</w:t>
      </w:r>
      <w:r w:rsidRPr="00C842F6">
        <w:t>лучать доступ к своим собственным данным, которые можно проследить, но к</w:t>
      </w:r>
      <w:r w:rsidRPr="00C842F6">
        <w:t>о</w:t>
      </w:r>
      <w:r w:rsidRPr="00C842F6">
        <w:t>торые остаются конфиденциальными.</w:t>
      </w:r>
    </w:p>
    <w:p w:rsidR="00C842F6" w:rsidRPr="00C842F6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C842F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842F6">
        <w:tab/>
      </w:r>
      <w:r w:rsidRPr="00C842F6">
        <w:tab/>
        <w:t>Обсуждение централизованной/децентрализованной архитектуры для ДС</w:t>
      </w:r>
      <w:proofErr w:type="gramStart"/>
      <w:r w:rsidRPr="00C842F6">
        <w:t>1</w:t>
      </w:r>
      <w:proofErr w:type="gramEnd"/>
    </w:p>
    <w:p w:rsidR="00C842F6" w:rsidRPr="00C842F6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C842F6">
      <w:pPr>
        <w:pStyle w:val="SingleTxt"/>
      </w:pPr>
      <w:r w:rsidRPr="00C842F6">
        <w:t>30.</w:t>
      </w:r>
      <w:r w:rsidRPr="00C842F6">
        <w:tab/>
        <w:t>Было отмечено, что сравнение централизованной и децентрализованной а</w:t>
      </w:r>
      <w:r w:rsidRPr="00C842F6">
        <w:t>р</w:t>
      </w:r>
      <w:r w:rsidRPr="00C842F6">
        <w:t>хитектуры для ДС</w:t>
      </w:r>
      <w:proofErr w:type="gramStart"/>
      <w:r w:rsidRPr="00C842F6">
        <w:t>1</w:t>
      </w:r>
      <w:proofErr w:type="gramEnd"/>
      <w:r w:rsidRPr="00C842F6">
        <w:t xml:space="preserve"> имеет большое значение. Хотя, как представляется, оба вар</w:t>
      </w:r>
      <w:r w:rsidRPr="00C842F6">
        <w:t>и</w:t>
      </w:r>
      <w:r w:rsidRPr="00C842F6">
        <w:t>анта могут быть использованы с надлежащим результатом, тем не менее</w:t>
      </w:r>
      <w:r w:rsidR="000E7E4F">
        <w:t>,</w:t>
      </w:r>
      <w:r w:rsidRPr="00C842F6">
        <w:t xml:space="preserve"> центр</w:t>
      </w:r>
      <w:r w:rsidRPr="00C842F6">
        <w:t>а</w:t>
      </w:r>
      <w:r w:rsidRPr="00C842F6">
        <w:t>лизованная архитектура ДС</w:t>
      </w:r>
      <w:proofErr w:type="gramStart"/>
      <w:r w:rsidRPr="00C842F6">
        <w:t>1</w:t>
      </w:r>
      <w:proofErr w:type="gramEnd"/>
      <w:r w:rsidRPr="00C842F6">
        <w:t xml:space="preserve"> во многих отношениях превосходит децентрализ</w:t>
      </w:r>
      <w:r w:rsidRPr="00C842F6">
        <w:t>о</w:t>
      </w:r>
      <w:r w:rsidRPr="00C842F6">
        <w:t>ванную. В случае выбора единой ДС</w:t>
      </w:r>
      <w:proofErr w:type="gramStart"/>
      <w:r w:rsidRPr="00C842F6">
        <w:t>1</w:t>
      </w:r>
      <w:proofErr w:type="gramEnd"/>
      <w:r w:rsidRPr="00C842F6">
        <w:t xml:space="preserve"> для какой-либо заданной территории п</w:t>
      </w:r>
      <w:r w:rsidRPr="00C842F6">
        <w:t>о</w:t>
      </w:r>
      <w:r w:rsidRPr="00C842F6">
        <w:t>требуется только один сервер, отпадет необходимость в многократных запросах между несколькими ДС1 и, соответственно, объем передаваемых данных будет меньше, а доступ к ним ускорится.</w:t>
      </w:r>
    </w:p>
    <w:p w:rsidR="00C842F6" w:rsidRPr="00C842F6" w:rsidRDefault="00C842F6" w:rsidP="00C842F6">
      <w:pPr>
        <w:pStyle w:val="SingleTxt"/>
      </w:pPr>
      <w:r w:rsidRPr="00C842F6">
        <w:t>31.</w:t>
      </w:r>
      <w:r w:rsidRPr="00C842F6">
        <w:tab/>
        <w:t>Внедрение централизованной архитектуры ДС</w:t>
      </w:r>
      <w:proofErr w:type="gramStart"/>
      <w:r w:rsidRPr="00C842F6">
        <w:t>1</w:t>
      </w:r>
      <w:proofErr w:type="gramEnd"/>
      <w:r w:rsidRPr="00C842F6">
        <w:t xml:space="preserve"> на заданной территории подразумевает, что все заинтересованные компетентные органы согласятся дел</w:t>
      </w:r>
      <w:r w:rsidRPr="00C842F6">
        <w:t>е</w:t>
      </w:r>
      <w:r w:rsidRPr="00C842F6">
        <w:t>гировать эти функции общему руководителю проекта, который возьмет на себя обязательства по контролю за созданием и техническим обслуживанием единого интерфейса ДС1. С другой стороны, в случае децентрализованной архитектуры ДС</w:t>
      </w:r>
      <w:proofErr w:type="gramStart"/>
      <w:r w:rsidRPr="00C842F6">
        <w:t>1</w:t>
      </w:r>
      <w:proofErr w:type="gramEnd"/>
      <w:r w:rsidRPr="00C842F6">
        <w:t xml:space="preserve"> необходимость в определении такого центрального органа отпадает, зато л</w:t>
      </w:r>
      <w:r w:rsidRPr="00C842F6">
        <w:t>о</w:t>
      </w:r>
      <w:r w:rsidRPr="00C842F6">
        <w:t>кальным операторам или компетентным органам придется разрабатывать инте</w:t>
      </w:r>
      <w:r w:rsidRPr="00C842F6">
        <w:t>р</w:t>
      </w:r>
      <w:r w:rsidRPr="00C842F6">
        <w:t>фейсы ДС1; при этом следует отметить, что для полного обеспечения работосп</w:t>
      </w:r>
      <w:r w:rsidRPr="00C842F6">
        <w:t>о</w:t>
      </w:r>
      <w:r w:rsidRPr="00C842F6">
        <w:t>собности системы все локальные ДС1 должны быть внедрены в сжатые сроки, равно как и в случае децентрализованной архитектуры ДС1. В противном случае будет невозможно извлечь соответствующую информацию в электронной форме по любой транспортной операции, осуществляемой на неохваченной территории.</w:t>
      </w:r>
    </w:p>
    <w:p w:rsidR="00C842F6" w:rsidRPr="00C842F6" w:rsidRDefault="00C842F6" w:rsidP="00C842F6">
      <w:pPr>
        <w:pStyle w:val="SingleTxt"/>
      </w:pPr>
      <w:r w:rsidRPr="00C842F6">
        <w:t>32.</w:t>
      </w:r>
      <w:r w:rsidRPr="00C842F6">
        <w:tab/>
        <w:t xml:space="preserve"> С точки зрения затрат, особенно для автомобильного транспорта, в целом можно утверждать, что объем сервера интерфейса (и, соответственно, его сто</w:t>
      </w:r>
      <w:r w:rsidRPr="00C842F6">
        <w:t>и</w:t>
      </w:r>
      <w:r w:rsidRPr="00C842F6">
        <w:t>мость) единой ДС</w:t>
      </w:r>
      <w:proofErr w:type="gramStart"/>
      <w:r w:rsidRPr="00C842F6">
        <w:t>1</w:t>
      </w:r>
      <w:proofErr w:type="gramEnd"/>
      <w:r w:rsidRPr="00C842F6">
        <w:t xml:space="preserve"> гораздо меньше совокупного объема всех локальных ДС1 в связи с неизбежностью некоторого дублирования данных (например, в случае иностранных транспортных операторов, которые работают также на территории своей страны и следовательно будут заявлены ДС1 обеих стран); необходимо проверить, справедливо ли это также для других видов транспорта. Таким обр</w:t>
      </w:r>
      <w:r w:rsidRPr="00C842F6">
        <w:t>а</w:t>
      </w:r>
      <w:r w:rsidRPr="00C842F6">
        <w:t>зом, расходы на создание одной центральной ДС</w:t>
      </w:r>
      <w:proofErr w:type="gramStart"/>
      <w:r w:rsidRPr="00C842F6">
        <w:t>1</w:t>
      </w:r>
      <w:proofErr w:type="gramEnd"/>
      <w:r w:rsidRPr="00C842F6">
        <w:t xml:space="preserve"> значительно ниже, чем сов</w:t>
      </w:r>
      <w:r w:rsidRPr="00C842F6">
        <w:t>о</w:t>
      </w:r>
      <w:r w:rsidRPr="00C842F6">
        <w:t>купные расходы на развертывание нескольких локальных ДС1.</w:t>
      </w:r>
    </w:p>
    <w:p w:rsidR="00C842F6" w:rsidRPr="00C842F6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C842F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842F6">
        <w:tab/>
      </w:r>
      <w:r w:rsidRPr="00C842F6">
        <w:tab/>
        <w:t>Дальнейшие технические вопросы, которые предстоит решить</w:t>
      </w:r>
    </w:p>
    <w:p w:rsidR="00C842F6" w:rsidRPr="00C842F6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C842F6">
      <w:pPr>
        <w:pStyle w:val="SingleTxt"/>
      </w:pPr>
      <w:r w:rsidRPr="00C842F6">
        <w:t>33.</w:t>
      </w:r>
      <w:r w:rsidRPr="00C842F6">
        <w:tab/>
        <w:t>Проводимая экспериментальная работа по внедрению архитектур ДС</w:t>
      </w:r>
      <w:proofErr w:type="gramStart"/>
      <w:r w:rsidRPr="00C842F6">
        <w:t>1</w:t>
      </w:r>
      <w:proofErr w:type="gramEnd"/>
      <w:r w:rsidRPr="00C842F6">
        <w:t>/ДС2 вскрыла ряд технических вопросов, которые необходимо решить в будущем и к</w:t>
      </w:r>
      <w:r w:rsidRPr="00C842F6">
        <w:t>о</w:t>
      </w:r>
      <w:r w:rsidRPr="00C842F6">
        <w:t>торые кратко описаны ниже.</w:t>
      </w:r>
    </w:p>
    <w:p w:rsidR="00C842F6" w:rsidRPr="00C842F6" w:rsidRDefault="00C842F6" w:rsidP="008125FB">
      <w:pPr>
        <w:pStyle w:val="SingleTxt"/>
      </w:pPr>
      <w:r w:rsidRPr="00C842F6">
        <w:lastRenderedPageBreak/>
        <w:t>34.</w:t>
      </w:r>
      <w:r w:rsidRPr="00C842F6">
        <w:tab/>
        <w:t>Для обеспечения прозрачности в отношениях с транспортными оператор</w:t>
      </w:r>
      <w:r w:rsidRPr="00C842F6">
        <w:t>а</w:t>
      </w:r>
      <w:r w:rsidRPr="00C842F6">
        <w:t>ми может потребоваться отсылка ДС</w:t>
      </w:r>
      <w:proofErr w:type="gramStart"/>
      <w:r w:rsidRPr="00C842F6">
        <w:t>2</w:t>
      </w:r>
      <w:proofErr w:type="gramEnd"/>
      <w:r w:rsidRPr="00C842F6">
        <w:t xml:space="preserve"> сообщения о том, какой компетентный о</w:t>
      </w:r>
      <w:r w:rsidRPr="00C842F6">
        <w:t>р</w:t>
      </w:r>
      <w:r w:rsidRPr="00C842F6">
        <w:t>ган (сотрудник правоохранительных органов, служба реагирования на чрезв</w:t>
      </w:r>
      <w:r w:rsidRPr="00C842F6">
        <w:t>ы</w:t>
      </w:r>
      <w:r w:rsidRPr="00C842F6">
        <w:t>чайные ситуации и др.) направил запрос о предоставлении данных и какие да</w:t>
      </w:r>
      <w:r w:rsidRPr="00C842F6">
        <w:t>н</w:t>
      </w:r>
      <w:r w:rsidRPr="00C842F6">
        <w:t>ные были запрошены. Участники пришли к общему мнению о том, что было бы целесообразно предусмотреть такую возможность.</w:t>
      </w:r>
    </w:p>
    <w:p w:rsidR="00C842F6" w:rsidRPr="00C842F6" w:rsidRDefault="00C842F6" w:rsidP="00C842F6">
      <w:pPr>
        <w:pStyle w:val="SingleTxt"/>
      </w:pPr>
      <w:r w:rsidRPr="00C842F6">
        <w:t>35.</w:t>
      </w:r>
      <w:r w:rsidRPr="00C842F6">
        <w:tab/>
        <w:t>Применительно к автомобильному транспорту: хотя недвусмысленная иде</w:t>
      </w:r>
      <w:r w:rsidRPr="00C842F6">
        <w:t>н</w:t>
      </w:r>
      <w:r w:rsidRPr="00C842F6">
        <w:t>тификация каждого транспортного средства производится по его уникальному идентификационному номеру, занесенному в европейский реестр, на практике транспортные средства идентифицируются по номерным знакам. В связи с этим необходимо решить проблему схожих номерных знаков, выданных разными странами; возможно, это может быть сделано путем внесения в базу данных с</w:t>
      </w:r>
      <w:r w:rsidRPr="00C842F6">
        <w:t>о</w:t>
      </w:r>
      <w:r w:rsidRPr="00C842F6">
        <w:t>ответствующей переменной – идентификатора страны.</w:t>
      </w:r>
    </w:p>
    <w:p w:rsidR="00C842F6" w:rsidRPr="00C842F6" w:rsidRDefault="00C842F6" w:rsidP="00C842F6">
      <w:pPr>
        <w:pStyle w:val="SingleTxt"/>
      </w:pPr>
      <w:r w:rsidRPr="00C842F6">
        <w:t>36.</w:t>
      </w:r>
      <w:r w:rsidRPr="00C842F6">
        <w:tab/>
        <w:t>Еще один обсуждавшийся на совещании практический вопрос касался н</w:t>
      </w:r>
      <w:r w:rsidRPr="00C842F6">
        <w:t>е</w:t>
      </w:r>
      <w:r w:rsidRPr="00C842F6">
        <w:t>полных номерных знаков (такая ситуация может возникнуть, например, в ходе дорожно-транспортного происшествия, связанного с ПОГ); он требует дальне</w:t>
      </w:r>
      <w:r w:rsidRPr="00C842F6">
        <w:t>й</w:t>
      </w:r>
      <w:r w:rsidRPr="00C842F6">
        <w:t>шего изучения.</w:t>
      </w:r>
    </w:p>
    <w:p w:rsidR="00C842F6" w:rsidRPr="00C842F6" w:rsidRDefault="00C842F6" w:rsidP="00C842F6">
      <w:pPr>
        <w:pStyle w:val="SingleTxt"/>
      </w:pPr>
      <w:r w:rsidRPr="00C842F6">
        <w:t xml:space="preserve">37. </w:t>
      </w:r>
      <w:r w:rsidRPr="00C842F6">
        <w:tab/>
        <w:t>Чтобы сделать архитектуру ДС</w:t>
      </w:r>
      <w:proofErr w:type="gramStart"/>
      <w:r w:rsidRPr="00C842F6">
        <w:t>2</w:t>
      </w:r>
      <w:proofErr w:type="gramEnd"/>
      <w:r w:rsidRPr="00C842F6">
        <w:t>/ДС1 более удобной для пользователей, необходимо изучить также случай регистрации у нескольких ДС2. Это может иметь место, когда транспортные компании – как правило небольшие – ос</w:t>
      </w:r>
      <w:r w:rsidRPr="00C842F6">
        <w:t>у</w:t>
      </w:r>
      <w:r w:rsidRPr="00C842F6">
        <w:t>ществляют транспортные операции в качестве субподрядчика нескольких более крупных компаний, каждая из которых заявляет соответствующие транспортные единицы своей ДС</w:t>
      </w:r>
      <w:proofErr w:type="gramStart"/>
      <w:r w:rsidRPr="00C842F6">
        <w:t>2</w:t>
      </w:r>
      <w:proofErr w:type="gramEnd"/>
      <w:r w:rsidRPr="00C842F6">
        <w:t>. То же самое происходит и в случае многоместной перевозки, когда транспортная единица принимает грузовые места с опасными грузами от нескольких компаний, каждая из которых формирует соответствующие тран</w:t>
      </w:r>
      <w:r w:rsidRPr="00C842F6">
        <w:t>с</w:t>
      </w:r>
      <w:r w:rsidRPr="00C842F6">
        <w:t>портные документы через свою собственную базу данных.</w:t>
      </w:r>
    </w:p>
    <w:p w:rsidR="00C842F6" w:rsidRPr="00C842F6" w:rsidRDefault="00C842F6" w:rsidP="008125FB">
      <w:pPr>
        <w:pStyle w:val="SingleTxt"/>
      </w:pPr>
      <w:r w:rsidRPr="00C842F6">
        <w:t>38.</w:t>
      </w:r>
      <w:r w:rsidRPr="00C842F6">
        <w:tab/>
        <w:t>Наконец, сохранение резервной копии транспортного документа в форм</w:t>
      </w:r>
      <w:r w:rsidRPr="00C842F6">
        <w:t>а</w:t>
      </w:r>
      <w:r w:rsidRPr="00C842F6">
        <w:t>те</w:t>
      </w:r>
      <w:r w:rsidR="008125FB">
        <w:t> </w:t>
      </w:r>
      <w:r w:rsidRPr="00C842F6">
        <w:t>PDF, как представляется, является удобным способом избежать блокирования доступа к данным в местах без покрытия сети или в случае иных проблем на коммуникационных линиях; однако в таком случае необходимо четко определить действия с использованием последующих редакций таких документов.</w:t>
      </w:r>
    </w:p>
    <w:p w:rsidR="00C842F6" w:rsidRPr="00C842F6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8125F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842F6">
        <w:tab/>
      </w:r>
      <w:r w:rsidRPr="00C842F6">
        <w:tab/>
        <w:t>Резюме работы, которую необходимо проделать в связи с</w:t>
      </w:r>
      <w:r w:rsidR="008125FB">
        <w:t> </w:t>
      </w:r>
      <w:r w:rsidRPr="00C842F6">
        <w:t>документом по оценке воздействия</w:t>
      </w:r>
    </w:p>
    <w:p w:rsidR="00C842F6" w:rsidRPr="00C842F6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C842F6">
      <w:pPr>
        <w:pStyle w:val="SingleTxt"/>
        <w:spacing w:after="0" w:line="120" w:lineRule="exact"/>
        <w:rPr>
          <w:sz w:val="10"/>
        </w:rPr>
      </w:pPr>
    </w:p>
    <w:p w:rsidR="00C842F6" w:rsidRPr="00C842F6" w:rsidRDefault="00C842F6" w:rsidP="00C842F6">
      <w:pPr>
        <w:pStyle w:val="SingleTxt"/>
      </w:pPr>
      <w:r w:rsidRPr="00C842F6">
        <w:t>39.</w:t>
      </w:r>
      <w:r w:rsidRPr="00C842F6">
        <w:tab/>
        <w:t>По завершении обсуждения было решено, что измененный документ по оценке воздействия будет подготовлен для представления Совместному совещ</w:t>
      </w:r>
      <w:r w:rsidRPr="00C842F6">
        <w:t>а</w:t>
      </w:r>
      <w:r w:rsidRPr="00C842F6">
        <w:t>нию МПОГ/ДОПОГ/ВОПОГ на его весенней сессии 2016 года. Поскольку для этого может потребоваться провести значительную работу, было отмечено, что этот доклад может быть дополнен информационным документом, который след</w:t>
      </w:r>
      <w:r w:rsidRPr="00C842F6">
        <w:t>у</w:t>
      </w:r>
      <w:r w:rsidRPr="00C842F6">
        <w:t>ет направить в качестве официального документа.</w:t>
      </w:r>
    </w:p>
    <w:p w:rsidR="00C842F6" w:rsidRPr="00C842F6" w:rsidRDefault="00C842F6" w:rsidP="00C842F6">
      <w:pPr>
        <w:pStyle w:val="SingleTxt"/>
      </w:pPr>
      <w:r w:rsidRPr="00C842F6">
        <w:t>40.</w:t>
      </w:r>
      <w:r w:rsidRPr="00C842F6">
        <w:tab/>
        <w:t>Было также решено, что Франция подготовит измененный проект оценки воздействия с указанием согласованных ранее основных вариантов использов</w:t>
      </w:r>
      <w:r w:rsidRPr="00C842F6">
        <w:t>а</w:t>
      </w:r>
      <w:r w:rsidRPr="00C842F6">
        <w:t>ния (безбумажный транспортный документооборот, более эффективное реагир</w:t>
      </w:r>
      <w:r w:rsidRPr="00C842F6">
        <w:t>о</w:t>
      </w:r>
      <w:r w:rsidRPr="00C842F6">
        <w:t>вание на чрезвычайные ситуации, статистические данные). Кроме того, было р</w:t>
      </w:r>
      <w:r w:rsidRPr="00C842F6">
        <w:t>е</w:t>
      </w:r>
      <w:r w:rsidRPr="00C842F6">
        <w:t>шено, что на данном этапе предпочтительнее не превышать разумных пределов количества вариантов использования. В то же время это не исключает разработку новых видов использования, и, соответственно, следует исходить из принципа, что любая система, предлагаемая к внедрению, должна оставаться гибкой и во</w:t>
      </w:r>
      <w:r w:rsidRPr="00C842F6">
        <w:t>с</w:t>
      </w:r>
      <w:r w:rsidRPr="00C842F6">
        <w:t>приимчивой к усовершенствованиям.</w:t>
      </w:r>
    </w:p>
    <w:p w:rsidR="00C842F6" w:rsidRPr="00C842F6" w:rsidRDefault="00C842F6" w:rsidP="00C842F6">
      <w:pPr>
        <w:pStyle w:val="SingleTxt"/>
      </w:pPr>
      <w:r w:rsidRPr="00C842F6">
        <w:lastRenderedPageBreak/>
        <w:t>41.</w:t>
      </w:r>
      <w:r w:rsidRPr="00C842F6">
        <w:tab/>
        <w:t>Что касается анализа эффективности затрат, то в оценку воздействия будет включена информация о затратах, связанных с серверами и техническими разр</w:t>
      </w:r>
      <w:r w:rsidRPr="00C842F6">
        <w:t>а</w:t>
      </w:r>
      <w:r w:rsidRPr="00C842F6">
        <w:t>ботками, которые могут быть оценены исходя из опыта осуществляемого в настоящее время экспериментального проекта по внедрению ДС</w:t>
      </w:r>
      <w:proofErr w:type="gramStart"/>
      <w:r w:rsidRPr="00C842F6">
        <w:t>1</w:t>
      </w:r>
      <w:proofErr w:type="gramEnd"/>
      <w:r w:rsidRPr="00C842F6">
        <w:t>/ДС2 во Фра</w:t>
      </w:r>
      <w:r w:rsidRPr="00C842F6">
        <w:t>н</w:t>
      </w:r>
      <w:r w:rsidRPr="00C842F6">
        <w:t>ции.</w:t>
      </w:r>
    </w:p>
    <w:p w:rsidR="00C842F6" w:rsidRPr="00C842F6" w:rsidRDefault="00C842F6" w:rsidP="008125FB">
      <w:pPr>
        <w:pStyle w:val="SingleTxt"/>
      </w:pPr>
      <w:r w:rsidRPr="00C842F6">
        <w:t>42.</w:t>
      </w:r>
      <w:r w:rsidRPr="00C842F6">
        <w:tab/>
        <w:t>Будут проанализированы различные технические варианты, в частности б</w:t>
      </w:r>
      <w:r w:rsidRPr="00C842F6">
        <w:t>у</w:t>
      </w:r>
      <w:r w:rsidRPr="00C842F6">
        <w:t>дет проведено сравнение вариантов одного или нескольких интерфейсов ДС</w:t>
      </w:r>
      <w:proofErr w:type="gramStart"/>
      <w:r w:rsidRPr="00C842F6">
        <w:t>1</w:t>
      </w:r>
      <w:proofErr w:type="gramEnd"/>
      <w:r w:rsidRPr="00C842F6">
        <w:t>, с</w:t>
      </w:r>
      <w:r w:rsidR="008125FB">
        <w:t> </w:t>
      </w:r>
      <w:r w:rsidRPr="00C842F6">
        <w:t>указанием соответствующих уровней услуг и связанных с ними расходов.</w:t>
      </w:r>
    </w:p>
    <w:p w:rsidR="00C842F6" w:rsidRPr="00C842F6" w:rsidRDefault="00C842F6" w:rsidP="00C842F6">
      <w:pPr>
        <w:pStyle w:val="SingleTxt"/>
      </w:pPr>
      <w:r w:rsidRPr="00C842F6">
        <w:t>43.</w:t>
      </w:r>
      <w:r w:rsidRPr="00C842F6">
        <w:tab/>
        <w:t>Было отмечено, что для составления документа по оценке воздействия необходимо провести дополнительную работу с целью:</w:t>
      </w:r>
    </w:p>
    <w:p w:rsidR="00C842F6" w:rsidRPr="00C842F6" w:rsidRDefault="00C842F6" w:rsidP="00C842F6">
      <w:pPr>
        <w:pStyle w:val="Bullet1"/>
      </w:pPr>
      <w:r w:rsidRPr="00C842F6">
        <w:t xml:space="preserve">получить информацию об оценках ТУЭС-ПСТГП; </w:t>
      </w:r>
    </w:p>
    <w:p w:rsidR="00C842F6" w:rsidRPr="00C842F6" w:rsidRDefault="00C842F6" w:rsidP="000D16E2">
      <w:pPr>
        <w:pStyle w:val="Bullet1"/>
      </w:pPr>
      <w:r w:rsidRPr="00C842F6">
        <w:t>получить данные и сведения в числовом выражении об эффективности з</w:t>
      </w:r>
      <w:r w:rsidRPr="00C842F6">
        <w:t>а</w:t>
      </w:r>
      <w:r w:rsidRPr="00C842F6">
        <w:t xml:space="preserve">трат на внедрение </w:t>
      </w:r>
      <w:r w:rsidR="000D16E2">
        <w:t>«</w:t>
      </w:r>
      <w:r w:rsidRPr="00C842F6">
        <w:t>безбумажной</w:t>
      </w:r>
      <w:r w:rsidR="000D16E2">
        <w:t>»</w:t>
      </w:r>
      <w:r w:rsidRPr="00C842F6">
        <w:t xml:space="preserve"> документации, в особенности в отнош</w:t>
      </w:r>
      <w:r w:rsidRPr="00C842F6">
        <w:t>е</w:t>
      </w:r>
      <w:r w:rsidRPr="00C842F6">
        <w:t xml:space="preserve">нии транспортных компаний, перевозящих грузы в цистернах; </w:t>
      </w:r>
    </w:p>
    <w:p w:rsidR="00C842F6" w:rsidRPr="00C842F6" w:rsidRDefault="00C842F6" w:rsidP="00C842F6">
      <w:pPr>
        <w:pStyle w:val="Bullet1"/>
      </w:pPr>
      <w:r w:rsidRPr="00C842F6">
        <w:t>получить данные о средних затратах и свести воедино общие статистич</w:t>
      </w:r>
      <w:r w:rsidRPr="00C842F6">
        <w:t>е</w:t>
      </w:r>
      <w:r w:rsidRPr="00C842F6">
        <w:t>ские данные.</w:t>
      </w:r>
    </w:p>
    <w:p w:rsidR="00FB2908" w:rsidRPr="00C842F6" w:rsidRDefault="00C842F6" w:rsidP="00C842F6">
      <w:pPr>
        <w:pStyle w:val="SingleTxt"/>
      </w:pPr>
      <w:r w:rsidRPr="00C842F6">
        <w:t>44.</w:t>
      </w:r>
      <w:r w:rsidRPr="00C842F6">
        <w:tab/>
        <w:t>В заключение всем членам неофициальной рабочей группы было насто</w:t>
      </w:r>
      <w:r w:rsidRPr="00C842F6">
        <w:t>я</w:t>
      </w:r>
      <w:r w:rsidRPr="00C842F6">
        <w:t>тельно предложено внести свой вклад в подготовку проекта документа по оценке воздействия и предоставить, в случае их наличия, соответствующие данные по перевозкам и расходам, которые будут сведены воедино Францией в документе по оценке воздействия.</w:t>
      </w:r>
    </w:p>
    <w:p w:rsidR="00C842F6" w:rsidRPr="00C842F6" w:rsidRDefault="00C842F6" w:rsidP="00C842F6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C842F6" w:rsidRPr="00C842F6" w:rsidSect="00FB2908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30D" w:rsidRDefault="00AB130D" w:rsidP="008A1A7A">
      <w:pPr>
        <w:spacing w:line="240" w:lineRule="auto"/>
      </w:pPr>
      <w:r>
        <w:separator/>
      </w:r>
    </w:p>
  </w:endnote>
  <w:endnote w:type="continuationSeparator" w:id="0">
    <w:p w:rsidR="00AB130D" w:rsidRDefault="00AB130D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B130D" w:rsidTr="00FB290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B130D" w:rsidRPr="00FB2908" w:rsidRDefault="00AB130D" w:rsidP="00FB2908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260D8">
            <w:rPr>
              <w:noProof/>
            </w:rPr>
            <w:t>8</w:t>
          </w:r>
          <w:r>
            <w:fldChar w:fldCharType="end"/>
          </w:r>
          <w:r>
            <w:t>/</w:t>
          </w:r>
          <w:fldSimple w:instr=" NUMPAGES  \* Arabic  \* MERGEFORMAT ">
            <w:r w:rsidR="00A260D8">
              <w:rPr>
                <w:noProof/>
              </w:rPr>
              <w:t>9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AB130D" w:rsidRPr="00FB2908" w:rsidRDefault="00AB130D" w:rsidP="00FB2908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260D8">
            <w:rPr>
              <w:b w:val="0"/>
              <w:color w:val="000000"/>
              <w:sz w:val="14"/>
            </w:rPr>
            <w:t>GE.15-22773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AB130D" w:rsidRPr="00FB2908" w:rsidRDefault="00AB130D" w:rsidP="00FB29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B130D" w:rsidTr="00FB290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B130D" w:rsidRPr="00FB2908" w:rsidRDefault="00AB130D" w:rsidP="00FB2908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260D8">
            <w:rPr>
              <w:b w:val="0"/>
              <w:color w:val="000000"/>
              <w:sz w:val="14"/>
            </w:rPr>
            <w:t>GE.15-22773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B130D" w:rsidRPr="00FB2908" w:rsidRDefault="00AB130D" w:rsidP="00FB2908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260D8">
            <w:rPr>
              <w:noProof/>
            </w:rPr>
            <w:t>9</w:t>
          </w:r>
          <w:r>
            <w:fldChar w:fldCharType="end"/>
          </w:r>
          <w:r>
            <w:t>/</w:t>
          </w:r>
          <w:fldSimple w:instr=" NUMPAGES  \* Arabic  \* MERGEFORMAT ">
            <w:r w:rsidR="00A260D8">
              <w:rPr>
                <w:noProof/>
              </w:rPr>
              <w:t>9</w:t>
            </w:r>
          </w:fldSimple>
        </w:p>
      </w:tc>
    </w:tr>
  </w:tbl>
  <w:p w:rsidR="00AB130D" w:rsidRPr="00FB2908" w:rsidRDefault="00AB130D" w:rsidP="00FB29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AB130D" w:rsidTr="00FB2908">
      <w:tc>
        <w:tcPr>
          <w:tcW w:w="3873" w:type="dxa"/>
        </w:tcPr>
        <w:p w:rsidR="00AB130D" w:rsidRDefault="00AB130D" w:rsidP="00FB2908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441C06D1" wp14:editId="023E5D5E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1/2016/9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1/2016/9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GE.15-22773 (R)</w:t>
          </w:r>
          <w:r>
            <w:rPr>
              <w:color w:val="010000"/>
            </w:rPr>
            <w:t xml:space="preserve">    250116    260116</w:t>
          </w:r>
        </w:p>
        <w:p w:rsidR="00AB130D" w:rsidRPr="00FB2908" w:rsidRDefault="00AB130D" w:rsidP="00FB2908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 w:hint="eastAsia"/>
              <w:w w:val="100"/>
              <w:sz w:val="24"/>
            </w:rPr>
            <w:t>*1522773*</w:t>
          </w:r>
        </w:p>
      </w:tc>
      <w:tc>
        <w:tcPr>
          <w:tcW w:w="5127" w:type="dxa"/>
        </w:tcPr>
        <w:p w:rsidR="00AB130D" w:rsidRDefault="00AB130D" w:rsidP="00FB2908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2D907FAB" wp14:editId="1B7E9685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B130D" w:rsidRPr="00FB2908" w:rsidRDefault="00AB130D" w:rsidP="00FB2908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30D" w:rsidRPr="00C842F6" w:rsidRDefault="00AB130D" w:rsidP="00C842F6">
      <w:pPr>
        <w:pStyle w:val="Footer"/>
        <w:spacing w:after="80"/>
        <w:ind w:left="792"/>
        <w:rPr>
          <w:sz w:val="16"/>
        </w:rPr>
      </w:pPr>
      <w:r w:rsidRPr="00C842F6">
        <w:rPr>
          <w:sz w:val="16"/>
        </w:rPr>
        <w:t>__________________</w:t>
      </w:r>
    </w:p>
  </w:footnote>
  <w:footnote w:type="continuationSeparator" w:id="0">
    <w:p w:rsidR="00AB130D" w:rsidRPr="00C842F6" w:rsidRDefault="00AB130D" w:rsidP="00C842F6">
      <w:pPr>
        <w:pStyle w:val="Footer"/>
        <w:spacing w:after="80"/>
        <w:ind w:left="792"/>
        <w:rPr>
          <w:sz w:val="16"/>
        </w:rPr>
      </w:pPr>
      <w:r w:rsidRPr="00C842F6">
        <w:rPr>
          <w:sz w:val="16"/>
        </w:rPr>
        <w:t>__________________</w:t>
      </w:r>
    </w:p>
  </w:footnote>
  <w:footnote w:id="1">
    <w:p w:rsidR="00AB130D" w:rsidRPr="00DB35CD" w:rsidRDefault="00AB130D" w:rsidP="00C842F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FootnoteReference"/>
        </w:rPr>
        <w:footnoteRef/>
      </w:r>
      <w:r>
        <w:tab/>
        <w:t>В соответствии с проектом программы работы Комитета по внутреннему транспорту на 2016−2017 годы (ECE/TRANS/WP.15/2015/19 (9.2)).</w:t>
      </w:r>
    </w:p>
  </w:footnote>
  <w:footnote w:id="2">
    <w:p w:rsidR="00AB130D" w:rsidRPr="00DB35CD" w:rsidRDefault="00AB130D" w:rsidP="00C842F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6305EC">
        <w:tab/>
      </w:r>
      <w:r>
        <w:rPr>
          <w:rStyle w:val="FootnoteReference"/>
        </w:rPr>
        <w:footnoteRef/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OTIF/RID/RC/2016/9.</w:t>
      </w:r>
    </w:p>
    <w:p w:rsidR="00AB130D" w:rsidRPr="00DB35CD" w:rsidRDefault="00AB130D" w:rsidP="00C842F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B130D" w:rsidTr="00FB290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B130D" w:rsidRPr="00FB2908" w:rsidRDefault="00AB130D" w:rsidP="00FB2908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260D8">
            <w:rPr>
              <w:b/>
            </w:rPr>
            <w:t>ECE/TRANS/WP.15/AC.1/2016/9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B130D" w:rsidRDefault="00AB130D" w:rsidP="00FB2908">
          <w:pPr>
            <w:pStyle w:val="Header"/>
          </w:pPr>
        </w:p>
      </w:tc>
    </w:tr>
  </w:tbl>
  <w:p w:rsidR="00AB130D" w:rsidRPr="00FB2908" w:rsidRDefault="00AB130D" w:rsidP="00FB29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B130D" w:rsidTr="00FB290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B130D" w:rsidRDefault="00AB130D" w:rsidP="00FB2908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AB130D" w:rsidRPr="00FB2908" w:rsidRDefault="00AB130D" w:rsidP="00FB2908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260D8">
            <w:rPr>
              <w:b/>
            </w:rPr>
            <w:t>ECE/TRANS/WP.15/AC.1/2016/9</w:t>
          </w:r>
          <w:r>
            <w:rPr>
              <w:b/>
            </w:rPr>
            <w:fldChar w:fldCharType="end"/>
          </w:r>
        </w:p>
      </w:tc>
    </w:tr>
  </w:tbl>
  <w:p w:rsidR="00AB130D" w:rsidRPr="00FB2908" w:rsidRDefault="00AB130D" w:rsidP="00FB29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AB130D" w:rsidTr="00FB2908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AB130D" w:rsidRPr="00FB2908" w:rsidRDefault="00AB130D" w:rsidP="00FB2908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B130D" w:rsidRDefault="00AB130D" w:rsidP="00FB2908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AB130D" w:rsidRPr="00FB2908" w:rsidRDefault="00AB130D" w:rsidP="00FB2908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/TRANS/WP.15/AC.1/2016/9</w:t>
          </w:r>
        </w:p>
      </w:tc>
    </w:tr>
    <w:tr w:rsidR="00AB130D" w:rsidRPr="006779DF" w:rsidTr="00FB2908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B130D" w:rsidRPr="00FB2908" w:rsidRDefault="00AB130D" w:rsidP="00FB2908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149DFBAC" wp14:editId="0BCC9FD3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B130D" w:rsidRPr="00FB2908" w:rsidRDefault="00AB130D" w:rsidP="00FB2908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B130D" w:rsidRPr="00FB2908" w:rsidRDefault="00AB130D" w:rsidP="00FB2908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B130D" w:rsidRPr="00C842F6" w:rsidRDefault="00AB130D" w:rsidP="00FB2908">
          <w:pPr>
            <w:pStyle w:val="Distribution"/>
            <w:rPr>
              <w:color w:val="000000"/>
              <w:lang w:val="en-US"/>
            </w:rPr>
          </w:pPr>
          <w:r w:rsidRPr="00C842F6">
            <w:rPr>
              <w:color w:val="000000"/>
              <w:lang w:val="en-US"/>
            </w:rPr>
            <w:t>Distr.: General</w:t>
          </w:r>
        </w:p>
        <w:p w:rsidR="00AB130D" w:rsidRPr="00C842F6" w:rsidRDefault="00AB130D" w:rsidP="00C842F6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23 December</w:t>
          </w:r>
          <w:r w:rsidRPr="00C842F6">
            <w:rPr>
              <w:color w:val="000000"/>
              <w:lang w:val="en-US"/>
            </w:rPr>
            <w:t xml:space="preserve"> 201</w:t>
          </w:r>
          <w:r>
            <w:rPr>
              <w:color w:val="000000"/>
              <w:lang w:val="en-US"/>
            </w:rPr>
            <w:t>5</w:t>
          </w:r>
        </w:p>
        <w:p w:rsidR="00AB130D" w:rsidRPr="00C842F6" w:rsidRDefault="00AB130D" w:rsidP="00FB2908">
          <w:pPr>
            <w:rPr>
              <w:color w:val="000000"/>
              <w:lang w:val="en-US"/>
            </w:rPr>
          </w:pPr>
          <w:r w:rsidRPr="00C842F6">
            <w:rPr>
              <w:color w:val="000000"/>
              <w:lang w:val="en-US"/>
            </w:rPr>
            <w:t>Russian</w:t>
          </w:r>
        </w:p>
        <w:p w:rsidR="00AB130D" w:rsidRPr="00C842F6" w:rsidRDefault="00AB130D" w:rsidP="00FB2908">
          <w:pPr>
            <w:pStyle w:val="Original"/>
            <w:rPr>
              <w:color w:val="000000"/>
              <w:lang w:val="en-US"/>
            </w:rPr>
          </w:pPr>
          <w:r w:rsidRPr="00C842F6">
            <w:rPr>
              <w:color w:val="000000"/>
              <w:lang w:val="en-US"/>
            </w:rPr>
            <w:t>Original: English</w:t>
          </w:r>
        </w:p>
        <w:p w:rsidR="00AB130D" w:rsidRPr="00C842F6" w:rsidRDefault="00AB130D" w:rsidP="00FB2908">
          <w:pPr>
            <w:rPr>
              <w:lang w:val="en-US"/>
            </w:rPr>
          </w:pPr>
        </w:p>
      </w:tc>
    </w:tr>
  </w:tbl>
  <w:p w:rsidR="00AB130D" w:rsidRPr="00C842F6" w:rsidRDefault="00AB130D" w:rsidP="00FB2908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773*"/>
    <w:docVar w:name="CreationDt" w:val="1/26/2016 4:11: PM"/>
    <w:docVar w:name="DocCategory" w:val="Doc"/>
    <w:docVar w:name="DocType" w:val="Final"/>
    <w:docVar w:name="DutyStation" w:val="Geneva"/>
    <w:docVar w:name="FooterJN" w:val="GE.15-22773"/>
    <w:docVar w:name="jobn" w:val="GE.15-22773 (R)"/>
    <w:docVar w:name="jobnDT" w:val="GE.15-22773 (R)   260116"/>
    <w:docVar w:name="jobnDTDT" w:val="GE.15-22773 (R)   260116   260116"/>
    <w:docVar w:name="JobNo" w:val="GE.1522773R"/>
    <w:docVar w:name="JobNo2" w:val="1529072R"/>
    <w:docVar w:name="LocalDrive" w:val="0"/>
    <w:docVar w:name="OandT" w:val=" "/>
    <w:docVar w:name="PaperSize" w:val="A4"/>
    <w:docVar w:name="sss1" w:val="ECE/TRANS/WP.15/AC.1/2016/9"/>
    <w:docVar w:name="sss2" w:val="-"/>
    <w:docVar w:name="Symbol1" w:val="ECE/TRANS/WP.15/AC.1/2016/9"/>
    <w:docVar w:name="Symbol2" w:val="-"/>
  </w:docVars>
  <w:rsids>
    <w:rsidRoot w:val="00326FB1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16E2"/>
    <w:rsid w:val="000D300C"/>
    <w:rsid w:val="000D64CF"/>
    <w:rsid w:val="000E0F08"/>
    <w:rsid w:val="000E30BA"/>
    <w:rsid w:val="000E35C6"/>
    <w:rsid w:val="000E3712"/>
    <w:rsid w:val="000E4411"/>
    <w:rsid w:val="000E7E4F"/>
    <w:rsid w:val="000F1ACD"/>
    <w:rsid w:val="000F5D07"/>
    <w:rsid w:val="00101EF2"/>
    <w:rsid w:val="00105B0E"/>
    <w:rsid w:val="00113678"/>
    <w:rsid w:val="001235FD"/>
    <w:rsid w:val="0013029A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57B0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86A34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2AD4"/>
    <w:rsid w:val="002F3CF9"/>
    <w:rsid w:val="002F5C45"/>
    <w:rsid w:val="002F6149"/>
    <w:rsid w:val="002F7D25"/>
    <w:rsid w:val="00307391"/>
    <w:rsid w:val="00310EA4"/>
    <w:rsid w:val="00310ED4"/>
    <w:rsid w:val="00325C10"/>
    <w:rsid w:val="00326F5F"/>
    <w:rsid w:val="00326FB1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05EC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779DF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05BE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125FB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6ECD"/>
    <w:rsid w:val="00A070E6"/>
    <w:rsid w:val="00A1426A"/>
    <w:rsid w:val="00A14F1D"/>
    <w:rsid w:val="00A152DC"/>
    <w:rsid w:val="00A1703F"/>
    <w:rsid w:val="00A2180A"/>
    <w:rsid w:val="00A22293"/>
    <w:rsid w:val="00A260D8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130D"/>
    <w:rsid w:val="00AB2CCF"/>
    <w:rsid w:val="00AB49FD"/>
    <w:rsid w:val="00AB69B0"/>
    <w:rsid w:val="00AC0555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42F6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B2908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FB2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90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90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90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9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DF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FB2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90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90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90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9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DF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42A70-10FA-45B3-901C-35A6F6CE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3743</Words>
  <Characters>21340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Sharkina</dc:creator>
  <cp:lastModifiedBy>barrio-champeau</cp:lastModifiedBy>
  <cp:revision>4</cp:revision>
  <cp:lastPrinted>2016-02-24T09:24:00Z</cp:lastPrinted>
  <dcterms:created xsi:type="dcterms:W3CDTF">2016-02-24T09:24:00Z</dcterms:created>
  <dcterms:modified xsi:type="dcterms:W3CDTF">2016-02-24T09:25:00Z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1522773R</vt:lpwstr>
  </property>
  <property fmtid="{D5CDD505-2E9C-101B-9397-08002B2CF9AE}" pid="3" name="ODSRefJobNo">
    <vt:lpwstr>1529072R</vt:lpwstr>
  </property>
  <property fmtid="{D5CDD505-2E9C-101B-9397-08002B2CF9AE}" pid="4" name="Symbol1">
    <vt:lpwstr>ECE/TRANS/WP.15/AC.1/2016/9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26 January 2016</vt:lpwstr>
  </property>
  <property fmtid="{D5CDD505-2E9C-101B-9397-08002B2CF9AE}" pid="12" name="Original">
    <vt:lpwstr>English</vt:lpwstr>
  </property>
  <property fmtid="{D5CDD505-2E9C-101B-9397-08002B2CF9AE}" pid="13" name="Release Date">
    <vt:lpwstr>260116</vt:lpwstr>
  </property>
</Properties>
</file>