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FB525B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FB525B" w:rsidP="00FB525B">
            <w:pPr>
              <w:jc w:val="right"/>
            </w:pPr>
            <w:r w:rsidRPr="00FB525B">
              <w:rPr>
                <w:sz w:val="40"/>
              </w:rPr>
              <w:t>ECE</w:t>
            </w:r>
            <w:r>
              <w:t>/TRANS/WP.15/AC.1/2016/34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FB525B" w:rsidP="00892A2F">
            <w:pPr>
              <w:spacing w:before="240"/>
            </w:pPr>
            <w:r>
              <w:t>Distr. générale</w:t>
            </w:r>
          </w:p>
          <w:p w:rsidR="00FB525B" w:rsidRDefault="00FB525B" w:rsidP="00FB525B">
            <w:pPr>
              <w:spacing w:line="240" w:lineRule="exact"/>
            </w:pPr>
            <w:r>
              <w:t>8 juillet 2016</w:t>
            </w:r>
          </w:p>
          <w:p w:rsidR="00FB525B" w:rsidRDefault="00FB525B" w:rsidP="00FB525B">
            <w:pPr>
              <w:spacing w:line="240" w:lineRule="exact"/>
            </w:pPr>
            <w:r>
              <w:t>Français</w:t>
            </w:r>
          </w:p>
          <w:p w:rsidR="00FB525B" w:rsidRPr="00DB58B5" w:rsidRDefault="00FB525B" w:rsidP="00FB525B">
            <w:pPr>
              <w:spacing w:line="240" w:lineRule="exact"/>
            </w:pPr>
            <w:r>
              <w:t>Original : générale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9939FF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FB525B" w:rsidRPr="009E01B8" w:rsidRDefault="00FB525B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:rsidR="00FB525B" w:rsidRPr="00926E87" w:rsidRDefault="00FB525B" w:rsidP="00AF0CB5">
      <w:pPr>
        <w:spacing w:before="120"/>
        <w:rPr>
          <w:b/>
        </w:rPr>
      </w:pPr>
      <w:r w:rsidRPr="00926E87">
        <w:rPr>
          <w:b/>
        </w:rPr>
        <w:t>Réunion commune de la Commission d</w:t>
      </w:r>
      <w:r w:rsidR="009939FF">
        <w:rPr>
          <w:b/>
        </w:rPr>
        <w:t>’</w:t>
      </w:r>
      <w:r w:rsidRPr="00926E87">
        <w:rPr>
          <w:b/>
        </w:rPr>
        <w:t>experts du RID</w:t>
      </w:r>
      <w:r>
        <w:rPr>
          <w:b/>
        </w:rPr>
        <w:t xml:space="preserve"> </w:t>
      </w:r>
      <w:r w:rsidRPr="00926E87">
        <w:rPr>
          <w:b/>
        </w:rPr>
        <w:t>et</w:t>
      </w:r>
      <w:r>
        <w:rPr>
          <w:b/>
        </w:rPr>
        <w:br/>
      </w:r>
      <w:r w:rsidRPr="00926E87">
        <w:rPr>
          <w:b/>
        </w:rPr>
        <w:t>du Groupe de travail</w:t>
      </w:r>
      <w:r>
        <w:rPr>
          <w:b/>
        </w:rPr>
        <w:t xml:space="preserve"> </w:t>
      </w:r>
      <w:r w:rsidRPr="00926E87">
        <w:rPr>
          <w:b/>
        </w:rPr>
        <w:t>des transports de marchandises dangereuses</w:t>
      </w:r>
    </w:p>
    <w:p w:rsidR="00FB525B" w:rsidRDefault="00FB525B" w:rsidP="00FB525B">
      <w:r>
        <w:t xml:space="preserve">Genève, </w:t>
      </w:r>
      <w:r w:rsidRPr="007B6504">
        <w:rPr>
          <w:szCs w:val="24"/>
        </w:rPr>
        <w:t>19</w:t>
      </w:r>
      <w:r>
        <w:rPr>
          <w:szCs w:val="24"/>
        </w:rPr>
        <w:t>-</w:t>
      </w:r>
      <w:r w:rsidRPr="007B6504">
        <w:rPr>
          <w:szCs w:val="24"/>
        </w:rPr>
        <w:t>23</w:t>
      </w:r>
      <w:r>
        <w:rPr>
          <w:szCs w:val="24"/>
        </w:rPr>
        <w:t> </w:t>
      </w:r>
      <w:r w:rsidRPr="007B6504">
        <w:rPr>
          <w:szCs w:val="24"/>
        </w:rPr>
        <w:t>septembre 2016</w:t>
      </w:r>
    </w:p>
    <w:p w:rsidR="00FB525B" w:rsidRDefault="00FB525B" w:rsidP="00AF0CB5">
      <w:r w:rsidRPr="00B93E72">
        <w:t xml:space="preserve">Point </w:t>
      </w:r>
      <w:r>
        <w:t>5 b)</w:t>
      </w:r>
      <w:r w:rsidRPr="00B93E72">
        <w:t xml:space="preserve"> de l</w:t>
      </w:r>
      <w:r w:rsidR="009939FF">
        <w:t>’</w:t>
      </w:r>
      <w:r w:rsidRPr="00B93E72">
        <w:t>ordre du jour provisoire</w:t>
      </w:r>
    </w:p>
    <w:p w:rsidR="00FB525B" w:rsidRPr="00152215" w:rsidRDefault="00FB525B" w:rsidP="00FB525B">
      <w:pPr>
        <w:kinsoku/>
        <w:overflowPunct/>
        <w:autoSpaceDE/>
        <w:autoSpaceDN/>
        <w:adjustRightInd/>
        <w:snapToGrid/>
        <w:rPr>
          <w:b/>
          <w:szCs w:val="24"/>
        </w:rPr>
      </w:pPr>
      <w:r w:rsidRPr="00152215">
        <w:rPr>
          <w:b/>
          <w:szCs w:val="24"/>
        </w:rPr>
        <w:t>Propos</w:t>
      </w:r>
      <w:r w:rsidRPr="000D2D88">
        <w:rPr>
          <w:b/>
          <w:szCs w:val="24"/>
        </w:rPr>
        <w:t>itions diverses</w:t>
      </w:r>
      <w:r>
        <w:rPr>
          <w:b/>
          <w:szCs w:val="24"/>
        </w:rPr>
        <w:t xml:space="preserve"> </w:t>
      </w:r>
      <w:r w:rsidRPr="000D2D88">
        <w:rPr>
          <w:b/>
          <w:szCs w:val="24"/>
        </w:rPr>
        <w:t>d</w:t>
      </w:r>
      <w:r w:rsidR="009939FF">
        <w:rPr>
          <w:b/>
          <w:szCs w:val="24"/>
        </w:rPr>
        <w:t>’</w:t>
      </w:r>
      <w:r w:rsidRPr="000D2D88">
        <w:rPr>
          <w:b/>
          <w:szCs w:val="24"/>
        </w:rPr>
        <w:t xml:space="preserve">amendements au </w:t>
      </w:r>
      <w:r w:rsidRPr="00152215">
        <w:rPr>
          <w:b/>
          <w:szCs w:val="24"/>
        </w:rPr>
        <w:t>RID/ADR/ADN</w:t>
      </w:r>
      <w:r>
        <w:rPr>
          <w:b/>
          <w:szCs w:val="24"/>
        </w:rPr>
        <w:t> </w:t>
      </w:r>
      <w:r w:rsidRPr="00152215">
        <w:rPr>
          <w:b/>
          <w:szCs w:val="24"/>
        </w:rPr>
        <w:t xml:space="preserve">: </w:t>
      </w:r>
    </w:p>
    <w:p w:rsidR="00FB525B" w:rsidRPr="004B17D2" w:rsidRDefault="00FB525B" w:rsidP="00FB525B">
      <w:pPr>
        <w:kinsoku/>
        <w:overflowPunct/>
        <w:autoSpaceDE/>
        <w:autoSpaceDN/>
        <w:adjustRightInd/>
        <w:snapToGrid/>
        <w:rPr>
          <w:szCs w:val="24"/>
        </w:rPr>
      </w:pPr>
      <w:r w:rsidRPr="004B17D2">
        <w:rPr>
          <w:b/>
          <w:szCs w:val="24"/>
        </w:rPr>
        <w:t>Nouvelles propositions</w:t>
      </w:r>
    </w:p>
    <w:p w:rsidR="00FB525B" w:rsidRPr="00E7234A" w:rsidRDefault="00FB525B" w:rsidP="00FB525B">
      <w:pPr>
        <w:pStyle w:val="HChG"/>
      </w:pPr>
      <w:r w:rsidRPr="004B17D2">
        <w:tab/>
      </w:r>
      <w:r w:rsidRPr="004B17D2">
        <w:tab/>
      </w:r>
      <w:r w:rsidRPr="00E7234A">
        <w:t>Obligations du transporteur</w:t>
      </w:r>
      <w:r w:rsidR="00304F32" w:rsidRPr="00E7234A">
        <w:t> </w:t>
      </w:r>
      <w:r w:rsidRPr="00E7234A">
        <w:t xml:space="preserve">; examen visuel </w:t>
      </w:r>
      <w:r w:rsidR="00E7234A" w:rsidRPr="00E7234A">
        <w:br/>
      </w:r>
      <w:r w:rsidRPr="00E7234A">
        <w:t xml:space="preserve">du chargement contenu dans un engin </w:t>
      </w:r>
      <w:r w:rsidR="00E7234A">
        <w:br/>
      </w:r>
      <w:r w:rsidRPr="00E7234A">
        <w:t>de transport scellé</w:t>
      </w:r>
    </w:p>
    <w:p w:rsidR="00F9573C" w:rsidRDefault="00FB525B" w:rsidP="00FB525B">
      <w:pPr>
        <w:pStyle w:val="H1G"/>
      </w:pPr>
      <w:r w:rsidRPr="00F42BB6">
        <w:tab/>
      </w:r>
      <w:r w:rsidRPr="00F42BB6">
        <w:tab/>
      </w:r>
      <w:r w:rsidRPr="000D2D88">
        <w:t>Communication de l</w:t>
      </w:r>
      <w:r w:rsidR="009939FF">
        <w:t>’</w:t>
      </w:r>
      <w:r>
        <w:t>Autriche</w:t>
      </w:r>
      <w:r w:rsidRPr="00FB525B">
        <w:rPr>
          <w:rStyle w:val="FootnoteReference"/>
          <w:b w:val="0"/>
          <w:szCs w:val="18"/>
        </w:rPr>
        <w:footnoteReference w:id="2"/>
      </w:r>
      <w:r w:rsidRPr="00FB525B">
        <w:rPr>
          <w:b w:val="0"/>
          <w:position w:val="6"/>
          <w:sz w:val="18"/>
          <w:szCs w:val="18"/>
        </w:rPr>
        <w:t>,</w:t>
      </w:r>
      <w:r w:rsidRPr="00FB525B">
        <w:rPr>
          <w:b w:val="0"/>
          <w:sz w:val="18"/>
          <w:szCs w:val="18"/>
        </w:rPr>
        <w:t xml:space="preserve"> </w:t>
      </w:r>
      <w:r w:rsidRPr="00FB525B">
        <w:rPr>
          <w:rStyle w:val="FootnoteReference"/>
          <w:b w:val="0"/>
          <w:szCs w:val="18"/>
        </w:rPr>
        <w:footnoteReference w:id="3"/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37"/>
      </w:tblGrid>
      <w:tr w:rsidR="00FB525B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FB525B" w:rsidRPr="000001E7" w:rsidRDefault="00FB525B" w:rsidP="00216E0F">
            <w:pPr>
              <w:spacing w:before="240" w:after="120"/>
              <w:ind w:left="255"/>
              <w:rPr>
                <w:i/>
                <w:sz w:val="24"/>
              </w:rPr>
            </w:pPr>
            <w:r w:rsidRPr="000001E7">
              <w:rPr>
                <w:i/>
                <w:sz w:val="24"/>
              </w:rPr>
              <w:t>Résumé</w:t>
            </w:r>
          </w:p>
        </w:tc>
      </w:tr>
      <w:tr w:rsidR="00FB525B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FB525B" w:rsidRDefault="00FB525B" w:rsidP="00E7234A">
            <w:pPr>
              <w:pStyle w:val="SingleTxtG"/>
              <w:ind w:left="2552" w:hanging="2268"/>
            </w:pPr>
            <w:r w:rsidRPr="00304F32">
              <w:rPr>
                <w:b/>
                <w:szCs w:val="24"/>
              </w:rPr>
              <w:t xml:space="preserve">Résumé </w:t>
            </w:r>
            <w:r w:rsidRPr="00304F32">
              <w:rPr>
                <w:b/>
                <w:lang w:val="fr-FR"/>
              </w:rPr>
              <w:t>analytique</w:t>
            </w:r>
            <w:r w:rsidR="00304F32">
              <w:rPr>
                <w:b/>
                <w:lang w:val="fr-FR"/>
              </w:rPr>
              <w:t> </w:t>
            </w:r>
            <w:r w:rsidRPr="00304F32">
              <w:rPr>
                <w:b/>
                <w:szCs w:val="24"/>
              </w:rPr>
              <w:t>:</w:t>
            </w:r>
            <w:r w:rsidRPr="00F42BB6">
              <w:rPr>
                <w:szCs w:val="24"/>
              </w:rPr>
              <w:tab/>
            </w:r>
            <w:r w:rsidRPr="00BF0D94">
              <w:rPr>
                <w:szCs w:val="24"/>
              </w:rPr>
              <w:t>Précisions concernant les engins de transport scellé</w:t>
            </w:r>
            <w:r>
              <w:rPr>
                <w:szCs w:val="24"/>
              </w:rPr>
              <w:t>s</w:t>
            </w:r>
            <w:r w:rsidRPr="00BF0D94">
              <w:rPr>
                <w:szCs w:val="24"/>
              </w:rPr>
              <w:t xml:space="preserve"> qui ne doivent pas être soumis à un contrôle du chargement par le transporteur</w:t>
            </w:r>
            <w:r w:rsidRPr="00F42BB6">
              <w:rPr>
                <w:szCs w:val="24"/>
              </w:rPr>
              <w:t>.</w:t>
            </w:r>
          </w:p>
        </w:tc>
      </w:tr>
      <w:tr w:rsidR="00FB525B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FB525B" w:rsidRDefault="00FB525B" w:rsidP="00FB525B">
            <w:pPr>
              <w:pStyle w:val="SingleTxtG"/>
              <w:ind w:left="2552" w:hanging="2268"/>
            </w:pPr>
            <w:r w:rsidRPr="00D3080E">
              <w:rPr>
                <w:b/>
                <w:szCs w:val="24"/>
              </w:rPr>
              <w:t>Mesure à prendre</w:t>
            </w:r>
            <w:r w:rsidR="00304F32">
              <w:rPr>
                <w:b/>
                <w:szCs w:val="24"/>
              </w:rPr>
              <w:t> </w:t>
            </w:r>
            <w:r w:rsidRPr="00F42BB6">
              <w:rPr>
                <w:b/>
                <w:szCs w:val="24"/>
              </w:rPr>
              <w:t>:</w:t>
            </w:r>
            <w:r w:rsidRPr="00F42BB6">
              <w:rPr>
                <w:b/>
                <w:szCs w:val="24"/>
              </w:rPr>
              <w:tab/>
            </w:r>
            <w:r w:rsidRPr="00F42BB6">
              <w:rPr>
                <w:szCs w:val="24"/>
              </w:rPr>
              <w:t>A</w:t>
            </w:r>
            <w:r>
              <w:rPr>
                <w:szCs w:val="24"/>
              </w:rPr>
              <w:t>jout au paragraphe 1</w:t>
            </w:r>
            <w:r w:rsidRPr="00F42BB6">
              <w:rPr>
                <w:szCs w:val="24"/>
              </w:rPr>
              <w:t>.4.2.2.</w:t>
            </w:r>
          </w:p>
        </w:tc>
      </w:tr>
      <w:tr w:rsidR="00FB525B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FB525B" w:rsidRPr="00F42BB6" w:rsidRDefault="00FB525B" w:rsidP="00FB525B">
            <w:pPr>
              <w:pStyle w:val="SingleTxtG"/>
              <w:ind w:left="2552" w:hanging="2268"/>
              <w:rPr>
                <w:szCs w:val="24"/>
              </w:rPr>
            </w:pPr>
            <w:r w:rsidRPr="00304F32">
              <w:rPr>
                <w:b/>
                <w:szCs w:val="24"/>
              </w:rPr>
              <w:t xml:space="preserve">Documents de </w:t>
            </w:r>
            <w:r w:rsidRPr="00304F32">
              <w:rPr>
                <w:b/>
                <w:lang w:val="fr-FR"/>
              </w:rPr>
              <w:t>référence</w:t>
            </w:r>
            <w:r w:rsidR="00304F32">
              <w:rPr>
                <w:b/>
                <w:lang w:val="fr-FR"/>
              </w:rPr>
              <w:t> </w:t>
            </w:r>
            <w:r w:rsidRPr="00304F32">
              <w:rPr>
                <w:b/>
                <w:szCs w:val="24"/>
              </w:rPr>
              <w:t>:</w:t>
            </w:r>
            <w:r w:rsidRPr="00F42BB6">
              <w:rPr>
                <w:b/>
                <w:szCs w:val="24"/>
              </w:rPr>
              <w:tab/>
            </w:r>
            <w:r w:rsidRPr="00D3080E">
              <w:rPr>
                <w:szCs w:val="24"/>
              </w:rPr>
              <w:t xml:space="preserve">Document informel </w:t>
            </w:r>
            <w:r w:rsidRPr="00F42BB6">
              <w:rPr>
                <w:szCs w:val="24"/>
              </w:rPr>
              <w:t xml:space="preserve">INF.42 </w:t>
            </w:r>
            <w:r w:rsidRPr="00D3080E">
              <w:rPr>
                <w:szCs w:val="24"/>
              </w:rPr>
              <w:t xml:space="preserve">de la Réunion commune de mars </w:t>
            </w:r>
            <w:r w:rsidRPr="00F42BB6">
              <w:rPr>
                <w:szCs w:val="24"/>
              </w:rPr>
              <w:t>2016</w:t>
            </w:r>
            <w:r w:rsidR="00304F32">
              <w:rPr>
                <w:szCs w:val="24"/>
              </w:rPr>
              <w:t> </w:t>
            </w:r>
            <w:r w:rsidRPr="00F42BB6">
              <w:rPr>
                <w:szCs w:val="24"/>
              </w:rPr>
              <w:t>;</w:t>
            </w:r>
          </w:p>
          <w:p w:rsidR="00FB525B" w:rsidRDefault="00FB525B" w:rsidP="00304F32">
            <w:pPr>
              <w:pStyle w:val="SingleTxtG"/>
              <w:ind w:left="2552"/>
            </w:pPr>
            <w:r w:rsidRPr="00F42BB6">
              <w:rPr>
                <w:szCs w:val="24"/>
              </w:rPr>
              <w:t>Paragraph</w:t>
            </w:r>
            <w:r w:rsidRPr="00D3080E">
              <w:rPr>
                <w:szCs w:val="24"/>
              </w:rPr>
              <w:t>e</w:t>
            </w:r>
            <w:r w:rsidRPr="00F42BB6">
              <w:rPr>
                <w:szCs w:val="24"/>
              </w:rPr>
              <w:t xml:space="preserve"> 12 </w:t>
            </w:r>
            <w:r w:rsidRPr="00D3080E">
              <w:rPr>
                <w:szCs w:val="24"/>
              </w:rPr>
              <w:t>du rap</w:t>
            </w:r>
            <w:r w:rsidRPr="00F42BB6">
              <w:rPr>
                <w:szCs w:val="24"/>
              </w:rPr>
              <w:t>port ECE/TRANS/WP.15/AC.1/142.</w:t>
            </w:r>
          </w:p>
        </w:tc>
      </w:tr>
      <w:tr w:rsidR="00FB525B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FB525B" w:rsidRDefault="00FB525B" w:rsidP="00216E0F"/>
        </w:tc>
      </w:tr>
    </w:tbl>
    <w:p w:rsidR="00304F32" w:rsidRDefault="00304F32" w:rsidP="00304F32">
      <w:pPr>
        <w:pStyle w:val="HChG"/>
      </w:pPr>
    </w:p>
    <w:p w:rsidR="00304F32" w:rsidRPr="00F42BB6" w:rsidRDefault="00304F32" w:rsidP="00304F32">
      <w:pPr>
        <w:pStyle w:val="HChG"/>
        <w:rPr>
          <w:bCs/>
          <w:lang w:val="en-GB"/>
        </w:rPr>
      </w:pPr>
      <w:r>
        <w:br w:type="page"/>
      </w:r>
      <w:r w:rsidRPr="00F42BB6">
        <w:lastRenderedPageBreak/>
        <w:tab/>
      </w:r>
      <w:r w:rsidRPr="00F42BB6">
        <w:tab/>
      </w:r>
      <w:r w:rsidRPr="00F42BB6">
        <w:rPr>
          <w:lang w:val="en-GB"/>
        </w:rPr>
        <w:t>Introduction</w:t>
      </w:r>
    </w:p>
    <w:p w:rsidR="00304F32" w:rsidRPr="0030481B" w:rsidRDefault="00304F32" w:rsidP="00304F32">
      <w:pPr>
        <w:numPr>
          <w:ilvl w:val="0"/>
          <w:numId w:val="15"/>
        </w:numPr>
        <w:kinsoku/>
        <w:overflowPunct/>
        <w:autoSpaceDE/>
        <w:autoSpaceDN/>
        <w:adjustRightInd/>
        <w:snapToGrid/>
        <w:spacing w:after="120"/>
        <w:ind w:left="1134" w:right="1134" w:firstLine="0"/>
        <w:jc w:val="both"/>
        <w:rPr>
          <w:szCs w:val="24"/>
        </w:rPr>
      </w:pPr>
      <w:r w:rsidRPr="00D12322">
        <w:rPr>
          <w:szCs w:val="24"/>
        </w:rPr>
        <w:t xml:space="preserve">En vertu du paragraphe </w:t>
      </w:r>
      <w:r w:rsidRPr="00F42BB6">
        <w:rPr>
          <w:szCs w:val="24"/>
        </w:rPr>
        <w:t>1.4.2.2.1 c),</w:t>
      </w:r>
      <w:r>
        <w:rPr>
          <w:szCs w:val="24"/>
        </w:rPr>
        <w:t xml:space="preserve"> le transporteur (dans le RID seulement le premier transporteur de la chaîne) doit procéder à un examen visuel du chargement. </w:t>
      </w:r>
      <w:r w:rsidRPr="0030481B">
        <w:rPr>
          <w:szCs w:val="24"/>
        </w:rPr>
        <w:t xml:space="preserve">Lors de la Réunion commune du </w:t>
      </w:r>
      <w:r w:rsidRPr="00F42BB6">
        <w:rPr>
          <w:szCs w:val="24"/>
        </w:rPr>
        <w:t xml:space="preserve">RID/ADR/ADN </w:t>
      </w:r>
      <w:r w:rsidRPr="0030481B">
        <w:rPr>
          <w:szCs w:val="24"/>
        </w:rPr>
        <w:t xml:space="preserve">de mars </w:t>
      </w:r>
      <w:r w:rsidRPr="00F42BB6">
        <w:rPr>
          <w:szCs w:val="24"/>
        </w:rPr>
        <w:t>2016,</w:t>
      </w:r>
      <w:r>
        <w:rPr>
          <w:szCs w:val="24"/>
        </w:rPr>
        <w:t xml:space="preserve"> l</w:t>
      </w:r>
      <w:r w:rsidR="009939FF">
        <w:rPr>
          <w:szCs w:val="24"/>
        </w:rPr>
        <w:t>’</w:t>
      </w:r>
      <w:r>
        <w:rPr>
          <w:szCs w:val="24"/>
        </w:rPr>
        <w:t>Autriche a posé la question de savoir comment cette obligation était comprise dans différents pays lorsqu</w:t>
      </w:r>
      <w:r w:rsidR="009939FF">
        <w:rPr>
          <w:szCs w:val="24"/>
        </w:rPr>
        <w:t>’</w:t>
      </w:r>
      <w:r>
        <w:rPr>
          <w:szCs w:val="24"/>
        </w:rPr>
        <w:t>il s</w:t>
      </w:r>
      <w:r w:rsidR="009939FF">
        <w:rPr>
          <w:szCs w:val="24"/>
        </w:rPr>
        <w:t>’</w:t>
      </w:r>
      <w:r>
        <w:rPr>
          <w:szCs w:val="24"/>
        </w:rPr>
        <w:t>agit d</w:t>
      </w:r>
      <w:r w:rsidR="009939FF">
        <w:rPr>
          <w:szCs w:val="24"/>
        </w:rPr>
        <w:t>’</w:t>
      </w:r>
      <w:r w:rsidRPr="0030481B">
        <w:rPr>
          <w:szCs w:val="24"/>
        </w:rPr>
        <w:t>engin</w:t>
      </w:r>
      <w:r>
        <w:rPr>
          <w:szCs w:val="24"/>
        </w:rPr>
        <w:t>s</w:t>
      </w:r>
      <w:r w:rsidRPr="0030481B">
        <w:rPr>
          <w:szCs w:val="24"/>
        </w:rPr>
        <w:t xml:space="preserve"> de transport scellé</w:t>
      </w:r>
      <w:r>
        <w:rPr>
          <w:szCs w:val="24"/>
        </w:rPr>
        <w:t>s.</w:t>
      </w:r>
      <w:r w:rsidRPr="0030481B">
        <w:rPr>
          <w:szCs w:val="24"/>
        </w:rPr>
        <w:t xml:space="preserve"> </w:t>
      </w:r>
    </w:p>
    <w:p w:rsidR="00304F32" w:rsidRPr="008D3942" w:rsidRDefault="00304F32" w:rsidP="00304F32">
      <w:pPr>
        <w:numPr>
          <w:ilvl w:val="0"/>
          <w:numId w:val="15"/>
        </w:numPr>
        <w:kinsoku/>
        <w:overflowPunct/>
        <w:autoSpaceDE/>
        <w:autoSpaceDN/>
        <w:adjustRightInd/>
        <w:snapToGrid/>
        <w:spacing w:after="120"/>
        <w:ind w:left="1134" w:right="1134" w:firstLine="0"/>
        <w:jc w:val="both"/>
        <w:rPr>
          <w:szCs w:val="24"/>
        </w:rPr>
      </w:pPr>
      <w:r w:rsidRPr="000D0D2B">
        <w:rPr>
          <w:szCs w:val="24"/>
        </w:rPr>
        <w:t>L</w:t>
      </w:r>
      <w:r w:rsidR="009939FF">
        <w:rPr>
          <w:szCs w:val="24"/>
        </w:rPr>
        <w:t>’</w:t>
      </w:r>
      <w:r w:rsidRPr="000D0D2B">
        <w:rPr>
          <w:szCs w:val="24"/>
        </w:rPr>
        <w:t xml:space="preserve">Autriche </w:t>
      </w:r>
      <w:r>
        <w:rPr>
          <w:szCs w:val="24"/>
        </w:rPr>
        <w:t xml:space="preserve">considère </w:t>
      </w:r>
      <w:r w:rsidRPr="000D0D2B">
        <w:rPr>
          <w:szCs w:val="24"/>
        </w:rPr>
        <w:t>que les sc</w:t>
      </w:r>
      <w:r>
        <w:rPr>
          <w:szCs w:val="24"/>
        </w:rPr>
        <w:t>ellés</w:t>
      </w:r>
      <w:r w:rsidRPr="000D0D2B">
        <w:rPr>
          <w:szCs w:val="24"/>
        </w:rPr>
        <w:t xml:space="preserve"> officiels </w:t>
      </w:r>
      <w:r>
        <w:rPr>
          <w:szCs w:val="24"/>
        </w:rPr>
        <w:t xml:space="preserve">doivent être </w:t>
      </w:r>
      <w:r w:rsidRPr="000D0D2B">
        <w:rPr>
          <w:szCs w:val="24"/>
        </w:rPr>
        <w:t>respectés mais que les</w:t>
      </w:r>
      <w:r>
        <w:rPr>
          <w:szCs w:val="24"/>
        </w:rPr>
        <w:t xml:space="preserve"> scellés privés peuvent être traités différemment. Il peut certes arriver que les intérêts des chargeurs soient dignes d</w:t>
      </w:r>
      <w:r w:rsidR="009939FF">
        <w:rPr>
          <w:szCs w:val="24"/>
        </w:rPr>
        <w:t>’</w:t>
      </w:r>
      <w:r>
        <w:rPr>
          <w:szCs w:val="24"/>
        </w:rPr>
        <w:t>être protégés contre un accès non autorisé ou que cet accès soit documenté pour les autorités ou les partenaires commerciaux (douanes, compensation, sûreté publique, etc.).</w:t>
      </w:r>
      <w:r w:rsidR="009939FF">
        <w:rPr>
          <w:szCs w:val="24"/>
        </w:rPr>
        <w:t xml:space="preserve"> </w:t>
      </w:r>
      <w:r w:rsidRPr="00162FDF">
        <w:rPr>
          <w:szCs w:val="24"/>
        </w:rPr>
        <w:t xml:space="preserve">On ne saurait toutefois </w:t>
      </w:r>
      <w:r>
        <w:rPr>
          <w:szCs w:val="24"/>
        </w:rPr>
        <w:t>laisser à la discrétion d</w:t>
      </w:r>
      <w:r w:rsidR="009939FF">
        <w:rPr>
          <w:szCs w:val="24"/>
        </w:rPr>
        <w:t>’</w:t>
      </w:r>
      <w:r>
        <w:rPr>
          <w:szCs w:val="24"/>
        </w:rPr>
        <w:t xml:space="preserve">un </w:t>
      </w:r>
      <w:r w:rsidRPr="00162FDF">
        <w:rPr>
          <w:szCs w:val="24"/>
        </w:rPr>
        <w:t xml:space="preserve">intervenant </w:t>
      </w:r>
      <w:r>
        <w:rPr>
          <w:szCs w:val="24"/>
        </w:rPr>
        <w:t xml:space="preserve">la possibilité de </w:t>
      </w:r>
      <w:r w:rsidRPr="00162FDF">
        <w:rPr>
          <w:szCs w:val="24"/>
        </w:rPr>
        <w:t xml:space="preserve">déroger </w:t>
      </w:r>
      <w:r>
        <w:rPr>
          <w:szCs w:val="24"/>
        </w:rPr>
        <w:t xml:space="preserve">par des </w:t>
      </w:r>
      <w:r w:rsidRPr="00165A0D">
        <w:rPr>
          <w:szCs w:val="24"/>
        </w:rPr>
        <w:t xml:space="preserve">mesures privées </w:t>
      </w:r>
      <w:r w:rsidRPr="00162FDF">
        <w:rPr>
          <w:szCs w:val="24"/>
        </w:rPr>
        <w:t xml:space="preserve">à </w:t>
      </w:r>
      <w:r>
        <w:rPr>
          <w:szCs w:val="24"/>
        </w:rPr>
        <w:t>l</w:t>
      </w:r>
      <w:r w:rsidR="009939FF">
        <w:rPr>
          <w:szCs w:val="24"/>
        </w:rPr>
        <w:t>’</w:t>
      </w:r>
      <w:r>
        <w:rPr>
          <w:szCs w:val="24"/>
        </w:rPr>
        <w:t>obligation légale d</w:t>
      </w:r>
      <w:r w:rsidR="009939FF">
        <w:rPr>
          <w:szCs w:val="24"/>
        </w:rPr>
        <w:t>’</w:t>
      </w:r>
      <w:r>
        <w:rPr>
          <w:szCs w:val="24"/>
        </w:rPr>
        <w:t>être contrôlé par quelqu</w:t>
      </w:r>
      <w:r w:rsidR="009939FF">
        <w:rPr>
          <w:szCs w:val="24"/>
        </w:rPr>
        <w:t>’</w:t>
      </w:r>
      <w:r>
        <w:rPr>
          <w:szCs w:val="24"/>
        </w:rPr>
        <w:t>un d</w:t>
      </w:r>
      <w:r w:rsidR="009939FF">
        <w:rPr>
          <w:szCs w:val="24"/>
        </w:rPr>
        <w:t>’</w:t>
      </w:r>
      <w:r>
        <w:rPr>
          <w:szCs w:val="24"/>
        </w:rPr>
        <w:t xml:space="preserve">autre. </w:t>
      </w:r>
      <w:r w:rsidRPr="008D3942">
        <w:rPr>
          <w:szCs w:val="24"/>
        </w:rPr>
        <w:t>Il s</w:t>
      </w:r>
      <w:r w:rsidR="009939FF">
        <w:rPr>
          <w:szCs w:val="24"/>
        </w:rPr>
        <w:t>’</w:t>
      </w:r>
      <w:r w:rsidRPr="008D3942">
        <w:rPr>
          <w:szCs w:val="24"/>
        </w:rPr>
        <w:t>agirait d</w:t>
      </w:r>
      <w:r w:rsidR="009939FF">
        <w:rPr>
          <w:szCs w:val="24"/>
        </w:rPr>
        <w:t>’</w:t>
      </w:r>
      <w:r w:rsidRPr="008D3942">
        <w:rPr>
          <w:szCs w:val="24"/>
        </w:rPr>
        <w:t>une invitation aux abus.</w:t>
      </w:r>
    </w:p>
    <w:p w:rsidR="00304F32" w:rsidRPr="00F42BB6" w:rsidRDefault="00304F32" w:rsidP="00304F32">
      <w:pPr>
        <w:numPr>
          <w:ilvl w:val="0"/>
          <w:numId w:val="15"/>
        </w:numPr>
        <w:kinsoku/>
        <w:overflowPunct/>
        <w:autoSpaceDE/>
        <w:autoSpaceDN/>
        <w:adjustRightInd/>
        <w:snapToGrid/>
        <w:spacing w:after="120"/>
        <w:ind w:left="1134" w:right="1134" w:firstLine="0"/>
        <w:jc w:val="both"/>
        <w:rPr>
          <w:szCs w:val="24"/>
        </w:rPr>
      </w:pPr>
      <w:r w:rsidRPr="008D3942">
        <w:rPr>
          <w:szCs w:val="24"/>
        </w:rPr>
        <w:t>En ce qui concerne les conteneur</w:t>
      </w:r>
      <w:r>
        <w:rPr>
          <w:szCs w:val="24"/>
        </w:rPr>
        <w:t>s transportés ensuite par mer il s</w:t>
      </w:r>
      <w:r w:rsidR="009939FF">
        <w:rPr>
          <w:szCs w:val="24"/>
        </w:rPr>
        <w:t>’</w:t>
      </w:r>
      <w:r>
        <w:rPr>
          <w:szCs w:val="24"/>
        </w:rPr>
        <w:t>agit d</w:t>
      </w:r>
      <w:r w:rsidR="009939FF">
        <w:rPr>
          <w:szCs w:val="24"/>
        </w:rPr>
        <w:t>’</w:t>
      </w:r>
      <w:r>
        <w:rPr>
          <w:szCs w:val="24"/>
        </w:rPr>
        <w:t>une question qui va se poser de manière plus fréquente. En vertu d</w:t>
      </w:r>
      <w:r w:rsidR="009939FF">
        <w:rPr>
          <w:szCs w:val="24"/>
        </w:rPr>
        <w:t>’</w:t>
      </w:r>
      <w:r>
        <w:rPr>
          <w:szCs w:val="24"/>
        </w:rPr>
        <w:t>un amendement</w:t>
      </w:r>
      <w:r w:rsidRPr="008D3942">
        <w:rPr>
          <w:szCs w:val="24"/>
        </w:rPr>
        <w:t xml:space="preserve"> à la règle</w:t>
      </w:r>
      <w:r w:rsidR="009939FF">
        <w:rPr>
          <w:szCs w:val="24"/>
        </w:rPr>
        <w:t> </w:t>
      </w:r>
      <w:r w:rsidRPr="008D3942">
        <w:rPr>
          <w:szCs w:val="24"/>
        </w:rPr>
        <w:t>VI-2 de la Convention SOLAS</w:t>
      </w:r>
      <w:r>
        <w:rPr>
          <w:szCs w:val="24"/>
        </w:rPr>
        <w:t xml:space="preserve"> entré en vigueur le 1</w:t>
      </w:r>
      <w:r w:rsidRPr="008D3942">
        <w:rPr>
          <w:szCs w:val="24"/>
          <w:vertAlign w:val="superscript"/>
        </w:rPr>
        <w:t>er</w:t>
      </w:r>
      <w:r>
        <w:rPr>
          <w:szCs w:val="24"/>
        </w:rPr>
        <w:t> juillet 2016, l</w:t>
      </w:r>
      <w:r w:rsidR="009939FF">
        <w:rPr>
          <w:szCs w:val="24"/>
        </w:rPr>
        <w:t>’</w:t>
      </w:r>
      <w:r>
        <w:rPr>
          <w:szCs w:val="24"/>
        </w:rPr>
        <w:t>expéditeur doit déterminer la masse brute du conteneur sous certaines conditions de qualité et informer la compagnie maritime à l</w:t>
      </w:r>
      <w:r w:rsidR="009939FF">
        <w:rPr>
          <w:szCs w:val="24"/>
        </w:rPr>
        <w:t>’</w:t>
      </w:r>
      <w:r>
        <w:rPr>
          <w:szCs w:val="24"/>
        </w:rPr>
        <w:t>avance. Il en résulte qu</w:t>
      </w:r>
      <w:r w:rsidR="009939FF">
        <w:rPr>
          <w:szCs w:val="24"/>
        </w:rPr>
        <w:t>’</w:t>
      </w:r>
      <w:r>
        <w:rPr>
          <w:szCs w:val="24"/>
        </w:rPr>
        <w:t>il importera également de préciser que le conteneur est resté scellé durant le voyage et que cette information est toujours valable au port.</w:t>
      </w:r>
    </w:p>
    <w:p w:rsidR="00304F32" w:rsidRDefault="00304F32" w:rsidP="00304F32">
      <w:pPr>
        <w:numPr>
          <w:ilvl w:val="0"/>
          <w:numId w:val="15"/>
        </w:numPr>
        <w:kinsoku/>
        <w:overflowPunct/>
        <w:autoSpaceDE/>
        <w:autoSpaceDN/>
        <w:adjustRightInd/>
        <w:snapToGrid/>
        <w:spacing w:after="120"/>
        <w:ind w:left="1134" w:right="1134" w:firstLine="0"/>
        <w:jc w:val="both"/>
        <w:rPr>
          <w:szCs w:val="24"/>
        </w:rPr>
      </w:pPr>
      <w:r w:rsidRPr="002D54DD">
        <w:rPr>
          <w:szCs w:val="24"/>
        </w:rPr>
        <w:t xml:space="preserve">Le </w:t>
      </w:r>
      <w:r w:rsidRPr="002D54DD">
        <w:rPr>
          <w:szCs w:val="24"/>
          <w:u w:val="single"/>
        </w:rPr>
        <w:t>transporteur</w:t>
      </w:r>
      <w:r w:rsidRPr="002D54DD">
        <w:rPr>
          <w:szCs w:val="24"/>
        </w:rPr>
        <w:t xml:space="preserve"> se trouve donc confronté à de</w:t>
      </w:r>
      <w:r>
        <w:rPr>
          <w:szCs w:val="24"/>
        </w:rPr>
        <w:t>s exigences législatives, privées et économiques différentes. Si l</w:t>
      </w:r>
      <w:r w:rsidR="009939FF">
        <w:rPr>
          <w:szCs w:val="24"/>
        </w:rPr>
        <w:t>’</w:t>
      </w:r>
      <w:r>
        <w:rPr>
          <w:szCs w:val="24"/>
        </w:rPr>
        <w:t>étendue de ses obligations légales n</w:t>
      </w:r>
      <w:r w:rsidR="009939FF">
        <w:rPr>
          <w:szCs w:val="24"/>
        </w:rPr>
        <w:t>’</w:t>
      </w:r>
      <w:r>
        <w:rPr>
          <w:szCs w:val="24"/>
        </w:rPr>
        <w:t>est pas claire il peut avoir tendance à les remplir en faisant attention de ne pas heurter d</w:t>
      </w:r>
      <w:r w:rsidR="009939FF">
        <w:rPr>
          <w:szCs w:val="24"/>
        </w:rPr>
        <w:t>’</w:t>
      </w:r>
      <w:r>
        <w:rPr>
          <w:szCs w:val="24"/>
        </w:rPr>
        <w:t>autres intervenants dont il pourrait dépendre économiquement.</w:t>
      </w:r>
    </w:p>
    <w:p w:rsidR="00304F32" w:rsidRPr="0015367A" w:rsidRDefault="00304F32" w:rsidP="00304F32">
      <w:pPr>
        <w:numPr>
          <w:ilvl w:val="0"/>
          <w:numId w:val="15"/>
        </w:numPr>
        <w:kinsoku/>
        <w:overflowPunct/>
        <w:autoSpaceDE/>
        <w:autoSpaceDN/>
        <w:adjustRightInd/>
        <w:snapToGrid/>
        <w:spacing w:after="120"/>
        <w:ind w:left="1134" w:right="1134" w:firstLine="0"/>
        <w:jc w:val="both"/>
        <w:rPr>
          <w:szCs w:val="24"/>
        </w:rPr>
      </w:pPr>
      <w:r w:rsidRPr="0015367A">
        <w:rPr>
          <w:szCs w:val="24"/>
        </w:rPr>
        <w:t>Les réglementations nationales prescrivent régulièrement des</w:t>
      </w:r>
      <w:r>
        <w:rPr>
          <w:szCs w:val="24"/>
        </w:rPr>
        <w:t xml:space="preserve"> obligations de contrôle similaires pour les conducteurs de véhicules, qui se trouvent donc également exposés à un niveau d</w:t>
      </w:r>
      <w:r w:rsidR="009939FF">
        <w:rPr>
          <w:szCs w:val="24"/>
        </w:rPr>
        <w:t>’</w:t>
      </w:r>
      <w:r>
        <w:rPr>
          <w:szCs w:val="24"/>
        </w:rPr>
        <w:t xml:space="preserve">incertitude comparable. </w:t>
      </w:r>
    </w:p>
    <w:p w:rsidR="00304F32" w:rsidRPr="00F42BB6" w:rsidRDefault="00304F32" w:rsidP="00304F32">
      <w:pPr>
        <w:numPr>
          <w:ilvl w:val="0"/>
          <w:numId w:val="15"/>
        </w:numPr>
        <w:kinsoku/>
        <w:overflowPunct/>
        <w:autoSpaceDE/>
        <w:autoSpaceDN/>
        <w:adjustRightInd/>
        <w:snapToGrid/>
        <w:spacing w:after="120"/>
        <w:ind w:left="1134" w:right="1134" w:firstLine="0"/>
        <w:jc w:val="both"/>
        <w:rPr>
          <w:szCs w:val="24"/>
        </w:rPr>
      </w:pPr>
      <w:r w:rsidRPr="0015367A">
        <w:rPr>
          <w:szCs w:val="24"/>
        </w:rPr>
        <w:t xml:space="preserve">Pour éviter </w:t>
      </w:r>
      <w:r>
        <w:rPr>
          <w:szCs w:val="24"/>
        </w:rPr>
        <w:t xml:space="preserve">tout </w:t>
      </w:r>
      <w:r w:rsidRPr="0015367A">
        <w:rPr>
          <w:szCs w:val="24"/>
        </w:rPr>
        <w:t xml:space="preserve">malentendu, il </w:t>
      </w:r>
      <w:r>
        <w:rPr>
          <w:szCs w:val="24"/>
        </w:rPr>
        <w:t xml:space="preserve">faut souligner </w:t>
      </w:r>
      <w:r w:rsidRPr="0015367A">
        <w:rPr>
          <w:szCs w:val="24"/>
        </w:rPr>
        <w:t xml:space="preserve">que les </w:t>
      </w:r>
      <w:r>
        <w:rPr>
          <w:szCs w:val="24"/>
        </w:rPr>
        <w:t xml:space="preserve">vérifications dont il est question ici ne sont </w:t>
      </w:r>
      <w:r w:rsidRPr="0015367A">
        <w:rPr>
          <w:szCs w:val="24"/>
          <w:u w:val="single"/>
        </w:rPr>
        <w:t>pas</w:t>
      </w:r>
      <w:r>
        <w:rPr>
          <w:szCs w:val="24"/>
        </w:rPr>
        <w:t xml:space="preserve"> celles auxquelles procèdent les autorités nationales de contrôle. Ces autorités disposent de pouvoirs plus clairs et plus entendus, et leurs activités ne sont pas limitées par les scellés des entreprises. </w:t>
      </w:r>
    </w:p>
    <w:p w:rsidR="00304F32" w:rsidRDefault="00304F32" w:rsidP="004054CC">
      <w:pPr>
        <w:numPr>
          <w:ilvl w:val="0"/>
          <w:numId w:val="15"/>
        </w:numPr>
        <w:kinsoku/>
        <w:overflowPunct/>
        <w:autoSpaceDE/>
        <w:autoSpaceDN/>
        <w:adjustRightInd/>
        <w:snapToGrid/>
        <w:spacing w:after="120"/>
        <w:ind w:left="1134" w:right="1134" w:firstLine="0"/>
        <w:jc w:val="both"/>
        <w:rPr>
          <w:szCs w:val="24"/>
        </w:rPr>
      </w:pPr>
      <w:r w:rsidRPr="008C7CEC">
        <w:rPr>
          <w:szCs w:val="24"/>
        </w:rPr>
        <w:t>L</w:t>
      </w:r>
      <w:r>
        <w:rPr>
          <w:szCs w:val="24"/>
        </w:rPr>
        <w:t>es</w:t>
      </w:r>
      <w:r w:rsidRPr="008C7CEC">
        <w:rPr>
          <w:szCs w:val="24"/>
        </w:rPr>
        <w:t xml:space="preserve"> </w:t>
      </w:r>
      <w:r w:rsidRPr="00F42BB6">
        <w:rPr>
          <w:szCs w:val="24"/>
        </w:rPr>
        <w:t>discussion</w:t>
      </w:r>
      <w:r>
        <w:rPr>
          <w:szCs w:val="24"/>
        </w:rPr>
        <w:t>s</w:t>
      </w:r>
      <w:r w:rsidRPr="00F42BB6">
        <w:rPr>
          <w:szCs w:val="24"/>
        </w:rPr>
        <w:t xml:space="preserve"> </w:t>
      </w:r>
      <w:r w:rsidRPr="008C7CEC">
        <w:rPr>
          <w:szCs w:val="24"/>
        </w:rPr>
        <w:t xml:space="preserve">qui </w:t>
      </w:r>
      <w:r>
        <w:rPr>
          <w:szCs w:val="24"/>
        </w:rPr>
        <w:t xml:space="preserve">ont </w:t>
      </w:r>
      <w:r w:rsidRPr="008C7CEC">
        <w:rPr>
          <w:szCs w:val="24"/>
        </w:rPr>
        <w:t>eu lieu en mars</w:t>
      </w:r>
      <w:r>
        <w:rPr>
          <w:szCs w:val="24"/>
        </w:rPr>
        <w:t xml:space="preserve"> ont mis en évidence une large palette d</w:t>
      </w:r>
      <w:r w:rsidR="009939FF">
        <w:rPr>
          <w:szCs w:val="24"/>
        </w:rPr>
        <w:t>’</w:t>
      </w:r>
      <w:r>
        <w:rPr>
          <w:szCs w:val="24"/>
        </w:rPr>
        <w:t>interprétations. Parfois le transporteur n</w:t>
      </w:r>
      <w:r w:rsidR="009939FF">
        <w:rPr>
          <w:szCs w:val="24"/>
        </w:rPr>
        <w:t>’</w:t>
      </w:r>
      <w:r>
        <w:rPr>
          <w:szCs w:val="24"/>
        </w:rPr>
        <w:t>est tenu d</w:t>
      </w:r>
      <w:r w:rsidR="009939FF">
        <w:rPr>
          <w:szCs w:val="24"/>
        </w:rPr>
        <w:t>’</w:t>
      </w:r>
      <w:r>
        <w:rPr>
          <w:szCs w:val="24"/>
        </w:rPr>
        <w:t>ouvrir l</w:t>
      </w:r>
      <w:r w:rsidR="009939FF">
        <w:rPr>
          <w:szCs w:val="24"/>
        </w:rPr>
        <w:t>’</w:t>
      </w:r>
      <w:r w:rsidRPr="008C7CEC">
        <w:rPr>
          <w:szCs w:val="24"/>
        </w:rPr>
        <w:t>engin de transport</w:t>
      </w:r>
      <w:r>
        <w:rPr>
          <w:szCs w:val="24"/>
        </w:rPr>
        <w:t xml:space="preserve"> que si l</w:t>
      </w:r>
      <w:r w:rsidR="009939FF">
        <w:rPr>
          <w:szCs w:val="24"/>
        </w:rPr>
        <w:t>’</w:t>
      </w:r>
      <w:r>
        <w:rPr>
          <w:szCs w:val="24"/>
        </w:rPr>
        <w:t>on soupçonne le chargement de ne pas être conforme. D</w:t>
      </w:r>
      <w:r w:rsidR="009939FF">
        <w:rPr>
          <w:szCs w:val="24"/>
        </w:rPr>
        <w:t>’</w:t>
      </w:r>
      <w:r>
        <w:rPr>
          <w:szCs w:val="24"/>
        </w:rPr>
        <w:t>autres r</w:t>
      </w:r>
      <w:r w:rsidR="009939FF">
        <w:rPr>
          <w:szCs w:val="24"/>
        </w:rPr>
        <w:t>é</w:t>
      </w:r>
      <w:r>
        <w:rPr>
          <w:szCs w:val="24"/>
        </w:rPr>
        <w:t>glementations exigent au contraire qu</w:t>
      </w:r>
      <w:r w:rsidR="009939FF">
        <w:rPr>
          <w:szCs w:val="24"/>
        </w:rPr>
        <w:t>’</w:t>
      </w:r>
      <w:r>
        <w:rPr>
          <w:szCs w:val="24"/>
        </w:rPr>
        <w:t>il se mette d</w:t>
      </w:r>
      <w:r w:rsidR="009939FF">
        <w:rPr>
          <w:szCs w:val="24"/>
        </w:rPr>
        <w:t>’</w:t>
      </w:r>
      <w:r>
        <w:rPr>
          <w:szCs w:val="24"/>
        </w:rPr>
        <w:t>accord avec le chargeur sur la manière de remplir son obligation de contrôle, par exemple en veillant à ce que l</w:t>
      </w:r>
      <w:r w:rsidR="009939FF">
        <w:rPr>
          <w:szCs w:val="24"/>
        </w:rPr>
        <w:t>’</w:t>
      </w:r>
      <w:r>
        <w:rPr>
          <w:szCs w:val="24"/>
        </w:rPr>
        <w:t>engin de transport ne soit chargé et scellé qu</w:t>
      </w:r>
      <w:r w:rsidR="009939FF">
        <w:rPr>
          <w:szCs w:val="24"/>
        </w:rPr>
        <w:t>’</w:t>
      </w:r>
      <w:r>
        <w:rPr>
          <w:szCs w:val="24"/>
        </w:rPr>
        <w:t>en présence d</w:t>
      </w:r>
      <w:r w:rsidR="009939FF">
        <w:rPr>
          <w:szCs w:val="24"/>
        </w:rPr>
        <w:t>u conducteur qui le représente.</w:t>
      </w:r>
    </w:p>
    <w:p w:rsidR="00304F32" w:rsidRDefault="00304F32" w:rsidP="00304F32">
      <w:pPr>
        <w:numPr>
          <w:ilvl w:val="0"/>
          <w:numId w:val="15"/>
        </w:numPr>
        <w:kinsoku/>
        <w:overflowPunct/>
        <w:autoSpaceDE/>
        <w:autoSpaceDN/>
        <w:adjustRightInd/>
        <w:snapToGrid/>
        <w:spacing w:after="120"/>
        <w:ind w:left="1134" w:right="1134" w:firstLine="0"/>
        <w:jc w:val="both"/>
        <w:rPr>
          <w:szCs w:val="24"/>
        </w:rPr>
      </w:pPr>
      <w:r w:rsidRPr="00CE0AD1">
        <w:rPr>
          <w:szCs w:val="24"/>
        </w:rPr>
        <w:t>Il est également ressorti de</w:t>
      </w:r>
      <w:r>
        <w:rPr>
          <w:szCs w:val="24"/>
        </w:rPr>
        <w:t xml:space="preserve">s </w:t>
      </w:r>
      <w:r w:rsidRPr="00CE0AD1">
        <w:rPr>
          <w:szCs w:val="24"/>
        </w:rPr>
        <w:t>discussion</w:t>
      </w:r>
      <w:r>
        <w:rPr>
          <w:szCs w:val="24"/>
        </w:rPr>
        <w:t>s</w:t>
      </w:r>
      <w:r w:rsidRPr="00CE0AD1">
        <w:rPr>
          <w:szCs w:val="24"/>
        </w:rPr>
        <w:t xml:space="preserve"> que</w:t>
      </w:r>
      <w:r>
        <w:rPr>
          <w:szCs w:val="24"/>
        </w:rPr>
        <w:t xml:space="preserve"> la formulation de l</w:t>
      </w:r>
      <w:r w:rsidR="009939FF">
        <w:rPr>
          <w:szCs w:val="24"/>
        </w:rPr>
        <w:t>’</w:t>
      </w:r>
      <w:r>
        <w:rPr>
          <w:szCs w:val="24"/>
        </w:rPr>
        <w:t>introduction du paragraphe 1.4.2.2.1 de l</w:t>
      </w:r>
      <w:r w:rsidR="009939FF">
        <w:rPr>
          <w:szCs w:val="24"/>
        </w:rPr>
        <w:t>’</w:t>
      </w:r>
      <w:r>
        <w:rPr>
          <w:szCs w:val="24"/>
        </w:rPr>
        <w:t>ADN et de l</w:t>
      </w:r>
      <w:r w:rsidR="009939FF">
        <w:rPr>
          <w:szCs w:val="24"/>
        </w:rPr>
        <w:t>’</w:t>
      </w:r>
      <w:r>
        <w:rPr>
          <w:szCs w:val="24"/>
        </w:rPr>
        <w:t xml:space="preserve">ADR, dans laquelle il est dit que les obligations énumérées subséquemment devaient être remplies « le cas échéant », est parfois mal interprétée comme signifiant que le transporteur a un certain droit de disposer de ces obligations. Pour la même raison, les </w:t>
      </w:r>
      <w:r w:rsidRPr="00E46ED5">
        <w:rPr>
          <w:szCs w:val="24"/>
        </w:rPr>
        <w:t xml:space="preserve">exploitants ferroviaires </w:t>
      </w:r>
      <w:r>
        <w:rPr>
          <w:szCs w:val="24"/>
        </w:rPr>
        <w:t>se sont déjà plaints à plusieurs reprises de ce que le RID ne contient pas une telle limite. Toutefois, les délégués qui ont participé à la rédaction de ce texte ont expliqué qu</w:t>
      </w:r>
      <w:r w:rsidR="009939FF">
        <w:rPr>
          <w:szCs w:val="24"/>
        </w:rPr>
        <w:t>’</w:t>
      </w:r>
      <w:r>
        <w:rPr>
          <w:szCs w:val="24"/>
        </w:rPr>
        <w:t>il s</w:t>
      </w:r>
      <w:r w:rsidR="009939FF">
        <w:rPr>
          <w:szCs w:val="24"/>
        </w:rPr>
        <w:t>’</w:t>
      </w:r>
      <w:r>
        <w:rPr>
          <w:szCs w:val="24"/>
        </w:rPr>
        <w:t>agissait simplement de dire qu</w:t>
      </w:r>
      <w:r w:rsidR="009939FF">
        <w:rPr>
          <w:szCs w:val="24"/>
        </w:rPr>
        <w:t>’</w:t>
      </w:r>
      <w:r>
        <w:rPr>
          <w:szCs w:val="24"/>
        </w:rPr>
        <w:t>une obligation ne prend effet que si les circonstances l</w:t>
      </w:r>
      <w:r w:rsidR="009939FF">
        <w:rPr>
          <w:szCs w:val="24"/>
        </w:rPr>
        <w:t>’</w:t>
      </w:r>
      <w:r>
        <w:rPr>
          <w:szCs w:val="24"/>
        </w:rPr>
        <w:t>exigent. Ainsi, la date limite du prochain contrôle de la citerne ne doit être vérifiée que lors du transport de citernes, mais dans ce cas il faut toujours le faire.</w:t>
      </w:r>
    </w:p>
    <w:p w:rsidR="00304F32" w:rsidRPr="00F42BB6" w:rsidRDefault="00304F32" w:rsidP="00304F32">
      <w:pPr>
        <w:numPr>
          <w:ilvl w:val="0"/>
          <w:numId w:val="15"/>
        </w:numPr>
        <w:kinsoku/>
        <w:overflowPunct/>
        <w:autoSpaceDE/>
        <w:autoSpaceDN/>
        <w:adjustRightInd/>
        <w:snapToGrid/>
        <w:spacing w:after="120"/>
        <w:ind w:left="1134" w:right="1134" w:firstLine="0"/>
        <w:jc w:val="both"/>
        <w:rPr>
          <w:szCs w:val="24"/>
        </w:rPr>
      </w:pPr>
      <w:r w:rsidRPr="00D952FA">
        <w:rPr>
          <w:szCs w:val="24"/>
        </w:rPr>
        <w:lastRenderedPageBreak/>
        <w:t>Au terme des débats, l</w:t>
      </w:r>
      <w:r w:rsidR="009939FF">
        <w:rPr>
          <w:szCs w:val="24"/>
        </w:rPr>
        <w:t>’</w:t>
      </w:r>
      <w:r w:rsidRPr="00D952FA">
        <w:rPr>
          <w:szCs w:val="24"/>
        </w:rPr>
        <w:t xml:space="preserve">Autriche a été priée de </w:t>
      </w:r>
      <w:r>
        <w:rPr>
          <w:szCs w:val="24"/>
        </w:rPr>
        <w:t>faire des propositions visant à clarifier les choses dans un document officiel. Ce document a désormais été soumis sur la base des considérations suivantes</w:t>
      </w:r>
      <w:r w:rsidR="009939FF">
        <w:rPr>
          <w:szCs w:val="24"/>
        </w:rPr>
        <w:t> </w:t>
      </w:r>
      <w:r w:rsidRPr="00F42BB6">
        <w:rPr>
          <w:szCs w:val="24"/>
        </w:rPr>
        <w:t>:</w:t>
      </w:r>
    </w:p>
    <w:p w:rsidR="00304F32" w:rsidRPr="00F42BB6" w:rsidRDefault="00304F32" w:rsidP="009939FF">
      <w:pPr>
        <w:pStyle w:val="Bullet1G"/>
      </w:pPr>
      <w:r w:rsidRPr="00D952FA">
        <w:t xml:space="preserve">Il convient de supprimer les mots </w:t>
      </w:r>
      <w:r w:rsidR="009C07B5">
        <w:t>« </w:t>
      </w:r>
      <w:r w:rsidRPr="00D952FA">
        <w:t>le cas échéant</w:t>
      </w:r>
      <w:r w:rsidR="009C07B5">
        <w:t> »</w:t>
      </w:r>
      <w:r w:rsidRPr="00F42BB6">
        <w:t xml:space="preserve"> </w:t>
      </w:r>
      <w:r w:rsidRPr="00D952FA">
        <w:t>dans l</w:t>
      </w:r>
      <w:r w:rsidR="009939FF">
        <w:t>’</w:t>
      </w:r>
      <w:r w:rsidRPr="00F42BB6">
        <w:t xml:space="preserve">introduction </w:t>
      </w:r>
      <w:r w:rsidRPr="00D952FA">
        <w:t xml:space="preserve">et à la fin du paragraphe </w:t>
      </w:r>
      <w:r w:rsidRPr="00F42BB6">
        <w:t>1.4.2.2</w:t>
      </w:r>
      <w:r w:rsidR="005264FB">
        <w:t>.1</w:t>
      </w:r>
      <w:r>
        <w:t>, car i</w:t>
      </w:r>
      <w:r w:rsidRPr="00F42BB6">
        <w:t>1</w:t>
      </w:r>
      <w:r>
        <w:t>s sont ambigus et superflus. Les textes doivent être les mêmes à cet égard dans le RID, l</w:t>
      </w:r>
      <w:r w:rsidR="009939FF">
        <w:t>’</w:t>
      </w:r>
      <w:r>
        <w:t>ADR et l</w:t>
      </w:r>
      <w:r w:rsidR="009939FF">
        <w:t>’</w:t>
      </w:r>
      <w:r>
        <w:t>ADN</w:t>
      </w:r>
      <w:r w:rsidR="009939FF">
        <w:t> </w:t>
      </w:r>
      <w:r w:rsidRPr="00F42BB6">
        <w:t>;</w:t>
      </w:r>
    </w:p>
    <w:p w:rsidR="00304F32" w:rsidRPr="00A2732E" w:rsidRDefault="00304F32" w:rsidP="009939FF">
      <w:pPr>
        <w:pStyle w:val="Bullet1G"/>
      </w:pPr>
      <w:r w:rsidRPr="00A2732E">
        <w:t>Il convient de préciser que</w:t>
      </w:r>
      <w:r>
        <w:t xml:space="preserve"> les scellé</w:t>
      </w:r>
      <w:r w:rsidR="005264FB">
        <w:t>s</w:t>
      </w:r>
      <w:r>
        <w:t xml:space="preserve"> officiels ne doivent pas être brisés</w:t>
      </w:r>
      <w:r w:rsidR="009939FF">
        <w:t> </w:t>
      </w:r>
      <w:r>
        <w:t>;</w:t>
      </w:r>
    </w:p>
    <w:p w:rsidR="00304F32" w:rsidRPr="00F42BB6" w:rsidRDefault="00304F32" w:rsidP="009939FF">
      <w:pPr>
        <w:pStyle w:val="Bullet1G"/>
      </w:pPr>
      <w:r w:rsidRPr="009614D1">
        <w:t>Les scellés de l</w:t>
      </w:r>
      <w:r w:rsidR="009939FF">
        <w:t>’</w:t>
      </w:r>
      <w:r w:rsidRPr="009614D1">
        <w:t>entreprise ne dispensent de l</w:t>
      </w:r>
      <w:r w:rsidR="009939FF">
        <w:t>’</w:t>
      </w:r>
      <w:r w:rsidRPr="009614D1">
        <w:t>obligation de contr</w:t>
      </w:r>
      <w:r>
        <w:t>ôle que dans certains cas</w:t>
      </w:r>
      <w:r w:rsidR="009939FF">
        <w:t> </w:t>
      </w:r>
      <w:r w:rsidRPr="00F42BB6">
        <w:t>;</w:t>
      </w:r>
    </w:p>
    <w:p w:rsidR="00304F32" w:rsidRDefault="00304F32" w:rsidP="009939FF">
      <w:pPr>
        <w:pStyle w:val="Bullet1G"/>
      </w:pPr>
      <w:r w:rsidRPr="007D1E26">
        <w:t xml:space="preserve">Pour les engins de transport </w:t>
      </w:r>
      <w:r>
        <w:t xml:space="preserve">acheminés </w:t>
      </w:r>
      <w:r w:rsidRPr="007D1E26">
        <w:t xml:space="preserve">ultérieurement par mer, le Code IMDG </w:t>
      </w:r>
      <w:r>
        <w:t xml:space="preserve">prescrit en matière de chargement des dispositions qui sont comparables à celles du </w:t>
      </w:r>
      <w:r w:rsidRPr="00F42BB6">
        <w:t xml:space="preserve">RID/ADR/ADN </w:t>
      </w:r>
      <w:r w:rsidRPr="007D1E26">
        <w:t xml:space="preserve">et </w:t>
      </w:r>
      <w:r>
        <w:t>qui font obligation au chargeur de garantir par un certificat d</w:t>
      </w:r>
      <w:r w:rsidR="009939FF">
        <w:t>’</w:t>
      </w:r>
      <w:r>
        <w:t xml:space="preserve">empotage du conteneur/véhicule </w:t>
      </w:r>
      <w:r w:rsidRPr="00AF0EA1">
        <w:t>qu</w:t>
      </w:r>
      <w:r w:rsidR="009939FF">
        <w:t>’</w:t>
      </w:r>
      <w:r w:rsidRPr="00AF0EA1">
        <w:t>elles ont été respectées</w:t>
      </w:r>
      <w:r w:rsidR="009939FF">
        <w:t> </w:t>
      </w:r>
      <w:r>
        <w:t xml:space="preserve">; </w:t>
      </w:r>
    </w:p>
    <w:p w:rsidR="00304F32" w:rsidRDefault="00304F32" w:rsidP="009939FF">
      <w:pPr>
        <w:pStyle w:val="Bullet1G"/>
      </w:pPr>
      <w:r w:rsidRPr="007D1E26">
        <w:t xml:space="preserve">Le </w:t>
      </w:r>
      <w:r w:rsidRPr="009C07B5">
        <w:rPr>
          <w:spacing w:val="-2"/>
        </w:rPr>
        <w:t>certificat d</w:t>
      </w:r>
      <w:r w:rsidR="009939FF" w:rsidRPr="009C07B5">
        <w:rPr>
          <w:spacing w:val="-2"/>
        </w:rPr>
        <w:t>’</w:t>
      </w:r>
      <w:r w:rsidRPr="009C07B5">
        <w:rPr>
          <w:spacing w:val="-2"/>
        </w:rPr>
        <w:t>empotage du conteneur/véhicule est également exigé à la section</w:t>
      </w:r>
      <w:r w:rsidRPr="007D1E26">
        <w:t xml:space="preserve"> 5.4.2 du </w:t>
      </w:r>
      <w:r w:rsidRPr="00F42BB6">
        <w:t>RID/ADR/</w:t>
      </w:r>
      <w:r w:rsidRPr="007D1E26">
        <w:t>AD</w:t>
      </w:r>
      <w:r>
        <w:t>N pour un tel transport par conteneur et à partir de 2017 il sera expressément autorisé pour les w</w:t>
      </w:r>
      <w:r w:rsidRPr="00F42BB6">
        <w:t xml:space="preserve">agons </w:t>
      </w:r>
      <w:r>
        <w:t xml:space="preserve">et </w:t>
      </w:r>
      <w:r w:rsidRPr="00F42BB6">
        <w:t>véhicules</w:t>
      </w:r>
      <w:r w:rsidR="009939FF">
        <w:t>.</w:t>
      </w:r>
      <w:r>
        <w:t xml:space="preserve"> En ce qui concerne les conteneurs, il s</w:t>
      </w:r>
      <w:r w:rsidR="009939FF">
        <w:t>’</w:t>
      </w:r>
      <w:r>
        <w:t>agit des mêmes opérations de transport de marchandises dangereuses que celles qui sont visées par les nouvelles dispositions de l</w:t>
      </w:r>
      <w:r w:rsidR="009939FF">
        <w:t>’</w:t>
      </w:r>
      <w:r>
        <w:t>OMI en matière de poids</w:t>
      </w:r>
      <w:r w:rsidR="009939FF">
        <w:t> </w:t>
      </w:r>
      <w:r>
        <w:t>;</w:t>
      </w:r>
    </w:p>
    <w:p w:rsidR="00304F32" w:rsidRPr="00A86690" w:rsidRDefault="005264FB" w:rsidP="009939FF">
      <w:pPr>
        <w:pStyle w:val="Bullet1G"/>
      </w:pPr>
      <w:r>
        <w:t>T</w:t>
      </w:r>
      <w:r w:rsidRPr="00A86690">
        <w:t>out comme les</w:t>
      </w:r>
      <w:r>
        <w:t xml:space="preserve"> </w:t>
      </w:r>
      <w:r w:rsidRPr="00A86690">
        <w:t xml:space="preserve">transporteurs </w:t>
      </w:r>
      <w:r w:rsidR="00304F32" w:rsidRPr="00A86690">
        <w:t>maritimes</w:t>
      </w:r>
      <w:r w:rsidR="00304F32">
        <w:t xml:space="preserve">, les transporteurs routiers doivent pouvoir se fier aux informations qui figurent sur le </w:t>
      </w:r>
      <w:r w:rsidR="00304F32" w:rsidRPr="00030C8C">
        <w:t>certificat d</w:t>
      </w:r>
      <w:r w:rsidR="009939FF">
        <w:t>’</w:t>
      </w:r>
      <w:r w:rsidR="00304F32" w:rsidRPr="00030C8C">
        <w:t>empotage du conteneur/</w:t>
      </w:r>
      <w:r>
        <w:t xml:space="preserve"> </w:t>
      </w:r>
      <w:r w:rsidR="00304F32" w:rsidRPr="00030C8C">
        <w:t>véhicule</w:t>
      </w:r>
      <w:r w:rsidR="00304F32">
        <w:t>.</w:t>
      </w:r>
    </w:p>
    <w:p w:rsidR="00304F32" w:rsidRPr="00F42BB6" w:rsidRDefault="00304F32" w:rsidP="009939FF">
      <w:pPr>
        <w:pStyle w:val="HChG"/>
        <w:rPr>
          <w:lang w:val="en-GB"/>
        </w:rPr>
      </w:pPr>
      <w:r w:rsidRPr="00F42BB6">
        <w:tab/>
      </w:r>
      <w:r w:rsidRPr="00F42BB6">
        <w:tab/>
      </w:r>
      <w:r w:rsidRPr="00F42BB6">
        <w:rPr>
          <w:lang w:val="en-GB"/>
        </w:rPr>
        <w:t>Propos</w:t>
      </w:r>
      <w:r>
        <w:rPr>
          <w:lang w:val="en-GB"/>
        </w:rPr>
        <w:t>ition</w:t>
      </w:r>
    </w:p>
    <w:p w:rsidR="00304F32" w:rsidRPr="00F42BB6" w:rsidRDefault="00304F32" w:rsidP="00304F32">
      <w:pPr>
        <w:numPr>
          <w:ilvl w:val="0"/>
          <w:numId w:val="15"/>
        </w:numPr>
        <w:kinsoku/>
        <w:overflowPunct/>
        <w:autoSpaceDE/>
        <w:autoSpaceDN/>
        <w:adjustRightInd/>
        <w:snapToGrid/>
        <w:spacing w:after="120"/>
        <w:ind w:left="1134" w:right="1134" w:firstLine="0"/>
        <w:jc w:val="both"/>
        <w:rPr>
          <w:szCs w:val="24"/>
        </w:rPr>
      </w:pPr>
      <w:r w:rsidRPr="00030C8C">
        <w:rPr>
          <w:szCs w:val="24"/>
        </w:rPr>
        <w:t>Dans l</w:t>
      </w:r>
      <w:r w:rsidR="009939FF">
        <w:rPr>
          <w:szCs w:val="24"/>
        </w:rPr>
        <w:t>’</w:t>
      </w:r>
      <w:r w:rsidRPr="00030C8C">
        <w:rPr>
          <w:szCs w:val="24"/>
        </w:rPr>
        <w:t>introduction et dans la dernière phrase du paragraphe</w:t>
      </w:r>
      <w:r>
        <w:rPr>
          <w:szCs w:val="24"/>
        </w:rPr>
        <w:t xml:space="preserve"> </w:t>
      </w:r>
      <w:r w:rsidRPr="00F42BB6">
        <w:rPr>
          <w:szCs w:val="24"/>
        </w:rPr>
        <w:t xml:space="preserve">1.4.2.2.1, </w:t>
      </w:r>
      <w:r>
        <w:rPr>
          <w:szCs w:val="24"/>
        </w:rPr>
        <w:t>supprimer les mots</w:t>
      </w:r>
      <w:r w:rsidRPr="00F42BB6">
        <w:rPr>
          <w:szCs w:val="24"/>
        </w:rPr>
        <w:t xml:space="preserve"> </w:t>
      </w:r>
      <w:r w:rsidR="009939FF">
        <w:rPr>
          <w:szCs w:val="24"/>
        </w:rPr>
        <w:t>« </w:t>
      </w:r>
      <w:r>
        <w:rPr>
          <w:szCs w:val="24"/>
        </w:rPr>
        <w:t>le cas échéant</w:t>
      </w:r>
      <w:r w:rsidR="009939FF">
        <w:rPr>
          <w:szCs w:val="24"/>
        </w:rPr>
        <w:t> »</w:t>
      </w:r>
      <w:r w:rsidRPr="00F42BB6">
        <w:rPr>
          <w:szCs w:val="24"/>
        </w:rPr>
        <w:t>.</w:t>
      </w:r>
    </w:p>
    <w:p w:rsidR="00304F32" w:rsidRPr="00F42BB6" w:rsidRDefault="00304F32" w:rsidP="00304F32">
      <w:pPr>
        <w:numPr>
          <w:ilvl w:val="0"/>
          <w:numId w:val="15"/>
        </w:numPr>
        <w:kinsoku/>
        <w:overflowPunct/>
        <w:autoSpaceDE/>
        <w:autoSpaceDN/>
        <w:adjustRightInd/>
        <w:snapToGrid/>
        <w:spacing w:after="120"/>
        <w:ind w:left="1134" w:right="1134" w:firstLine="0"/>
        <w:jc w:val="both"/>
        <w:rPr>
          <w:szCs w:val="24"/>
        </w:rPr>
      </w:pPr>
      <w:r w:rsidRPr="007E0EDB">
        <w:rPr>
          <w:szCs w:val="24"/>
        </w:rPr>
        <w:t xml:space="preserve">Ajouter ce qui suit à la fin du paragraphe </w:t>
      </w:r>
      <w:r w:rsidRPr="00F42BB6">
        <w:rPr>
          <w:szCs w:val="24"/>
        </w:rPr>
        <w:t>1.4.2.2.2</w:t>
      </w:r>
      <w:r w:rsidR="009939FF">
        <w:rPr>
          <w:szCs w:val="24"/>
        </w:rPr>
        <w:t> </w:t>
      </w:r>
      <w:r w:rsidRPr="00F42BB6">
        <w:rPr>
          <w:szCs w:val="24"/>
        </w:rPr>
        <w:t>:</w:t>
      </w:r>
    </w:p>
    <w:p w:rsidR="00304F32" w:rsidRPr="00F42BB6" w:rsidRDefault="009939FF" w:rsidP="005264FB">
      <w:pPr>
        <w:kinsoku/>
        <w:overflowPunct/>
        <w:autoSpaceDE/>
        <w:autoSpaceDN/>
        <w:adjustRightInd/>
        <w:snapToGrid/>
        <w:spacing w:after="120"/>
        <w:ind w:left="1701" w:right="1134"/>
        <w:jc w:val="both"/>
        <w:rPr>
          <w:szCs w:val="24"/>
        </w:rPr>
      </w:pPr>
      <w:r>
        <w:rPr>
          <w:szCs w:val="24"/>
        </w:rPr>
        <w:t>« </w:t>
      </w:r>
      <w:r w:rsidR="00304F32" w:rsidRPr="001444A5">
        <w:rPr>
          <w:szCs w:val="24"/>
        </w:rPr>
        <w:t xml:space="preserve">Dans le </w:t>
      </w:r>
      <w:r w:rsidR="00304F32">
        <w:rPr>
          <w:szCs w:val="24"/>
        </w:rPr>
        <w:t>cadre</w:t>
      </w:r>
      <w:r w:rsidR="00304F32" w:rsidRPr="001444A5">
        <w:rPr>
          <w:szCs w:val="24"/>
        </w:rPr>
        <w:t xml:space="preserve"> d</w:t>
      </w:r>
      <w:r w:rsidR="00304F32">
        <w:rPr>
          <w:szCs w:val="24"/>
        </w:rPr>
        <w:t xml:space="preserve">u contrôle </w:t>
      </w:r>
      <w:r w:rsidR="00304F32" w:rsidRPr="001444A5">
        <w:rPr>
          <w:szCs w:val="24"/>
        </w:rPr>
        <w:t>d</w:t>
      </w:r>
      <w:r w:rsidR="00304F32">
        <w:rPr>
          <w:szCs w:val="24"/>
        </w:rPr>
        <w:t>u</w:t>
      </w:r>
      <w:r w:rsidR="00304F32" w:rsidRPr="001444A5">
        <w:rPr>
          <w:szCs w:val="24"/>
        </w:rPr>
        <w:t xml:space="preserve"> chargement</w:t>
      </w:r>
      <w:r w:rsidR="00304F32">
        <w:rPr>
          <w:szCs w:val="24"/>
        </w:rPr>
        <w:t xml:space="preserve"> conformément au paragraphe </w:t>
      </w:r>
      <w:r w:rsidR="00304F32" w:rsidRPr="00F42BB6">
        <w:rPr>
          <w:szCs w:val="24"/>
        </w:rPr>
        <w:t xml:space="preserve">1.4.2.2.1 c), </w:t>
      </w:r>
      <w:r w:rsidR="00304F32" w:rsidRPr="001444A5">
        <w:rPr>
          <w:szCs w:val="24"/>
        </w:rPr>
        <w:t>le transporteur</w:t>
      </w:r>
      <w:r w:rsidR="00304F32">
        <w:rPr>
          <w:szCs w:val="24"/>
        </w:rPr>
        <w:t xml:space="preserve"> ne peut se fier aux informations qui figurent dans le </w:t>
      </w:r>
      <w:r w:rsidR="00304F32" w:rsidRPr="001444A5">
        <w:rPr>
          <w:szCs w:val="24"/>
        </w:rPr>
        <w:t>certificat d</w:t>
      </w:r>
      <w:r>
        <w:rPr>
          <w:szCs w:val="24"/>
        </w:rPr>
        <w:t>’</w:t>
      </w:r>
      <w:r w:rsidR="00304F32" w:rsidRPr="001444A5">
        <w:rPr>
          <w:szCs w:val="24"/>
        </w:rPr>
        <w:t>empotage du conteneur/véhicule</w:t>
      </w:r>
      <w:r w:rsidR="00304F32">
        <w:rPr>
          <w:szCs w:val="24"/>
        </w:rPr>
        <w:t xml:space="preserve"> et se passer de l</w:t>
      </w:r>
      <w:r>
        <w:rPr>
          <w:szCs w:val="24"/>
        </w:rPr>
        <w:t>’</w:t>
      </w:r>
      <w:r w:rsidR="00304F32">
        <w:rPr>
          <w:szCs w:val="24"/>
        </w:rPr>
        <w:t>examen visuel de l</w:t>
      </w:r>
      <w:r>
        <w:rPr>
          <w:szCs w:val="24"/>
        </w:rPr>
        <w:t>’</w:t>
      </w:r>
      <w:r w:rsidR="00304F32" w:rsidRPr="001444A5">
        <w:rPr>
          <w:szCs w:val="24"/>
        </w:rPr>
        <w:t>engin de transport</w:t>
      </w:r>
      <w:r w:rsidR="00304F32">
        <w:rPr>
          <w:szCs w:val="24"/>
        </w:rPr>
        <w:t xml:space="preserve"> que s</w:t>
      </w:r>
      <w:r>
        <w:rPr>
          <w:szCs w:val="24"/>
        </w:rPr>
        <w:t>’</w:t>
      </w:r>
      <w:r w:rsidR="00304F32">
        <w:rPr>
          <w:szCs w:val="24"/>
        </w:rPr>
        <w:t>il porte le scellement d</w:t>
      </w:r>
      <w:r>
        <w:rPr>
          <w:szCs w:val="24"/>
        </w:rPr>
        <w:t>’</w:t>
      </w:r>
      <w:r w:rsidR="00304F32">
        <w:rPr>
          <w:szCs w:val="24"/>
        </w:rPr>
        <w:t>une entreprise. Les scellement</w:t>
      </w:r>
      <w:r w:rsidR="00B56E7A">
        <w:rPr>
          <w:szCs w:val="24"/>
        </w:rPr>
        <w:t>s</w:t>
      </w:r>
      <w:r w:rsidR="00304F32">
        <w:rPr>
          <w:szCs w:val="24"/>
        </w:rPr>
        <w:t xml:space="preserve"> officiels doivent être respectés même en l</w:t>
      </w:r>
      <w:r>
        <w:rPr>
          <w:szCs w:val="24"/>
        </w:rPr>
        <w:t>’</w:t>
      </w:r>
      <w:r w:rsidR="00304F32">
        <w:rPr>
          <w:szCs w:val="24"/>
        </w:rPr>
        <w:t>absence d</w:t>
      </w:r>
      <w:r>
        <w:rPr>
          <w:szCs w:val="24"/>
        </w:rPr>
        <w:t>’</w:t>
      </w:r>
      <w:r w:rsidR="00304F32">
        <w:rPr>
          <w:szCs w:val="24"/>
        </w:rPr>
        <w:t xml:space="preserve">un </w:t>
      </w:r>
      <w:r w:rsidR="00304F32" w:rsidRPr="00C92586">
        <w:rPr>
          <w:szCs w:val="24"/>
        </w:rPr>
        <w:t>certificat d</w:t>
      </w:r>
      <w:r>
        <w:rPr>
          <w:szCs w:val="24"/>
        </w:rPr>
        <w:t>’</w:t>
      </w:r>
      <w:r w:rsidR="00304F32" w:rsidRPr="00C92586">
        <w:rPr>
          <w:szCs w:val="24"/>
        </w:rPr>
        <w:t>empotage du conteneur/véhicule</w:t>
      </w:r>
      <w:r w:rsidR="00304F32">
        <w:rPr>
          <w:szCs w:val="24"/>
        </w:rPr>
        <w:t>.</w:t>
      </w:r>
      <w:r>
        <w:rPr>
          <w:szCs w:val="24"/>
        </w:rPr>
        <w:t> »</w:t>
      </w:r>
      <w:r w:rsidR="00304F32" w:rsidRPr="00C92586">
        <w:rPr>
          <w:szCs w:val="24"/>
        </w:rPr>
        <w:t>.</w:t>
      </w:r>
    </w:p>
    <w:p w:rsidR="00304F32" w:rsidRPr="00F42BB6" w:rsidRDefault="00304F32" w:rsidP="00304F32">
      <w:pPr>
        <w:numPr>
          <w:ilvl w:val="0"/>
          <w:numId w:val="15"/>
        </w:numPr>
        <w:kinsoku/>
        <w:overflowPunct/>
        <w:autoSpaceDE/>
        <w:autoSpaceDN/>
        <w:adjustRightInd/>
        <w:snapToGrid/>
        <w:spacing w:after="120"/>
        <w:ind w:left="1134" w:right="1134" w:firstLine="0"/>
        <w:jc w:val="both"/>
        <w:rPr>
          <w:szCs w:val="24"/>
        </w:rPr>
      </w:pPr>
      <w:r w:rsidRPr="00C92586">
        <w:rPr>
          <w:szCs w:val="24"/>
        </w:rPr>
        <w:t>Après les suppressions et ajouts indiqués, les paragraphes 1</w:t>
      </w:r>
      <w:r w:rsidRPr="00F42BB6">
        <w:rPr>
          <w:szCs w:val="24"/>
        </w:rPr>
        <w:t xml:space="preserve">.4.2.2.1 </w:t>
      </w:r>
      <w:r>
        <w:rPr>
          <w:szCs w:val="24"/>
        </w:rPr>
        <w:t>à</w:t>
      </w:r>
      <w:r w:rsidRPr="00F42BB6">
        <w:rPr>
          <w:szCs w:val="24"/>
        </w:rPr>
        <w:t xml:space="preserve"> 1.4.2.2.3 </w:t>
      </w:r>
      <w:r>
        <w:rPr>
          <w:szCs w:val="24"/>
        </w:rPr>
        <w:t>sont les suivants</w:t>
      </w:r>
      <w:r w:rsidR="009939FF">
        <w:rPr>
          <w:szCs w:val="24"/>
        </w:rPr>
        <w:t> </w:t>
      </w:r>
      <w:r w:rsidRPr="00F42BB6">
        <w:rPr>
          <w:szCs w:val="24"/>
        </w:rPr>
        <w:t>:</w:t>
      </w:r>
    </w:p>
    <w:p w:rsidR="00304F32" w:rsidRPr="00F42BB6" w:rsidRDefault="009939FF" w:rsidP="00304F32">
      <w:pPr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szCs w:val="24"/>
        </w:rPr>
      </w:pPr>
      <w:r>
        <w:rPr>
          <w:szCs w:val="24"/>
        </w:rPr>
        <w:t>« </w:t>
      </w:r>
      <w:r w:rsidR="00304F32" w:rsidRPr="00F42BB6">
        <w:rPr>
          <w:b/>
          <w:szCs w:val="24"/>
        </w:rPr>
        <w:t>1.4.2.2.1</w:t>
      </w:r>
      <w:r w:rsidR="00304F32" w:rsidRPr="00F42BB6">
        <w:rPr>
          <w:b/>
          <w:szCs w:val="24"/>
        </w:rPr>
        <w:tab/>
      </w:r>
      <w:r w:rsidR="00304F32" w:rsidRPr="0071108F">
        <w:rPr>
          <w:szCs w:val="24"/>
        </w:rPr>
        <w:t>Dans le cadre</w:t>
      </w:r>
      <w:r w:rsidR="00304F32" w:rsidRPr="0071108F">
        <w:rPr>
          <w:b/>
          <w:szCs w:val="24"/>
        </w:rPr>
        <w:t xml:space="preserve"> </w:t>
      </w:r>
      <w:r w:rsidR="00304F32" w:rsidRPr="0071108F">
        <w:rPr>
          <w:szCs w:val="24"/>
        </w:rPr>
        <w:t xml:space="preserve">de la section </w:t>
      </w:r>
      <w:r w:rsidR="00304F32" w:rsidRPr="00F42BB6">
        <w:rPr>
          <w:szCs w:val="24"/>
        </w:rPr>
        <w:t xml:space="preserve">1.4.1, </w:t>
      </w:r>
      <w:r w:rsidR="00304F32" w:rsidRPr="0071108F">
        <w:rPr>
          <w:szCs w:val="24"/>
        </w:rPr>
        <w:t>le transporteur qui accepte au lieu de départ les marchandises au transport, doit notamment</w:t>
      </w:r>
      <w:r>
        <w:rPr>
          <w:szCs w:val="24"/>
        </w:rPr>
        <w:t xml:space="preserve"> : </w:t>
      </w:r>
      <w:r w:rsidR="00304F32" w:rsidRPr="00F42BB6">
        <w:rPr>
          <w:szCs w:val="24"/>
        </w:rPr>
        <w:t>(RID)</w:t>
      </w:r>
    </w:p>
    <w:p w:rsidR="00304F32" w:rsidRPr="00F42BB6" w:rsidRDefault="00304F32" w:rsidP="00304F32">
      <w:pPr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szCs w:val="24"/>
        </w:rPr>
      </w:pPr>
      <w:r w:rsidRPr="00F42BB6">
        <w:rPr>
          <w:b/>
          <w:szCs w:val="24"/>
        </w:rPr>
        <w:t>1.4.2.2.1</w:t>
      </w:r>
      <w:r w:rsidRPr="00F42BB6">
        <w:rPr>
          <w:b/>
          <w:szCs w:val="24"/>
        </w:rPr>
        <w:tab/>
      </w:r>
      <w:r w:rsidRPr="0071108F">
        <w:rPr>
          <w:szCs w:val="24"/>
        </w:rPr>
        <w:t>Dans le cadre de la section 1.4.1</w:t>
      </w:r>
      <w:r w:rsidRPr="00F42BB6">
        <w:rPr>
          <w:szCs w:val="24"/>
        </w:rPr>
        <w:t xml:space="preserve">, </w:t>
      </w:r>
      <w:r w:rsidRPr="0071108F">
        <w:rPr>
          <w:strike/>
          <w:szCs w:val="24"/>
        </w:rPr>
        <w:t>le cas échéant,</w:t>
      </w:r>
      <w:r w:rsidRPr="00F42BB6">
        <w:rPr>
          <w:szCs w:val="24"/>
        </w:rPr>
        <w:t xml:space="preserve"> </w:t>
      </w:r>
      <w:r w:rsidRPr="0071108F">
        <w:rPr>
          <w:szCs w:val="24"/>
        </w:rPr>
        <w:t xml:space="preserve">le </w:t>
      </w:r>
      <w:r>
        <w:rPr>
          <w:szCs w:val="24"/>
        </w:rPr>
        <w:t xml:space="preserve">transporteur doit </w:t>
      </w:r>
      <w:r w:rsidRPr="0071108F">
        <w:rPr>
          <w:szCs w:val="24"/>
        </w:rPr>
        <w:t>notamment</w:t>
      </w:r>
      <w:r w:rsidR="009939FF">
        <w:rPr>
          <w:szCs w:val="24"/>
        </w:rPr>
        <w:t> </w:t>
      </w:r>
      <w:r w:rsidRPr="00F42BB6">
        <w:rPr>
          <w:szCs w:val="24"/>
        </w:rPr>
        <w:t>: (ADR/ADN)</w:t>
      </w:r>
    </w:p>
    <w:p w:rsidR="00304F32" w:rsidRPr="004B17D2" w:rsidRDefault="00304F32" w:rsidP="009939FF">
      <w:pPr>
        <w:kinsoku/>
        <w:overflowPunct/>
        <w:autoSpaceDE/>
        <w:autoSpaceDN/>
        <w:adjustRightInd/>
        <w:snapToGrid/>
        <w:spacing w:after="120"/>
        <w:ind w:left="2268" w:right="1134"/>
        <w:jc w:val="both"/>
        <w:rPr>
          <w:szCs w:val="24"/>
        </w:rPr>
      </w:pPr>
      <w:r w:rsidRPr="004B17D2">
        <w:rPr>
          <w:szCs w:val="24"/>
        </w:rPr>
        <w:t>(...)</w:t>
      </w:r>
    </w:p>
    <w:p w:rsidR="00304F32" w:rsidRPr="00F42BB6" w:rsidRDefault="00304F32" w:rsidP="009939FF">
      <w:pPr>
        <w:kinsoku/>
        <w:overflowPunct/>
        <w:autoSpaceDE/>
        <w:autoSpaceDN/>
        <w:adjustRightInd/>
        <w:snapToGrid/>
        <w:spacing w:after="120"/>
        <w:ind w:left="2268" w:right="1134" w:firstLine="567"/>
        <w:jc w:val="both"/>
        <w:rPr>
          <w:szCs w:val="24"/>
        </w:rPr>
      </w:pPr>
      <w:r w:rsidRPr="004B17D2">
        <w:rPr>
          <w:szCs w:val="24"/>
        </w:rPr>
        <w:tab/>
      </w:r>
      <w:r w:rsidRPr="00F42BB6">
        <w:rPr>
          <w:szCs w:val="24"/>
        </w:rPr>
        <w:t>c)</w:t>
      </w:r>
      <w:r w:rsidRPr="00F42BB6">
        <w:rPr>
          <w:szCs w:val="24"/>
        </w:rPr>
        <w:tab/>
      </w:r>
      <w:r w:rsidRPr="0071108F">
        <w:rPr>
          <w:szCs w:val="24"/>
        </w:rPr>
        <w:t>s</w:t>
      </w:r>
      <w:r w:rsidR="009939FF">
        <w:rPr>
          <w:szCs w:val="24"/>
        </w:rPr>
        <w:t>’</w:t>
      </w:r>
      <w:r w:rsidRPr="0071108F">
        <w:rPr>
          <w:szCs w:val="24"/>
        </w:rPr>
        <w:t xml:space="preserve">assurer visuellement que le </w:t>
      </w:r>
      <w:r w:rsidRPr="00F42BB6">
        <w:rPr>
          <w:szCs w:val="24"/>
        </w:rPr>
        <w:t xml:space="preserve">wagon/véhicule </w:t>
      </w:r>
      <w:r w:rsidRPr="0071108F">
        <w:rPr>
          <w:szCs w:val="24"/>
        </w:rPr>
        <w:t>et le chargement ne présentent pas de d</w:t>
      </w:r>
      <w:r>
        <w:rPr>
          <w:szCs w:val="24"/>
        </w:rPr>
        <w:t>éfauts manifestes, de fuites ou de fissures, de manquement de dispositifs d</w:t>
      </w:r>
      <w:r w:rsidR="009939FF">
        <w:rPr>
          <w:szCs w:val="24"/>
        </w:rPr>
        <w:t>’</w:t>
      </w:r>
      <w:r>
        <w:rPr>
          <w:szCs w:val="24"/>
        </w:rPr>
        <w:t>équipement, e</w:t>
      </w:r>
      <w:r w:rsidRPr="00F42BB6">
        <w:rPr>
          <w:szCs w:val="24"/>
        </w:rPr>
        <w:t>tc.</w:t>
      </w:r>
      <w:r w:rsidR="009939FF">
        <w:rPr>
          <w:szCs w:val="24"/>
        </w:rPr>
        <w:t> </w:t>
      </w:r>
      <w:r w:rsidRPr="00F42BB6">
        <w:rPr>
          <w:szCs w:val="24"/>
        </w:rPr>
        <w:t>; (RID/ADR)</w:t>
      </w:r>
    </w:p>
    <w:p w:rsidR="00304F32" w:rsidRPr="00F42BB6" w:rsidRDefault="00304F32" w:rsidP="009939FF">
      <w:pPr>
        <w:kinsoku/>
        <w:overflowPunct/>
        <w:autoSpaceDE/>
        <w:autoSpaceDN/>
        <w:adjustRightInd/>
        <w:snapToGrid/>
        <w:spacing w:after="120"/>
        <w:ind w:left="2268" w:right="1134" w:firstLine="567"/>
        <w:jc w:val="both"/>
        <w:rPr>
          <w:szCs w:val="24"/>
        </w:rPr>
      </w:pPr>
      <w:r w:rsidRPr="00F42BB6">
        <w:rPr>
          <w:szCs w:val="24"/>
        </w:rPr>
        <w:lastRenderedPageBreak/>
        <w:tab/>
        <w:t>c)</w:t>
      </w:r>
      <w:r w:rsidRPr="00F42BB6">
        <w:rPr>
          <w:szCs w:val="24"/>
        </w:rPr>
        <w:tab/>
      </w:r>
      <w:r w:rsidRPr="0071108F">
        <w:rPr>
          <w:szCs w:val="24"/>
        </w:rPr>
        <w:t>s</w:t>
      </w:r>
      <w:r w:rsidR="009939FF">
        <w:rPr>
          <w:szCs w:val="24"/>
        </w:rPr>
        <w:t>’</w:t>
      </w:r>
      <w:r w:rsidRPr="0071108F">
        <w:rPr>
          <w:szCs w:val="24"/>
        </w:rPr>
        <w:t>assurer visuellement que le bateau et le chargement ne présentent pas de défauts manifestes, de fuites ou de fissures, de manquement de dispositifs d</w:t>
      </w:r>
      <w:r w:rsidR="009939FF">
        <w:rPr>
          <w:szCs w:val="24"/>
        </w:rPr>
        <w:t>’</w:t>
      </w:r>
      <w:r w:rsidRPr="0071108F">
        <w:rPr>
          <w:szCs w:val="24"/>
        </w:rPr>
        <w:t>équipement, etc</w:t>
      </w:r>
      <w:r>
        <w:rPr>
          <w:szCs w:val="24"/>
        </w:rPr>
        <w:t>.</w:t>
      </w:r>
      <w:r w:rsidR="009939FF">
        <w:rPr>
          <w:szCs w:val="24"/>
        </w:rPr>
        <w:t> </w:t>
      </w:r>
      <w:r w:rsidRPr="00F42BB6">
        <w:rPr>
          <w:szCs w:val="24"/>
        </w:rPr>
        <w:t>; (ADN)</w:t>
      </w:r>
    </w:p>
    <w:p w:rsidR="00304F32" w:rsidRPr="00F42BB6" w:rsidRDefault="00304F32" w:rsidP="00304F32">
      <w:pPr>
        <w:kinsoku/>
        <w:overflowPunct/>
        <w:autoSpaceDE/>
        <w:autoSpaceDN/>
        <w:adjustRightInd/>
        <w:snapToGrid/>
        <w:spacing w:after="120"/>
        <w:ind w:left="2268" w:right="1134"/>
        <w:jc w:val="both"/>
        <w:rPr>
          <w:szCs w:val="24"/>
        </w:rPr>
      </w:pPr>
      <w:r w:rsidRPr="00F42BB6">
        <w:rPr>
          <w:szCs w:val="24"/>
        </w:rPr>
        <w:t>(...)</w:t>
      </w:r>
    </w:p>
    <w:p w:rsidR="00304F32" w:rsidRPr="00224A52" w:rsidRDefault="00304F32" w:rsidP="00304F32">
      <w:pPr>
        <w:kinsoku/>
        <w:overflowPunct/>
        <w:autoSpaceDE/>
        <w:autoSpaceDN/>
        <w:adjustRightInd/>
        <w:snapToGrid/>
        <w:spacing w:after="120"/>
        <w:ind w:left="2268" w:right="1134"/>
        <w:jc w:val="both"/>
        <w:rPr>
          <w:szCs w:val="24"/>
        </w:rPr>
      </w:pPr>
      <w:r w:rsidRPr="00224A52">
        <w:rPr>
          <w:szCs w:val="24"/>
        </w:rPr>
        <w:t>Ceci doit être fait</w:t>
      </w:r>
      <w:r w:rsidRPr="009939FF">
        <w:rPr>
          <w:strike/>
          <w:szCs w:val="24"/>
        </w:rPr>
        <w:t xml:space="preserve">, </w:t>
      </w:r>
      <w:r w:rsidRPr="00224A52">
        <w:rPr>
          <w:strike/>
          <w:szCs w:val="24"/>
        </w:rPr>
        <w:t>le cas échéant</w:t>
      </w:r>
      <w:r w:rsidRPr="009939FF">
        <w:rPr>
          <w:strike/>
          <w:szCs w:val="24"/>
        </w:rPr>
        <w:t>,</w:t>
      </w:r>
      <w:r w:rsidRPr="00224A52">
        <w:rPr>
          <w:szCs w:val="24"/>
        </w:rPr>
        <w:t xml:space="preserve"> (ADR/ADN) sur la base des documents de transport et des documents d</w:t>
      </w:r>
      <w:r w:rsidR="009939FF">
        <w:rPr>
          <w:szCs w:val="24"/>
        </w:rPr>
        <w:t>’</w:t>
      </w:r>
      <w:r w:rsidRPr="00224A52">
        <w:rPr>
          <w:szCs w:val="24"/>
        </w:rPr>
        <w:t>accompagnement, par un examen visuel du wagon/du véhicule/du bateau ou des conteneurs et</w:t>
      </w:r>
      <w:r w:rsidRPr="00224A52">
        <w:rPr>
          <w:strike/>
          <w:szCs w:val="24"/>
        </w:rPr>
        <w:t>, le cas échéant,</w:t>
      </w:r>
      <w:r w:rsidRPr="00224A52">
        <w:rPr>
          <w:szCs w:val="24"/>
        </w:rPr>
        <w:t xml:space="preserve"> du chargement.</w:t>
      </w:r>
    </w:p>
    <w:p w:rsidR="00304F32" w:rsidRPr="004D7DA8" w:rsidRDefault="00304F32" w:rsidP="00304F32">
      <w:pPr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szCs w:val="24"/>
          <w:u w:val="single"/>
        </w:rPr>
      </w:pPr>
      <w:r w:rsidRPr="00F42BB6">
        <w:rPr>
          <w:b/>
          <w:szCs w:val="24"/>
        </w:rPr>
        <w:t>1.4.2.2.2</w:t>
      </w:r>
      <w:r w:rsidRPr="00F42BB6">
        <w:rPr>
          <w:szCs w:val="24"/>
        </w:rPr>
        <w:tab/>
      </w:r>
      <w:r w:rsidRPr="00224A52">
        <w:rPr>
          <w:szCs w:val="24"/>
        </w:rPr>
        <w:t xml:space="preserve">Le transporteur peut toutefois, </w:t>
      </w:r>
      <w:r w:rsidRPr="006A0A76">
        <w:rPr>
          <w:spacing w:val="-2"/>
          <w:szCs w:val="24"/>
        </w:rPr>
        <w:t>dans le cas des paragraphes</w:t>
      </w:r>
      <w:r w:rsidR="009939FF" w:rsidRPr="006A0A76">
        <w:rPr>
          <w:spacing w:val="-2"/>
          <w:szCs w:val="24"/>
        </w:rPr>
        <w:t xml:space="preserve"> </w:t>
      </w:r>
      <w:r w:rsidRPr="006A0A76">
        <w:rPr>
          <w:spacing w:val="-2"/>
          <w:szCs w:val="24"/>
        </w:rPr>
        <w:t>1.4.2.2.1 alinéas</w:t>
      </w:r>
      <w:r>
        <w:rPr>
          <w:szCs w:val="24"/>
        </w:rPr>
        <w:t xml:space="preserve"> </w:t>
      </w:r>
      <w:r w:rsidRPr="00F42BB6">
        <w:rPr>
          <w:szCs w:val="24"/>
        </w:rPr>
        <w:t xml:space="preserve">a), b), d), e) </w:t>
      </w:r>
      <w:r>
        <w:rPr>
          <w:szCs w:val="24"/>
        </w:rPr>
        <w:t xml:space="preserve">et </w:t>
      </w:r>
      <w:r w:rsidRPr="00F42BB6">
        <w:rPr>
          <w:szCs w:val="24"/>
        </w:rPr>
        <w:t xml:space="preserve">f) (RID)/1.4.2.2.1 </w:t>
      </w:r>
      <w:r>
        <w:rPr>
          <w:szCs w:val="24"/>
        </w:rPr>
        <w:t xml:space="preserve">alinéas </w:t>
      </w:r>
      <w:r w:rsidRPr="00F42BB6">
        <w:rPr>
          <w:szCs w:val="24"/>
        </w:rPr>
        <w:t xml:space="preserve">a), b), e) </w:t>
      </w:r>
      <w:r>
        <w:rPr>
          <w:szCs w:val="24"/>
        </w:rPr>
        <w:t xml:space="preserve">et </w:t>
      </w:r>
      <w:r w:rsidRPr="00F42BB6">
        <w:rPr>
          <w:szCs w:val="24"/>
        </w:rPr>
        <w:t xml:space="preserve">f) (ADR)/1.4.2.2.1 a) </w:t>
      </w:r>
      <w:r>
        <w:rPr>
          <w:szCs w:val="24"/>
        </w:rPr>
        <w:t>et</w:t>
      </w:r>
      <w:r w:rsidR="009939FF">
        <w:rPr>
          <w:szCs w:val="24"/>
        </w:rPr>
        <w:t> </w:t>
      </w:r>
      <w:r w:rsidRPr="00F42BB6">
        <w:rPr>
          <w:szCs w:val="24"/>
        </w:rPr>
        <w:t>b) (ADN),</w:t>
      </w:r>
      <w:r>
        <w:rPr>
          <w:szCs w:val="24"/>
        </w:rPr>
        <w:t xml:space="preserve"> se fier aux informations et données mises à sa disposition par d</w:t>
      </w:r>
      <w:r w:rsidR="009939FF">
        <w:rPr>
          <w:szCs w:val="24"/>
        </w:rPr>
        <w:t>’</w:t>
      </w:r>
      <w:r>
        <w:rPr>
          <w:szCs w:val="24"/>
        </w:rPr>
        <w:t>autres intervenants</w:t>
      </w:r>
      <w:r w:rsidRPr="009939FF">
        <w:rPr>
          <w:szCs w:val="24"/>
        </w:rPr>
        <w:t xml:space="preserve">. </w:t>
      </w:r>
      <w:r w:rsidRPr="004D7DA8">
        <w:rPr>
          <w:szCs w:val="24"/>
          <w:u w:val="single"/>
        </w:rPr>
        <w:t xml:space="preserve">Dans le cadre du contrôle du chargement conformément au paragraphe </w:t>
      </w:r>
      <w:r w:rsidRPr="00F42BB6">
        <w:rPr>
          <w:szCs w:val="24"/>
          <w:u w:val="single"/>
        </w:rPr>
        <w:t xml:space="preserve">1.4.2.2.1 c), </w:t>
      </w:r>
      <w:r w:rsidRPr="004D7DA8">
        <w:rPr>
          <w:szCs w:val="24"/>
          <w:u w:val="single"/>
        </w:rPr>
        <w:t>le transporteur ne peut se fier aux informations qui figurent dans le certificat d</w:t>
      </w:r>
      <w:r w:rsidR="009939FF">
        <w:rPr>
          <w:szCs w:val="24"/>
          <w:u w:val="single"/>
        </w:rPr>
        <w:t>’</w:t>
      </w:r>
      <w:r w:rsidRPr="004D7DA8">
        <w:rPr>
          <w:szCs w:val="24"/>
          <w:u w:val="single"/>
        </w:rPr>
        <w:t xml:space="preserve">empotage du conteneur/véhicule </w:t>
      </w:r>
      <w:r>
        <w:rPr>
          <w:szCs w:val="24"/>
          <w:u w:val="single"/>
        </w:rPr>
        <w:t xml:space="preserve">fourni conformément à la section 5.4.2 </w:t>
      </w:r>
      <w:r w:rsidRPr="004D7DA8">
        <w:rPr>
          <w:szCs w:val="24"/>
          <w:u w:val="single"/>
        </w:rPr>
        <w:t xml:space="preserve">et se passer </w:t>
      </w:r>
      <w:r>
        <w:rPr>
          <w:szCs w:val="24"/>
          <w:u w:val="single"/>
        </w:rPr>
        <w:t>de l</w:t>
      </w:r>
      <w:r w:rsidR="009939FF">
        <w:rPr>
          <w:szCs w:val="24"/>
          <w:u w:val="single"/>
        </w:rPr>
        <w:t>’</w:t>
      </w:r>
      <w:r>
        <w:rPr>
          <w:szCs w:val="24"/>
          <w:u w:val="single"/>
        </w:rPr>
        <w:t>examen visuel</w:t>
      </w:r>
      <w:r w:rsidRPr="004D7DA8">
        <w:rPr>
          <w:szCs w:val="24"/>
          <w:u w:val="single"/>
        </w:rPr>
        <w:t xml:space="preserve"> de l</w:t>
      </w:r>
      <w:r w:rsidR="009939FF">
        <w:rPr>
          <w:szCs w:val="24"/>
          <w:u w:val="single"/>
        </w:rPr>
        <w:t>’</w:t>
      </w:r>
      <w:r w:rsidRPr="004D7DA8">
        <w:rPr>
          <w:szCs w:val="24"/>
          <w:u w:val="single"/>
        </w:rPr>
        <w:t>engin de transport que s</w:t>
      </w:r>
      <w:r w:rsidR="009939FF">
        <w:rPr>
          <w:szCs w:val="24"/>
          <w:u w:val="single"/>
        </w:rPr>
        <w:t>’</w:t>
      </w:r>
      <w:r w:rsidRPr="004D7DA8">
        <w:rPr>
          <w:szCs w:val="24"/>
          <w:u w:val="single"/>
        </w:rPr>
        <w:t>il porte le scellement d</w:t>
      </w:r>
      <w:r w:rsidR="009939FF">
        <w:rPr>
          <w:szCs w:val="24"/>
          <w:u w:val="single"/>
        </w:rPr>
        <w:t>’</w:t>
      </w:r>
      <w:r w:rsidRPr="004D7DA8">
        <w:rPr>
          <w:szCs w:val="24"/>
          <w:u w:val="single"/>
        </w:rPr>
        <w:t>une entreprise. Les scellement</w:t>
      </w:r>
      <w:r>
        <w:rPr>
          <w:szCs w:val="24"/>
          <w:u w:val="single"/>
        </w:rPr>
        <w:t>s</w:t>
      </w:r>
      <w:r w:rsidRPr="004D7DA8">
        <w:rPr>
          <w:szCs w:val="24"/>
          <w:u w:val="single"/>
        </w:rPr>
        <w:t xml:space="preserve"> officiels doivent être respectés même en l</w:t>
      </w:r>
      <w:r w:rsidR="009939FF">
        <w:rPr>
          <w:szCs w:val="24"/>
          <w:u w:val="single"/>
        </w:rPr>
        <w:t>’</w:t>
      </w:r>
      <w:r w:rsidRPr="004D7DA8">
        <w:rPr>
          <w:szCs w:val="24"/>
          <w:u w:val="single"/>
        </w:rPr>
        <w:t>absence du certificat d</w:t>
      </w:r>
      <w:r w:rsidR="009939FF">
        <w:rPr>
          <w:szCs w:val="24"/>
          <w:u w:val="single"/>
        </w:rPr>
        <w:t>’</w:t>
      </w:r>
      <w:r w:rsidRPr="004D7DA8">
        <w:rPr>
          <w:szCs w:val="24"/>
          <w:u w:val="single"/>
        </w:rPr>
        <w:t>empotage du conteneur/véhicule</w:t>
      </w:r>
      <w:r w:rsidR="006743E5" w:rsidRPr="006743E5">
        <w:rPr>
          <w:szCs w:val="24"/>
          <w:u w:val="single"/>
        </w:rPr>
        <w:t>.</w:t>
      </w:r>
    </w:p>
    <w:p w:rsidR="00304F32" w:rsidRPr="00F42BB6" w:rsidRDefault="00304F32" w:rsidP="00304F32">
      <w:pPr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szCs w:val="24"/>
        </w:rPr>
      </w:pPr>
      <w:r w:rsidRPr="00F42BB6">
        <w:rPr>
          <w:b/>
          <w:szCs w:val="24"/>
        </w:rPr>
        <w:t>1.4.2.2.3</w:t>
      </w:r>
      <w:r w:rsidRPr="00F42BB6">
        <w:rPr>
          <w:b/>
          <w:szCs w:val="24"/>
        </w:rPr>
        <w:tab/>
      </w:r>
      <w:r w:rsidRPr="00300A2F">
        <w:rPr>
          <w:szCs w:val="24"/>
        </w:rPr>
        <w:t>Si le transporteur constate, selon le paragraphe 1.</w:t>
      </w:r>
      <w:r>
        <w:rPr>
          <w:szCs w:val="24"/>
        </w:rPr>
        <w:t xml:space="preserve">4.2.2.1, une infraction aux prescriptions du </w:t>
      </w:r>
      <w:r w:rsidRPr="00F42BB6">
        <w:rPr>
          <w:szCs w:val="24"/>
        </w:rPr>
        <w:t xml:space="preserve">RID/ADR/ADN, </w:t>
      </w:r>
      <w:r w:rsidRPr="00300A2F">
        <w:rPr>
          <w:szCs w:val="24"/>
        </w:rPr>
        <w:t>il ne doit pas ach</w:t>
      </w:r>
      <w:r>
        <w:rPr>
          <w:szCs w:val="24"/>
        </w:rPr>
        <w:t>e</w:t>
      </w:r>
      <w:r w:rsidRPr="00300A2F">
        <w:rPr>
          <w:szCs w:val="24"/>
        </w:rPr>
        <w:t xml:space="preserve">miner </w:t>
      </w:r>
      <w:r>
        <w:rPr>
          <w:szCs w:val="24"/>
        </w:rPr>
        <w:t>l</w:t>
      </w:r>
      <w:r w:rsidR="009939FF">
        <w:rPr>
          <w:szCs w:val="24"/>
        </w:rPr>
        <w:t>’</w:t>
      </w:r>
      <w:r>
        <w:rPr>
          <w:szCs w:val="24"/>
        </w:rPr>
        <w:t>envoi jusqu</w:t>
      </w:r>
      <w:r w:rsidR="009939FF">
        <w:rPr>
          <w:szCs w:val="24"/>
        </w:rPr>
        <w:t>’</w:t>
      </w:r>
      <w:r>
        <w:rPr>
          <w:szCs w:val="24"/>
        </w:rPr>
        <w:t>à la mise en conformité</w:t>
      </w:r>
      <w:r w:rsidRPr="00F42BB6">
        <w:rPr>
          <w:szCs w:val="24"/>
        </w:rPr>
        <w:t>.</w:t>
      </w:r>
      <w:r w:rsidR="009939FF">
        <w:rPr>
          <w:szCs w:val="24"/>
        </w:rPr>
        <w:t> »</w:t>
      </w:r>
      <w:r>
        <w:rPr>
          <w:szCs w:val="24"/>
        </w:rPr>
        <w:t>.</w:t>
      </w:r>
    </w:p>
    <w:p w:rsidR="00304F32" w:rsidRPr="004B17D2" w:rsidRDefault="00304F32" w:rsidP="00304F32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360" w:after="240" w:line="300" w:lineRule="exact"/>
        <w:ind w:left="1134" w:right="1134" w:hanging="1134"/>
        <w:rPr>
          <w:b/>
          <w:sz w:val="28"/>
        </w:rPr>
      </w:pPr>
      <w:r w:rsidRPr="00F42BB6">
        <w:rPr>
          <w:b/>
          <w:sz w:val="28"/>
        </w:rPr>
        <w:tab/>
      </w:r>
      <w:r w:rsidRPr="00F42BB6">
        <w:rPr>
          <w:b/>
          <w:sz w:val="28"/>
        </w:rPr>
        <w:tab/>
      </w:r>
      <w:r w:rsidRPr="004B17D2">
        <w:rPr>
          <w:b/>
          <w:sz w:val="28"/>
        </w:rPr>
        <w:t>Justification</w:t>
      </w:r>
    </w:p>
    <w:p w:rsidR="00304F32" w:rsidRPr="004B17D2" w:rsidRDefault="00304F32" w:rsidP="00304F32">
      <w:pPr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szCs w:val="24"/>
        </w:rPr>
      </w:pPr>
      <w:r w:rsidRPr="00603B72">
        <w:rPr>
          <w:szCs w:val="24"/>
        </w:rPr>
        <w:t>Sécurité</w:t>
      </w:r>
      <w:r w:rsidR="009939FF">
        <w:rPr>
          <w:szCs w:val="24"/>
        </w:rPr>
        <w:t> </w:t>
      </w:r>
      <w:r w:rsidRPr="00F42BB6">
        <w:rPr>
          <w:szCs w:val="24"/>
        </w:rPr>
        <w:t>:</w:t>
      </w:r>
      <w:r w:rsidRPr="00F42BB6">
        <w:rPr>
          <w:szCs w:val="24"/>
        </w:rPr>
        <w:tab/>
      </w:r>
      <w:r w:rsidRPr="00F42BB6">
        <w:rPr>
          <w:szCs w:val="24"/>
        </w:rPr>
        <w:tab/>
      </w:r>
      <w:r w:rsidRPr="00603B72">
        <w:rPr>
          <w:szCs w:val="24"/>
        </w:rPr>
        <w:t>L</w:t>
      </w:r>
      <w:r w:rsidR="009939FF">
        <w:rPr>
          <w:szCs w:val="24"/>
        </w:rPr>
        <w:t>’</w:t>
      </w:r>
      <w:r w:rsidRPr="00603B72">
        <w:rPr>
          <w:szCs w:val="24"/>
        </w:rPr>
        <w:t>amendement proposé signifie que les garantie</w:t>
      </w:r>
      <w:r>
        <w:rPr>
          <w:szCs w:val="24"/>
        </w:rPr>
        <w:t>s</w:t>
      </w:r>
      <w:r w:rsidRPr="00603B72">
        <w:rPr>
          <w:szCs w:val="24"/>
        </w:rPr>
        <w:t xml:space="preserve"> de sécurité</w:t>
      </w:r>
      <w:r>
        <w:rPr>
          <w:szCs w:val="24"/>
        </w:rPr>
        <w:t xml:space="preserve"> données par le </w:t>
      </w:r>
      <w:r w:rsidRPr="009939FF">
        <w:rPr>
          <w:szCs w:val="24"/>
        </w:rPr>
        <w:t>chargeur sont acceptées d</w:t>
      </w:r>
      <w:r w:rsidR="009939FF" w:rsidRPr="009939FF">
        <w:rPr>
          <w:szCs w:val="24"/>
        </w:rPr>
        <w:t>’</w:t>
      </w:r>
      <w:r w:rsidRPr="009939FF">
        <w:rPr>
          <w:szCs w:val="24"/>
        </w:rPr>
        <w:t>une manière analogue à celle du Code IMDG. Cela ne devrait en rien compromettre la sécurité du</w:t>
      </w:r>
      <w:r w:rsidRPr="004B17D2">
        <w:rPr>
          <w:szCs w:val="24"/>
        </w:rPr>
        <w:t xml:space="preserve"> transport. </w:t>
      </w:r>
    </w:p>
    <w:p w:rsidR="00FB525B" w:rsidRDefault="00304F32" w:rsidP="009939FF">
      <w:pPr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szCs w:val="24"/>
        </w:rPr>
      </w:pPr>
      <w:r w:rsidRPr="00F42BB6">
        <w:rPr>
          <w:szCs w:val="24"/>
        </w:rPr>
        <w:t>F</w:t>
      </w:r>
      <w:r w:rsidRPr="00603B72">
        <w:rPr>
          <w:szCs w:val="24"/>
        </w:rPr>
        <w:t>aisabilité</w:t>
      </w:r>
      <w:r w:rsidR="009939FF">
        <w:rPr>
          <w:szCs w:val="24"/>
        </w:rPr>
        <w:t> </w:t>
      </w:r>
      <w:r w:rsidRPr="00F42BB6">
        <w:rPr>
          <w:szCs w:val="24"/>
        </w:rPr>
        <w:t>:</w:t>
      </w:r>
      <w:r w:rsidRPr="00F42BB6">
        <w:rPr>
          <w:szCs w:val="24"/>
        </w:rPr>
        <w:tab/>
      </w:r>
      <w:r w:rsidRPr="00603B72">
        <w:rPr>
          <w:szCs w:val="24"/>
        </w:rPr>
        <w:t>Aucun problème n</w:t>
      </w:r>
      <w:r w:rsidR="009939FF">
        <w:rPr>
          <w:szCs w:val="24"/>
        </w:rPr>
        <w:t>’</w:t>
      </w:r>
      <w:r w:rsidRPr="00603B72">
        <w:rPr>
          <w:szCs w:val="24"/>
        </w:rPr>
        <w:t>est à prévoir</w:t>
      </w:r>
      <w:r w:rsidRPr="00F42BB6">
        <w:rPr>
          <w:szCs w:val="24"/>
        </w:rPr>
        <w:t xml:space="preserve">. </w:t>
      </w:r>
      <w:r w:rsidRPr="00603B72">
        <w:rPr>
          <w:szCs w:val="24"/>
        </w:rPr>
        <w:t xml:space="preserve">Cet amendement offre une certitude juridique </w:t>
      </w:r>
      <w:r>
        <w:rPr>
          <w:szCs w:val="24"/>
        </w:rPr>
        <w:t>sans introduire de nouvelles prescriptions.</w:t>
      </w:r>
    </w:p>
    <w:p w:rsidR="00304F32" w:rsidRPr="00304F32" w:rsidRDefault="00304F32" w:rsidP="00304F3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04F32" w:rsidRPr="00304F32" w:rsidSect="00FB525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D4D" w:rsidRDefault="00185D4D" w:rsidP="00F95C08">
      <w:pPr>
        <w:spacing w:line="240" w:lineRule="auto"/>
      </w:pPr>
    </w:p>
  </w:endnote>
  <w:endnote w:type="continuationSeparator" w:id="0">
    <w:p w:rsidR="00185D4D" w:rsidRPr="00AC3823" w:rsidRDefault="00185D4D" w:rsidP="00AC3823">
      <w:pPr>
        <w:pStyle w:val="Footer"/>
      </w:pPr>
    </w:p>
  </w:endnote>
  <w:endnote w:type="continuationNotice" w:id="1">
    <w:p w:rsidR="00185D4D" w:rsidRDefault="00185D4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5B" w:rsidRPr="00FB525B" w:rsidRDefault="00FB525B" w:rsidP="00FB525B">
    <w:pPr>
      <w:pStyle w:val="Footer"/>
      <w:tabs>
        <w:tab w:val="right" w:pos="9638"/>
      </w:tabs>
    </w:pPr>
    <w:r w:rsidRPr="00FB525B">
      <w:rPr>
        <w:b/>
        <w:sz w:val="18"/>
      </w:rPr>
      <w:fldChar w:fldCharType="begin"/>
    </w:r>
    <w:r w:rsidRPr="00FB525B">
      <w:rPr>
        <w:b/>
        <w:sz w:val="18"/>
      </w:rPr>
      <w:instrText xml:space="preserve"> PAGE  \* MERGEFORMAT </w:instrText>
    </w:r>
    <w:r w:rsidRPr="00FB525B">
      <w:rPr>
        <w:b/>
        <w:sz w:val="18"/>
      </w:rPr>
      <w:fldChar w:fldCharType="separate"/>
    </w:r>
    <w:r w:rsidR="004B17D2">
      <w:rPr>
        <w:b/>
        <w:noProof/>
        <w:sz w:val="18"/>
      </w:rPr>
      <w:t>2</w:t>
    </w:r>
    <w:r w:rsidRPr="00FB525B">
      <w:rPr>
        <w:b/>
        <w:sz w:val="18"/>
      </w:rPr>
      <w:fldChar w:fldCharType="end"/>
    </w:r>
    <w:r>
      <w:rPr>
        <w:b/>
        <w:sz w:val="18"/>
      </w:rPr>
      <w:tab/>
    </w:r>
    <w:r>
      <w:t>GE.16-11721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5B" w:rsidRPr="00FB525B" w:rsidRDefault="00FB525B" w:rsidP="00FB525B">
    <w:pPr>
      <w:pStyle w:val="Footer"/>
      <w:tabs>
        <w:tab w:val="right" w:pos="9638"/>
      </w:tabs>
      <w:rPr>
        <w:b/>
        <w:sz w:val="18"/>
      </w:rPr>
    </w:pPr>
    <w:r>
      <w:t>GE.16-11721</w:t>
    </w:r>
    <w:r>
      <w:tab/>
    </w:r>
    <w:r w:rsidRPr="00FB525B">
      <w:rPr>
        <w:b/>
        <w:sz w:val="18"/>
      </w:rPr>
      <w:fldChar w:fldCharType="begin"/>
    </w:r>
    <w:r w:rsidRPr="00FB525B">
      <w:rPr>
        <w:b/>
        <w:sz w:val="18"/>
      </w:rPr>
      <w:instrText xml:space="preserve"> PAGE  \* MERGEFORMAT </w:instrText>
    </w:r>
    <w:r w:rsidRPr="00FB525B">
      <w:rPr>
        <w:b/>
        <w:sz w:val="18"/>
      </w:rPr>
      <w:fldChar w:fldCharType="separate"/>
    </w:r>
    <w:r w:rsidR="004B17D2">
      <w:rPr>
        <w:b/>
        <w:noProof/>
        <w:sz w:val="18"/>
      </w:rPr>
      <w:t>3</w:t>
    </w:r>
    <w:r w:rsidRPr="00FB52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FB525B" w:rsidRDefault="00FB525B" w:rsidP="00FB525B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410AF59C" wp14:editId="5C7D3404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16-11721  (F)</w:t>
    </w:r>
    <w:r w:rsidR="009C07B5">
      <w:rPr>
        <w:sz w:val="20"/>
      </w:rPr>
      <w:t xml:space="preserve">    270716    280716</w:t>
    </w:r>
    <w:r>
      <w:rPr>
        <w:sz w:val="20"/>
      </w:rPr>
      <w:br/>
    </w:r>
    <w:r w:rsidRPr="00FB525B">
      <w:rPr>
        <w:rFonts w:ascii="C39T30Lfz" w:hAnsi="C39T30Lfz"/>
        <w:sz w:val="56"/>
      </w:rPr>
      <w:t></w:t>
    </w:r>
    <w:r w:rsidRPr="00FB525B">
      <w:rPr>
        <w:rFonts w:ascii="C39T30Lfz" w:hAnsi="C39T30Lfz"/>
        <w:sz w:val="56"/>
      </w:rPr>
      <w:t></w:t>
    </w:r>
    <w:r w:rsidRPr="00FB525B">
      <w:rPr>
        <w:rFonts w:ascii="C39T30Lfz" w:hAnsi="C39T30Lfz"/>
        <w:sz w:val="56"/>
      </w:rPr>
      <w:t></w:t>
    </w:r>
    <w:r w:rsidRPr="00FB525B">
      <w:rPr>
        <w:rFonts w:ascii="C39T30Lfz" w:hAnsi="C39T30Lfz"/>
        <w:sz w:val="56"/>
      </w:rPr>
      <w:t></w:t>
    </w:r>
    <w:r w:rsidRPr="00FB525B">
      <w:rPr>
        <w:rFonts w:ascii="C39T30Lfz" w:hAnsi="C39T30Lfz"/>
        <w:sz w:val="56"/>
      </w:rPr>
      <w:t></w:t>
    </w:r>
    <w:r w:rsidRPr="00FB525B">
      <w:rPr>
        <w:rFonts w:ascii="C39T30Lfz" w:hAnsi="C39T30Lfz"/>
        <w:sz w:val="56"/>
      </w:rPr>
      <w:t></w:t>
    </w:r>
    <w:r w:rsidRPr="00FB525B">
      <w:rPr>
        <w:rFonts w:ascii="C39T30Lfz" w:hAnsi="C39T30Lfz"/>
        <w:sz w:val="56"/>
      </w:rPr>
      <w:t></w:t>
    </w:r>
    <w:r w:rsidRPr="00FB525B">
      <w:rPr>
        <w:rFonts w:ascii="C39T30Lfz" w:hAnsi="C39T30Lfz"/>
        <w:sz w:val="56"/>
      </w:rPr>
      <w:t></w:t>
    </w:r>
    <w:r w:rsidRPr="00FB525B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15/AC.1/2016/3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15/AC.1/2016/3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D4D" w:rsidRPr="00AC3823" w:rsidRDefault="00185D4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85D4D" w:rsidRPr="00AC3823" w:rsidRDefault="00185D4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85D4D" w:rsidRPr="00AC3823" w:rsidRDefault="00185D4D">
      <w:pPr>
        <w:spacing w:line="240" w:lineRule="auto"/>
        <w:rPr>
          <w:sz w:val="2"/>
          <w:szCs w:val="2"/>
        </w:rPr>
      </w:pPr>
    </w:p>
  </w:footnote>
  <w:footnote w:id="2">
    <w:p w:rsidR="00FB525B" w:rsidRDefault="00FB525B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D3080E">
        <w:t>Conformément au programme de travail du Comité des transports intérieurs pour 2016-2017 (ECE/TRANS/2016/28/Add.1 (9.2)).</w:t>
      </w:r>
    </w:p>
  </w:footnote>
  <w:footnote w:id="3">
    <w:p w:rsidR="00FB525B" w:rsidRDefault="00FB525B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D3080E">
        <w:t>Diffusé par l’Organisation intergouvernementale pour les transports internationaux ferroviaires (OTIF) sous la cote OTIF/RID/RC/2016/34.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5B" w:rsidRPr="00FB525B" w:rsidRDefault="00FB525B">
    <w:pPr>
      <w:pStyle w:val="Header"/>
    </w:pPr>
    <w:r>
      <w:t>ECE/TRANS/WP.15/AC.1/2016/34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5B" w:rsidRPr="00FB525B" w:rsidRDefault="00FB525B" w:rsidP="00FB525B">
    <w:pPr>
      <w:pStyle w:val="Header"/>
      <w:jc w:val="right"/>
    </w:pPr>
    <w:r>
      <w:t>ECE/TRANS/WP.15/AC.1/2016/34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4EC4686B"/>
    <w:multiLevelType w:val="hybridMultilevel"/>
    <w:tmpl w:val="5F001E02"/>
    <w:lvl w:ilvl="0" w:tplc="100C000F">
      <w:start w:val="1"/>
      <w:numFmt w:val="decimal"/>
      <w:lvlText w:val="%1."/>
      <w:lvlJc w:val="left"/>
      <w:pPr>
        <w:ind w:left="1854" w:hanging="360"/>
      </w:pPr>
    </w:lvl>
    <w:lvl w:ilvl="1" w:tplc="100C0019" w:tentative="1">
      <w:start w:val="1"/>
      <w:numFmt w:val="lowerLetter"/>
      <w:lvlText w:val="%2."/>
      <w:lvlJc w:val="left"/>
      <w:pPr>
        <w:ind w:left="2574" w:hanging="360"/>
      </w:pPr>
    </w:lvl>
    <w:lvl w:ilvl="2" w:tplc="100C001B" w:tentative="1">
      <w:start w:val="1"/>
      <w:numFmt w:val="lowerRoman"/>
      <w:lvlText w:val="%3."/>
      <w:lvlJc w:val="right"/>
      <w:pPr>
        <w:ind w:left="3294" w:hanging="180"/>
      </w:pPr>
    </w:lvl>
    <w:lvl w:ilvl="3" w:tplc="100C000F" w:tentative="1">
      <w:start w:val="1"/>
      <w:numFmt w:val="decimal"/>
      <w:lvlText w:val="%4."/>
      <w:lvlJc w:val="left"/>
      <w:pPr>
        <w:ind w:left="4014" w:hanging="360"/>
      </w:pPr>
    </w:lvl>
    <w:lvl w:ilvl="4" w:tplc="100C0019" w:tentative="1">
      <w:start w:val="1"/>
      <w:numFmt w:val="lowerLetter"/>
      <w:lvlText w:val="%5."/>
      <w:lvlJc w:val="left"/>
      <w:pPr>
        <w:ind w:left="4734" w:hanging="360"/>
      </w:pPr>
    </w:lvl>
    <w:lvl w:ilvl="5" w:tplc="100C001B" w:tentative="1">
      <w:start w:val="1"/>
      <w:numFmt w:val="lowerRoman"/>
      <w:lvlText w:val="%6."/>
      <w:lvlJc w:val="right"/>
      <w:pPr>
        <w:ind w:left="5454" w:hanging="180"/>
      </w:pPr>
    </w:lvl>
    <w:lvl w:ilvl="6" w:tplc="100C000F" w:tentative="1">
      <w:start w:val="1"/>
      <w:numFmt w:val="decimal"/>
      <w:lvlText w:val="%7."/>
      <w:lvlJc w:val="left"/>
      <w:pPr>
        <w:ind w:left="6174" w:hanging="360"/>
      </w:pPr>
    </w:lvl>
    <w:lvl w:ilvl="7" w:tplc="100C0019" w:tentative="1">
      <w:start w:val="1"/>
      <w:numFmt w:val="lowerLetter"/>
      <w:lvlText w:val="%8."/>
      <w:lvlJc w:val="left"/>
      <w:pPr>
        <w:ind w:left="6894" w:hanging="360"/>
      </w:pPr>
    </w:lvl>
    <w:lvl w:ilvl="8" w:tplc="10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639B0DA4"/>
    <w:multiLevelType w:val="hybridMultilevel"/>
    <w:tmpl w:val="88B85C02"/>
    <w:lvl w:ilvl="0" w:tplc="E02A4BF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4D"/>
    <w:rsid w:val="00017F94"/>
    <w:rsid w:val="00023842"/>
    <w:rsid w:val="000334F9"/>
    <w:rsid w:val="0007796D"/>
    <w:rsid w:val="000A1619"/>
    <w:rsid w:val="000B7790"/>
    <w:rsid w:val="000F0655"/>
    <w:rsid w:val="00111F2F"/>
    <w:rsid w:val="0014365E"/>
    <w:rsid w:val="00143C66"/>
    <w:rsid w:val="00176178"/>
    <w:rsid w:val="00185D4D"/>
    <w:rsid w:val="001F525A"/>
    <w:rsid w:val="00223272"/>
    <w:rsid w:val="0024779E"/>
    <w:rsid w:val="00257168"/>
    <w:rsid w:val="002744B8"/>
    <w:rsid w:val="002832AC"/>
    <w:rsid w:val="002D7C93"/>
    <w:rsid w:val="00304F32"/>
    <w:rsid w:val="00305801"/>
    <w:rsid w:val="003916DE"/>
    <w:rsid w:val="004054CC"/>
    <w:rsid w:val="00441C3B"/>
    <w:rsid w:val="00446FE5"/>
    <w:rsid w:val="00452396"/>
    <w:rsid w:val="004837D8"/>
    <w:rsid w:val="004B17D2"/>
    <w:rsid w:val="004E468C"/>
    <w:rsid w:val="005264FB"/>
    <w:rsid w:val="005505B7"/>
    <w:rsid w:val="00573BE5"/>
    <w:rsid w:val="00586ED3"/>
    <w:rsid w:val="00596AA9"/>
    <w:rsid w:val="006743E5"/>
    <w:rsid w:val="006A0A76"/>
    <w:rsid w:val="0071601D"/>
    <w:rsid w:val="00716A41"/>
    <w:rsid w:val="007A62E6"/>
    <w:rsid w:val="007F20FA"/>
    <w:rsid w:val="0080684C"/>
    <w:rsid w:val="00871C75"/>
    <w:rsid w:val="008776DC"/>
    <w:rsid w:val="009705C8"/>
    <w:rsid w:val="009939FF"/>
    <w:rsid w:val="009C07B5"/>
    <w:rsid w:val="009C1CF4"/>
    <w:rsid w:val="009F6B74"/>
    <w:rsid w:val="00A30353"/>
    <w:rsid w:val="00AC3823"/>
    <w:rsid w:val="00AE323C"/>
    <w:rsid w:val="00AF0CB5"/>
    <w:rsid w:val="00B00181"/>
    <w:rsid w:val="00B00B0D"/>
    <w:rsid w:val="00B56E7A"/>
    <w:rsid w:val="00B765F7"/>
    <w:rsid w:val="00BA0CA9"/>
    <w:rsid w:val="00BD0B97"/>
    <w:rsid w:val="00C02897"/>
    <w:rsid w:val="00CB7F1E"/>
    <w:rsid w:val="00D3439C"/>
    <w:rsid w:val="00DB1831"/>
    <w:rsid w:val="00DD3BFD"/>
    <w:rsid w:val="00DF6678"/>
    <w:rsid w:val="00E7234A"/>
    <w:rsid w:val="00E85C74"/>
    <w:rsid w:val="00EA6547"/>
    <w:rsid w:val="00EF2E22"/>
    <w:rsid w:val="00F35BAF"/>
    <w:rsid w:val="00F660DF"/>
    <w:rsid w:val="00F94664"/>
    <w:rsid w:val="00F9573C"/>
    <w:rsid w:val="00F95C08"/>
    <w:rsid w:val="00FB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FB525B"/>
    <w:rPr>
      <w:rFonts w:ascii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FB525B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1345</Words>
  <Characters>7673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ECE/TRANS/WP.15/AC.1/2016/34</vt:lpstr>
      <vt:lpstr>ECE/TRANS/WP.15/AC.1/2016/34</vt:lpstr>
    </vt:vector>
  </TitlesOfParts>
  <Company>DCM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ECE/TRANS/WP.15/AC.1/2016/34</dc:title>
  <dc:subject>Final</dc:subject>
  <dc:creator>Fabienne Crelier</dc:creator>
  <cp:lastModifiedBy>barrio-champeau</cp:lastModifiedBy>
  <cp:revision>2</cp:revision>
  <cp:lastPrinted>2016-07-28T12:56:00Z</cp:lastPrinted>
  <dcterms:created xsi:type="dcterms:W3CDTF">2016-07-29T08:00:00Z</dcterms:created>
  <dcterms:modified xsi:type="dcterms:W3CDTF">2016-07-29T08:00:00Z</dcterms:modified>
</cp:coreProperties>
</file>