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2" w:rsidRPr="00CC229A" w:rsidRDefault="009D6F22" w:rsidP="009D6F22">
      <w:pPr>
        <w:spacing w:line="240" w:lineRule="auto"/>
        <w:rPr>
          <w:sz w:val="2"/>
          <w:lang w:val="fr-CH"/>
        </w:rPr>
        <w:sectPr w:rsidR="009D6F22" w:rsidRPr="00CC229A" w:rsidSect="009D6F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9D6F22" w:rsidRPr="00CC229A" w:rsidRDefault="009D6F22" w:rsidP="00F057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C229A">
        <w:rPr>
          <w:lang w:val="fr-CH"/>
        </w:rPr>
        <w:lastRenderedPageBreak/>
        <w:t>Commission économique pour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Europe</w:t>
      </w:r>
    </w:p>
    <w:p w:rsidR="00F05723" w:rsidRPr="00CC229A" w:rsidRDefault="00F05723" w:rsidP="00F057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9D6F22" w:rsidRPr="00CC229A" w:rsidRDefault="009D6F22" w:rsidP="00F057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CC229A">
        <w:rPr>
          <w:b w:val="0"/>
          <w:bCs/>
          <w:lang w:val="fr-CH"/>
        </w:rPr>
        <w:t>Comité des transports intérieurs</w:t>
      </w:r>
    </w:p>
    <w:p w:rsidR="00F05723" w:rsidRPr="00CC229A" w:rsidRDefault="00F05723" w:rsidP="00F05723">
      <w:pPr>
        <w:spacing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C229A">
        <w:rPr>
          <w:lang w:val="fr-CH"/>
        </w:rPr>
        <w:t xml:space="preserve">Groupe de travail des transports </w:t>
      </w:r>
      <w:r w:rsidRPr="00CC229A">
        <w:rPr>
          <w:lang w:val="fr-CH"/>
        </w:rPr>
        <w:br/>
        <w:t>de marchandises dangereuses</w:t>
      </w:r>
    </w:p>
    <w:p w:rsidR="00F05723" w:rsidRPr="00CC229A" w:rsidRDefault="00F05723" w:rsidP="00F057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C229A">
        <w:rPr>
          <w:lang w:val="fr-CH"/>
        </w:rPr>
        <w:t>Réunion commune de la Commission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experts </w:t>
      </w:r>
      <w:r w:rsidRPr="00CC229A">
        <w:rPr>
          <w:lang w:val="fr-CH"/>
        </w:rPr>
        <w:br/>
        <w:t xml:space="preserve">du RID et du Groupe de travail des transports </w:t>
      </w:r>
      <w:r w:rsidRPr="00CC229A">
        <w:rPr>
          <w:lang w:val="fr-CH"/>
        </w:rPr>
        <w:br/>
        <w:t>de marchandises dangereuses</w:t>
      </w:r>
    </w:p>
    <w:p w:rsidR="00F05723" w:rsidRPr="00CC229A" w:rsidRDefault="00F05723" w:rsidP="00F0572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C229A">
        <w:rPr>
          <w:lang w:val="fr-CH"/>
        </w:rPr>
        <w:t xml:space="preserve">Berne, 14-18 mars 2016 </w:t>
      </w:r>
    </w:p>
    <w:p w:rsidR="00F05723" w:rsidRPr="00CC229A" w:rsidRDefault="00F05723" w:rsidP="00F0572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C229A">
        <w:rPr>
          <w:lang w:val="fr-CH"/>
        </w:rPr>
        <w:t>Point 5 a)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ordre du jour provisoire</w:t>
      </w:r>
    </w:p>
    <w:p w:rsidR="00F05723" w:rsidRPr="00CC229A" w:rsidRDefault="00F05723" w:rsidP="00F057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C229A">
        <w:rPr>
          <w:lang w:val="fr-CH"/>
        </w:rPr>
        <w:t>Propositions diverses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amendements au RID/ADR/ADN : </w:t>
      </w:r>
      <w:r w:rsidRPr="00CC229A">
        <w:rPr>
          <w:lang w:val="fr-CH"/>
        </w:rPr>
        <w:br/>
        <w:t>Questions en suspens</w:t>
      </w:r>
    </w:p>
    <w:p w:rsidR="00F05723" w:rsidRPr="00CC229A" w:rsidRDefault="00F05723" w:rsidP="00F05723">
      <w:pPr>
        <w:spacing w:line="120" w:lineRule="exact"/>
        <w:rPr>
          <w:sz w:val="10"/>
          <w:lang w:val="fr-CH"/>
        </w:rPr>
      </w:pPr>
    </w:p>
    <w:p w:rsidR="00F05723" w:rsidRPr="00CC229A" w:rsidRDefault="00F05723" w:rsidP="00F05723">
      <w:pPr>
        <w:spacing w:line="120" w:lineRule="exact"/>
        <w:rPr>
          <w:sz w:val="10"/>
          <w:lang w:val="fr-CH"/>
        </w:rPr>
      </w:pPr>
    </w:p>
    <w:p w:rsidR="00F05723" w:rsidRPr="00CC229A" w:rsidRDefault="00F05723" w:rsidP="00F05723">
      <w:pPr>
        <w:spacing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C229A">
        <w:rPr>
          <w:lang w:val="fr-CH"/>
        </w:rPr>
        <w:tab/>
      </w:r>
      <w:r w:rsidRPr="00CC229A">
        <w:rPr>
          <w:lang w:val="fr-CH"/>
        </w:rPr>
        <w:tab/>
        <w:t>Mise à jour des références aux instruments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Union européenne (matières toxiques, matières corrosives, </w:t>
      </w:r>
      <w:r w:rsidRPr="00CC229A">
        <w:rPr>
          <w:lang w:val="fr-CH"/>
        </w:rPr>
        <w:br/>
        <w:t>matières dangereuses pour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environnement aquatique) </w:t>
      </w:r>
    </w:p>
    <w:p w:rsidR="00F05723" w:rsidRPr="00CC229A" w:rsidRDefault="00F05723" w:rsidP="00F0572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F0572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F057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C229A">
        <w:rPr>
          <w:lang w:val="fr-CH"/>
        </w:rPr>
        <w:tab/>
      </w:r>
      <w:r w:rsidRPr="00CC229A">
        <w:rPr>
          <w:lang w:val="fr-CH"/>
        </w:rPr>
        <w:tab/>
        <w:t>Communication du Conseil européen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industrie chimique (CEFIC)</w:t>
      </w:r>
      <w:r w:rsidRPr="00CC229A">
        <w:rPr>
          <w:rStyle w:val="FootnoteReference"/>
          <w:b w:val="0"/>
          <w:bCs/>
          <w:sz w:val="20"/>
          <w:szCs w:val="20"/>
          <w:lang w:val="fr-CH"/>
        </w:rPr>
        <w:footnoteReference w:id="1"/>
      </w:r>
      <w:r w:rsidRPr="00CC229A">
        <w:rPr>
          <w:b w:val="0"/>
          <w:bCs/>
          <w:sz w:val="20"/>
          <w:szCs w:val="20"/>
          <w:vertAlign w:val="superscript"/>
          <w:lang w:val="fr-CH"/>
        </w:rPr>
        <w:t>, </w:t>
      </w:r>
      <w:r w:rsidRPr="00CC229A">
        <w:rPr>
          <w:rStyle w:val="FootnoteReference"/>
          <w:b w:val="0"/>
          <w:bCs/>
          <w:sz w:val="20"/>
          <w:szCs w:val="20"/>
          <w:lang w:val="fr-CH"/>
        </w:rPr>
        <w:footnoteReference w:id="2"/>
      </w:r>
    </w:p>
    <w:p w:rsidR="006E63A3" w:rsidRDefault="006E63A3" w:rsidP="006E63A3">
      <w:pPr>
        <w:pStyle w:val="SingleTxt"/>
        <w:rPr>
          <w:lang w:val="fr-CH"/>
        </w:rPr>
      </w:pPr>
      <w:r>
        <w:rPr>
          <w:lang w:val="fr-CH"/>
        </w:rPr>
        <w:br w:type="page"/>
      </w: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05723" w:rsidRPr="00CC229A" w:rsidTr="00F0572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05723" w:rsidRPr="00CC229A" w:rsidRDefault="00F05723" w:rsidP="00F05723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fr-CH"/>
              </w:rPr>
            </w:pPr>
            <w:r w:rsidRPr="00CC229A">
              <w:rPr>
                <w:i/>
                <w:sz w:val="24"/>
                <w:lang w:val="fr-CH"/>
              </w:rPr>
              <w:lastRenderedPageBreak/>
              <w:tab/>
              <w:t>Résumé</w:t>
            </w:r>
          </w:p>
        </w:tc>
      </w:tr>
      <w:tr w:rsidR="00F05723" w:rsidRPr="00CC229A" w:rsidTr="00F05723">
        <w:tc>
          <w:tcPr>
            <w:tcW w:w="10051" w:type="dxa"/>
            <w:shd w:val="clear" w:color="auto" w:fill="auto"/>
          </w:tcPr>
          <w:p w:rsidR="00F05723" w:rsidRPr="00CC229A" w:rsidRDefault="00F05723" w:rsidP="00CC229A">
            <w:pPr>
              <w:pStyle w:val="SingleTxt"/>
              <w:ind w:left="3182" w:hanging="2347"/>
              <w:rPr>
                <w:lang w:val="fr-CH"/>
              </w:rPr>
            </w:pPr>
            <w:r w:rsidRPr="00CC229A">
              <w:rPr>
                <w:b/>
                <w:bCs/>
                <w:lang w:val="fr-CH"/>
              </w:rPr>
              <w:t>Résumé analytique :</w:t>
            </w:r>
            <w:r w:rsidRPr="00CC229A">
              <w:rPr>
                <w:lang w:val="fr-CH"/>
              </w:rPr>
              <w:tab/>
            </w:r>
            <w:r w:rsidRPr="0059355B">
              <w:rPr>
                <w:spacing w:val="3"/>
                <w:lang w:val="fr-CH"/>
              </w:rPr>
              <w:t>Le présent document est une version enrichie du document de travail ECE/TRANS/WP.15/AC.1/2015/11, lequel répond au document  ECE/TRANS/WP.15/AC.1/2014/39, présenté à la Réunion par le secrétariat  en septembre 2014 pour mettre à jour les références qui renvoient dans l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>ADR/RID/ADN à des règlements et directives de l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 xml:space="preserve">Union européenne. Compte tenu du manque de cohérence </w:t>
            </w:r>
            <w:r w:rsidR="00CC229A" w:rsidRPr="0059355B">
              <w:rPr>
                <w:spacing w:val="3"/>
                <w:lang w:val="fr-CH"/>
              </w:rPr>
              <w:t>dans</w:t>
            </w:r>
            <w:r w:rsidRPr="0059355B">
              <w:rPr>
                <w:spacing w:val="3"/>
                <w:lang w:val="fr-CH"/>
              </w:rPr>
              <w:t xml:space="preserve"> la mise en œuvre des règlements nationaux ou régionaux relatifs à la classification dans les domaines de la distribution et de l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>utilisation, le Conseil européen de l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>industrie chimique (CEFIC) propose que la référence au règlement 1272/2008/CE (règlement CLP) relatif à la classification, à l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>étiquetage et à l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 xml:space="preserve">emballage des substances et des mélanges soit supprimée. Toutes les autres références pourraient être remplacées par une référence au Système général harmonisé </w:t>
            </w:r>
            <w:r w:rsidR="006E63A3">
              <w:rPr>
                <w:spacing w:val="3"/>
                <w:lang w:val="fr-CH"/>
              </w:rPr>
              <w:t xml:space="preserve">(SGH) </w:t>
            </w:r>
            <w:r w:rsidRPr="0059355B">
              <w:rPr>
                <w:spacing w:val="3"/>
                <w:lang w:val="fr-CH"/>
              </w:rPr>
              <w:t>de classification et d</w:t>
            </w:r>
            <w:r w:rsidR="00CC229A" w:rsidRPr="0059355B">
              <w:rPr>
                <w:spacing w:val="3"/>
                <w:lang w:val="fr-CH"/>
              </w:rPr>
              <w:t>’</w:t>
            </w:r>
            <w:r w:rsidRPr="0059355B">
              <w:rPr>
                <w:spacing w:val="3"/>
                <w:lang w:val="fr-CH"/>
              </w:rPr>
              <w:t>étiquetage des produits chimiques</w:t>
            </w:r>
            <w:r w:rsidR="00CC229A" w:rsidRPr="0059355B">
              <w:rPr>
                <w:spacing w:val="3"/>
                <w:lang w:val="fr-CH"/>
              </w:rPr>
              <w:t>,</w:t>
            </w:r>
            <w:r w:rsidRPr="0059355B">
              <w:rPr>
                <w:spacing w:val="3"/>
                <w:lang w:val="fr-CH"/>
              </w:rPr>
              <w:t xml:space="preserve"> afin </w:t>
            </w:r>
            <w:r w:rsidR="00CC229A" w:rsidRPr="0059355B">
              <w:rPr>
                <w:spacing w:val="3"/>
                <w:lang w:val="fr-CH"/>
              </w:rPr>
              <w:t xml:space="preserve">d’assurer la </w:t>
            </w:r>
            <w:r w:rsidRPr="0059355B">
              <w:rPr>
                <w:spacing w:val="3"/>
                <w:lang w:val="fr-CH"/>
              </w:rPr>
              <w:t>conformité avec le classement dans le domaine des transports</w:t>
            </w:r>
            <w:r w:rsidR="00CC229A" w:rsidRPr="0059355B">
              <w:rPr>
                <w:spacing w:val="3"/>
                <w:lang w:val="fr-CH"/>
              </w:rPr>
              <w:t xml:space="preserve">, </w:t>
            </w:r>
            <w:r w:rsidRPr="0059355B">
              <w:rPr>
                <w:spacing w:val="3"/>
                <w:lang w:val="fr-CH"/>
              </w:rPr>
              <w:t xml:space="preserve">plutôt </w:t>
            </w:r>
            <w:r w:rsidR="00CC229A" w:rsidRPr="0059355B">
              <w:rPr>
                <w:spacing w:val="3"/>
                <w:lang w:val="fr-CH"/>
              </w:rPr>
              <w:t xml:space="preserve">qu’être supprimées </w:t>
            </w:r>
            <w:r w:rsidRPr="0059355B">
              <w:rPr>
                <w:spacing w:val="3"/>
                <w:lang w:val="fr-CH"/>
              </w:rPr>
              <w:t>entièrement.</w:t>
            </w:r>
          </w:p>
        </w:tc>
      </w:tr>
      <w:tr w:rsidR="00F05723" w:rsidRPr="00CC229A" w:rsidTr="00F05723">
        <w:tc>
          <w:tcPr>
            <w:tcW w:w="10051" w:type="dxa"/>
            <w:shd w:val="clear" w:color="auto" w:fill="auto"/>
          </w:tcPr>
          <w:p w:rsidR="00F05723" w:rsidRPr="00CC229A" w:rsidRDefault="00F05723" w:rsidP="00CC229A">
            <w:pPr>
              <w:pStyle w:val="SingleTxt"/>
              <w:ind w:left="3182" w:hanging="2347"/>
              <w:rPr>
                <w:lang w:val="fr-CH"/>
              </w:rPr>
            </w:pPr>
            <w:r w:rsidRPr="00CC229A">
              <w:rPr>
                <w:b/>
                <w:bCs/>
                <w:lang w:val="fr-CH"/>
              </w:rPr>
              <w:t>Mesure à prendre :</w:t>
            </w:r>
            <w:r w:rsidRPr="00CC229A">
              <w:rPr>
                <w:lang w:val="fr-CH"/>
              </w:rPr>
              <w:t xml:space="preserve"> </w:t>
            </w:r>
            <w:r w:rsidRPr="00CC229A">
              <w:rPr>
                <w:lang w:val="fr-CH"/>
              </w:rPr>
              <w:tab/>
            </w:r>
            <w:r w:rsidR="00CC229A" w:rsidRPr="00CC229A">
              <w:rPr>
                <w:lang w:val="fr-CH"/>
              </w:rPr>
              <w:tab/>
            </w:r>
            <w:r w:rsidRPr="00CC229A">
              <w:rPr>
                <w:lang w:val="fr-CH"/>
              </w:rPr>
              <w:t>Remplacer les références qui figurent aux paragraphes 2.2.61.</w:t>
            </w:r>
            <w:r w:rsidR="00CC229A" w:rsidRPr="00CC229A">
              <w:rPr>
                <w:lang w:val="fr-CH"/>
              </w:rPr>
              <w:t>1.14, 2.2.8.1.9 et 2.2.9.1.10.5 </w:t>
            </w:r>
            <w:r w:rsidRPr="00CC229A">
              <w:rPr>
                <w:lang w:val="fr-CH"/>
              </w:rPr>
              <w:t>b). Supprimer le paragraphe 2.2.9.1.10.5 a)</w:t>
            </w:r>
            <w:r w:rsidR="00CC229A" w:rsidRPr="00CC229A">
              <w:rPr>
                <w:lang w:val="fr-CH"/>
              </w:rPr>
              <w:t>.</w:t>
            </w:r>
          </w:p>
        </w:tc>
      </w:tr>
      <w:tr w:rsidR="00F05723" w:rsidRPr="00CC229A" w:rsidTr="00F05723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05723" w:rsidRPr="00CC229A" w:rsidRDefault="00F05723" w:rsidP="00F05723">
            <w:pPr>
              <w:pStyle w:val="SingleTxt"/>
              <w:ind w:left="3182" w:hanging="2347"/>
              <w:rPr>
                <w:lang w:val="fr-CH"/>
              </w:rPr>
            </w:pPr>
            <w:r w:rsidRPr="00CC229A">
              <w:rPr>
                <w:b/>
                <w:bCs/>
                <w:lang w:val="fr-CH"/>
              </w:rPr>
              <w:t>Documents de référence :</w:t>
            </w:r>
            <w:r w:rsidRPr="00CC229A">
              <w:rPr>
                <w:lang w:val="fr-CH"/>
              </w:rPr>
              <w:tab/>
              <w:t>ECE/TRANS/WP.15/AC.1/2014/39, soumis à la session de septembre 2014 de la Réunion commune, et ECE/TRANS/</w:t>
            </w:r>
            <w:r w:rsidR="00CC229A" w:rsidRPr="00CC229A">
              <w:rPr>
                <w:lang w:val="fr-CH"/>
              </w:rPr>
              <w:br/>
            </w:r>
            <w:r w:rsidRPr="00CC229A">
              <w:rPr>
                <w:lang w:val="fr-CH"/>
              </w:rPr>
              <w:t>WP.15/AC.1/2015/11, soumis à la session de mars 2015 de la Réunion commune.</w:t>
            </w:r>
          </w:p>
        </w:tc>
      </w:tr>
      <w:tr w:rsidR="00F05723" w:rsidRPr="00CC229A" w:rsidTr="00F0572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F05723" w:rsidRPr="00CC229A" w:rsidRDefault="00F05723" w:rsidP="00F05723">
            <w:pPr>
              <w:pStyle w:val="SingleTxt"/>
              <w:rPr>
                <w:lang w:val="fr-CH"/>
              </w:rPr>
            </w:pPr>
          </w:p>
        </w:tc>
      </w:tr>
    </w:tbl>
    <w:p w:rsidR="00F05723" w:rsidRPr="00CC229A" w:rsidRDefault="00F05723" w:rsidP="00F05723">
      <w:pPr>
        <w:pStyle w:val="SingleTxt"/>
        <w:spacing w:after="0"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SingleTxt"/>
        <w:spacing w:after="0" w:line="120" w:lineRule="exact"/>
        <w:rPr>
          <w:sz w:val="10"/>
          <w:lang w:val="fr-CH"/>
        </w:rPr>
      </w:pPr>
    </w:p>
    <w:p w:rsidR="00F05723" w:rsidRPr="00CC229A" w:rsidRDefault="00F05723" w:rsidP="00CC229A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C229A">
        <w:rPr>
          <w:lang w:val="fr-CH"/>
        </w:rPr>
        <w:t>Le CEFIC considère qu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il est difficile,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une manière générale, de faire référence dans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ADR/RID/ADN à des règlements ou directives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Union européenne car</w:t>
      </w:r>
      <w:r w:rsidR="00CC229A" w:rsidRPr="00CC229A">
        <w:rPr>
          <w:lang w:val="fr-CH"/>
        </w:rPr>
        <w:t xml:space="preserve"> leur validité est limitée à 27 </w:t>
      </w:r>
      <w:r w:rsidRPr="00CC229A">
        <w:rPr>
          <w:lang w:val="fr-CH"/>
        </w:rPr>
        <w:t>pays.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ADR/RID</w:t>
      </w:r>
      <w:r w:rsidR="00CC229A" w:rsidRPr="00CC229A">
        <w:rPr>
          <w:lang w:val="fr-CH"/>
        </w:rPr>
        <w:t>/ADN a été signé par plus de 48 </w:t>
      </w:r>
      <w:r w:rsidRPr="00CC229A">
        <w:rPr>
          <w:lang w:val="fr-CH"/>
        </w:rPr>
        <w:t>pays (en fonction du mode de transport concerné)</w:t>
      </w:r>
      <w:r w:rsidR="00CC229A" w:rsidRPr="00CC229A">
        <w:rPr>
          <w:lang w:val="fr-CH"/>
        </w:rPr>
        <w:t>; par conséquent,</w:t>
      </w:r>
      <w:r w:rsidRPr="00CC229A">
        <w:rPr>
          <w:lang w:val="fr-CH"/>
        </w:rPr>
        <w:t xml:space="preserve"> le fait de se référer à ces règles pour le classement des marchandises est un fardeau supplémentaire pour les pays qui ne font pas partie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Union européenne. De plus, lorsque ces pays n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utilisent pas les informations issues </w:t>
      </w:r>
      <w:r w:rsidR="00CC229A" w:rsidRPr="00CC229A">
        <w:rPr>
          <w:lang w:val="fr-CH"/>
        </w:rPr>
        <w:t>desdites règles</w:t>
      </w:r>
      <w:r w:rsidRPr="00CC229A">
        <w:rPr>
          <w:lang w:val="fr-CH"/>
        </w:rPr>
        <w:t>, il en résulte des divergences entre les classements appliqués dans différents pays.</w:t>
      </w:r>
    </w:p>
    <w:p w:rsidR="00F05723" w:rsidRPr="00CC229A" w:rsidRDefault="00F05723" w:rsidP="00CC229A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C229A">
        <w:rPr>
          <w:lang w:val="fr-CH"/>
        </w:rPr>
        <w:t>Un autre problème majeur lié à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utilisation du règlement CLP pour les questions de transport réside dans l</w:t>
      </w:r>
      <w:r w:rsidR="00CC229A" w:rsidRPr="00CC229A">
        <w:rPr>
          <w:lang w:val="fr-CH"/>
        </w:rPr>
        <w:t>’</w:t>
      </w:r>
      <w:r w:rsidR="006E63A3">
        <w:rPr>
          <w:lang w:val="fr-CH"/>
        </w:rPr>
        <w:t>annexe </w:t>
      </w:r>
      <w:r w:rsidRPr="00CC229A">
        <w:rPr>
          <w:lang w:val="fr-CH"/>
        </w:rPr>
        <w:t>VI de ce même règlement, qui contient des classements de substances juridiquement contraignants. Ces classements ne sont pas harmonisé</w:t>
      </w:r>
      <w:r w:rsidR="00CC229A" w:rsidRPr="00CC229A">
        <w:rPr>
          <w:lang w:val="fr-CH"/>
        </w:rPr>
        <w:t>s avec les listes de classement</w:t>
      </w:r>
      <w:r w:rsidRPr="00CC229A">
        <w:rPr>
          <w:lang w:val="fr-CH"/>
        </w:rPr>
        <w:t xml:space="preserve"> juridiquement contraignant</w:t>
      </w:r>
      <w:r w:rsidR="00CC229A" w:rsidRPr="00CC229A">
        <w:rPr>
          <w:lang w:val="fr-CH"/>
        </w:rPr>
        <w:t>e</w:t>
      </w:r>
      <w:r w:rsidRPr="00CC229A">
        <w:rPr>
          <w:lang w:val="fr-CH"/>
        </w:rPr>
        <w:t>s appliqué</w:t>
      </w:r>
      <w:r w:rsidR="00CC229A" w:rsidRPr="00CC229A">
        <w:rPr>
          <w:lang w:val="fr-CH"/>
        </w:rPr>
        <w:t>e</w:t>
      </w:r>
      <w:r w:rsidRPr="00CC229A">
        <w:rPr>
          <w:lang w:val="fr-CH"/>
        </w:rPr>
        <w:t>s dans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autres régions ni avec les rub</w:t>
      </w:r>
      <w:r w:rsidR="00CC229A" w:rsidRPr="00CC229A">
        <w:rPr>
          <w:lang w:val="fr-CH"/>
        </w:rPr>
        <w:t>riques du tableau A du chapitre </w:t>
      </w:r>
      <w:r w:rsidRPr="00CC229A">
        <w:rPr>
          <w:lang w:val="fr-CH"/>
        </w:rPr>
        <w:t>3.2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ADR/RID/ADN. L</w:t>
      </w:r>
      <w:r w:rsidR="00CC229A" w:rsidRPr="00CC229A">
        <w:rPr>
          <w:lang w:val="fr-CH"/>
        </w:rPr>
        <w:t>’annexe </w:t>
      </w:r>
      <w:r w:rsidRPr="00CC229A">
        <w:rPr>
          <w:lang w:val="fr-CH"/>
        </w:rPr>
        <w:t>VI n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 pas été établi</w:t>
      </w:r>
      <w:r w:rsidR="00CC229A" w:rsidRPr="00CC229A">
        <w:rPr>
          <w:lang w:val="fr-CH"/>
        </w:rPr>
        <w:t>e</w:t>
      </w:r>
      <w:r w:rsidRPr="00CC229A">
        <w:rPr>
          <w:lang w:val="fr-CH"/>
        </w:rPr>
        <w:t xml:space="preserve"> en appliquant les critères du SGH</w:t>
      </w:r>
      <w:r w:rsidR="00CC229A" w:rsidRPr="00CC229A">
        <w:rPr>
          <w:lang w:val="fr-CH"/>
        </w:rPr>
        <w:t>,</w:t>
      </w:r>
      <w:r w:rsidRPr="00CC229A">
        <w:rPr>
          <w:lang w:val="fr-CH"/>
        </w:rPr>
        <w:t xml:space="preserve"> mais en adaptant </w:t>
      </w:r>
      <w:r w:rsidR="00CC229A" w:rsidRPr="00CC229A">
        <w:rPr>
          <w:lang w:val="fr-CH"/>
        </w:rPr>
        <w:t xml:space="preserve">les données </w:t>
      </w:r>
      <w:r w:rsidRPr="00CC229A">
        <w:rPr>
          <w:lang w:val="fr-CH"/>
        </w:rPr>
        <w:t xml:space="preserve">aux catégories du SGH </w:t>
      </w:r>
      <w:r w:rsidR="00CC229A" w:rsidRPr="00CC229A">
        <w:rPr>
          <w:lang w:val="fr-CH"/>
        </w:rPr>
        <w:t xml:space="preserve">sur la base de </w:t>
      </w:r>
      <w:r w:rsidRPr="00CC229A">
        <w:rPr>
          <w:lang w:val="fr-CH"/>
        </w:rPr>
        <w:t>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information relative aux dangers qui fig</w:t>
      </w:r>
      <w:r w:rsidR="00CC229A" w:rsidRPr="00CC229A">
        <w:rPr>
          <w:lang w:val="fr-CH"/>
        </w:rPr>
        <w:t>ure dans la directive 67/548/CE</w:t>
      </w:r>
      <w:r w:rsidRPr="00CC229A">
        <w:rPr>
          <w:lang w:val="fr-CH"/>
        </w:rPr>
        <w:t>, selon une méthode pragmatique mais approximative.</w:t>
      </w:r>
    </w:p>
    <w:p w:rsidR="00F05723" w:rsidRPr="00CC229A" w:rsidRDefault="00F05723" w:rsidP="00CC229A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C229A">
        <w:rPr>
          <w:lang w:val="fr-CH"/>
        </w:rPr>
        <w:t xml:space="preserve">En outre, la présence de références au </w:t>
      </w:r>
      <w:r w:rsidR="00CC229A" w:rsidRPr="00CC229A">
        <w:rPr>
          <w:lang w:val="fr-CH"/>
        </w:rPr>
        <w:t>r</w:t>
      </w:r>
      <w:r w:rsidRPr="00CC229A">
        <w:rPr>
          <w:lang w:val="fr-CH"/>
        </w:rPr>
        <w:t>èglement CLP dans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ADR/RID/ADN peut engendrer des divergences et des problèmes de classement lorsqu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il s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agit des chaînes de transport multimodal</w:t>
      </w:r>
      <w:r w:rsidR="00CC229A" w:rsidRPr="00CC229A">
        <w:rPr>
          <w:lang w:val="fr-CH"/>
        </w:rPr>
        <w:t>,</w:t>
      </w:r>
      <w:r w:rsidRPr="00CC229A">
        <w:rPr>
          <w:lang w:val="fr-CH"/>
        </w:rPr>
        <w:t xml:space="preserve"> étant donné qu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il est peu probable que des règlements internationaux comme les Instructions techniques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OACI ou le Code maritime international des marchandises dangereuses </w:t>
      </w:r>
      <w:r w:rsidR="00CC229A" w:rsidRPr="00CC229A">
        <w:rPr>
          <w:lang w:val="fr-CH"/>
        </w:rPr>
        <w:t>fassent référence</w:t>
      </w:r>
      <w:r w:rsidRPr="00CC229A">
        <w:rPr>
          <w:lang w:val="fr-CH"/>
        </w:rPr>
        <w:t xml:space="preserve"> aux prescriptions de classement locales concernant la distribution et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utilisation.</w:t>
      </w:r>
    </w:p>
    <w:p w:rsidR="00F05723" w:rsidRPr="00CC229A" w:rsidRDefault="00F05723" w:rsidP="00CC229A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C229A">
        <w:rPr>
          <w:lang w:val="fr-CH"/>
        </w:rPr>
        <w:lastRenderedPageBreak/>
        <w:t>Les discussions récemment menées au Sous-Comité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experts du transport des marchandises dangereuses ont montré que les méthodes de classement prévues par le SGH, pour la distribution et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utilisation, et par le Règlement type, pour le transport, n</w:t>
      </w:r>
      <w:r w:rsidR="00CC229A" w:rsidRPr="00CC229A">
        <w:rPr>
          <w:lang w:val="fr-CH"/>
        </w:rPr>
        <w:t xml:space="preserve">’étaient </w:t>
      </w:r>
      <w:r w:rsidRPr="00CC229A">
        <w:rPr>
          <w:lang w:val="fr-CH"/>
        </w:rPr>
        <w:t xml:space="preserve">pas encore harmonisées point par point </w:t>
      </w:r>
      <w:r w:rsidR="00CC229A" w:rsidRPr="00CC229A">
        <w:rPr>
          <w:lang w:val="fr-CH"/>
        </w:rPr>
        <w:t xml:space="preserve">mais </w:t>
      </w:r>
      <w:r w:rsidRPr="00CC229A">
        <w:rPr>
          <w:lang w:val="fr-CH"/>
        </w:rPr>
        <w:t>qu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elles se </w:t>
      </w:r>
      <w:r w:rsidR="00CC229A" w:rsidRPr="00CC229A">
        <w:rPr>
          <w:lang w:val="fr-CH"/>
        </w:rPr>
        <w:t xml:space="preserve">recoupaient </w:t>
      </w:r>
      <w:r w:rsidRPr="00CC229A">
        <w:rPr>
          <w:lang w:val="fr-CH"/>
        </w:rPr>
        <w:t>dans de nombreux cas. Le CEFIC considère donc les informations de base du SGH sur la distribution et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utilisation comme une source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information valable et sérieuse, qui devrait être prise en compte aux fins du classement dans les transports chaque fois que les données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essai exactes ne sont pas disponibles ou que les renseignements concernant des substances ou les composants d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un mélange ne figurent pas sur la liste des march</w:t>
      </w:r>
      <w:r w:rsidR="006E63A3">
        <w:rPr>
          <w:lang w:val="fr-CH"/>
        </w:rPr>
        <w:t>andises dangereuses du chapitre </w:t>
      </w:r>
      <w:r w:rsidRPr="00CC229A">
        <w:rPr>
          <w:lang w:val="fr-CH"/>
        </w:rPr>
        <w:t>3.2 du Règlement type.</w:t>
      </w:r>
    </w:p>
    <w:p w:rsidR="00F05723" w:rsidRPr="00CC229A" w:rsidRDefault="00F05723" w:rsidP="00F0572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C229A">
        <w:rPr>
          <w:lang w:val="fr-CH"/>
        </w:rPr>
        <w:t>C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est pourquoi le CEFIC propose de modifier les références à la réglementation de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UE qui figurent dans les règlements ADR/RID/ADN en procédant comme suit</w:t>
      </w:r>
      <w:r w:rsidR="00CC229A" w:rsidRPr="00CC229A">
        <w:rPr>
          <w:lang w:val="fr-CH"/>
        </w:rPr>
        <w:t> </w:t>
      </w:r>
      <w:r w:rsidRPr="00CC229A">
        <w:rPr>
          <w:lang w:val="fr-CH"/>
        </w:rPr>
        <w:t xml:space="preserve">: </w:t>
      </w:r>
    </w:p>
    <w:p w:rsidR="00F05723" w:rsidRPr="00CC229A" w:rsidRDefault="00F05723" w:rsidP="00F0572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F0572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F057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C229A">
        <w:rPr>
          <w:lang w:val="fr-CH"/>
        </w:rPr>
        <w:tab/>
      </w:r>
      <w:r w:rsidRPr="00CC229A">
        <w:rPr>
          <w:lang w:val="fr-CH"/>
        </w:rPr>
        <w:tab/>
        <w:t>Modifications proposées</w:t>
      </w:r>
    </w:p>
    <w:p w:rsidR="00F05723" w:rsidRPr="00CC229A" w:rsidRDefault="00F05723" w:rsidP="0059355B">
      <w:pPr>
        <w:pStyle w:val="SingleTxt"/>
        <w:keepNext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59355B">
      <w:pPr>
        <w:pStyle w:val="SingleTxt"/>
        <w:keepNext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5935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C229A">
        <w:rPr>
          <w:lang w:val="fr-CH"/>
        </w:rPr>
        <w:tab/>
      </w:r>
      <w:r w:rsidRPr="00CC229A">
        <w:rPr>
          <w:lang w:val="fr-CH"/>
        </w:rPr>
        <w:tab/>
        <w:t>2.2.61.1.14</w:t>
      </w:r>
    </w:p>
    <w:p w:rsidR="00F05723" w:rsidRPr="00CC229A" w:rsidRDefault="00F05723" w:rsidP="0059355B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F05723" w:rsidRPr="00CC229A" w:rsidRDefault="00F05723" w:rsidP="0059355B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F05723" w:rsidRPr="00CC229A" w:rsidRDefault="00F05723" w:rsidP="00CC229A">
      <w:pPr>
        <w:pStyle w:val="SingleTxt"/>
        <w:rPr>
          <w:lang w:val="fr-CH"/>
        </w:rPr>
      </w:pPr>
      <w:r w:rsidRPr="00CC229A">
        <w:rPr>
          <w:lang w:val="fr-CH"/>
        </w:rPr>
        <w:t>2.2.61.1.14</w:t>
      </w:r>
      <w:r w:rsidR="00CC229A" w:rsidRPr="00CC229A">
        <w:rPr>
          <w:lang w:val="fr-CH"/>
        </w:rPr>
        <w:tab/>
      </w:r>
      <w:r w:rsidRPr="00CC229A">
        <w:rPr>
          <w:lang w:val="fr-CH"/>
        </w:rPr>
        <w:t>Remplacer « des Directives 67/548/CEE</w:t>
      </w:r>
      <w:r w:rsidRPr="00CC229A">
        <w:rPr>
          <w:vertAlign w:val="superscript"/>
          <w:lang w:val="fr-CH"/>
        </w:rPr>
        <w:t>3</w:t>
      </w:r>
      <w:r w:rsidRPr="00CC229A">
        <w:rPr>
          <w:lang w:val="fr-CH"/>
        </w:rPr>
        <w:t xml:space="preserve"> ou 1999/45/CE</w:t>
      </w:r>
      <w:r w:rsidRPr="00CC229A">
        <w:rPr>
          <w:vertAlign w:val="superscript"/>
          <w:lang w:val="fr-CH"/>
        </w:rPr>
        <w:t>4</w:t>
      </w:r>
      <w:r w:rsidRPr="00CC229A">
        <w:rPr>
          <w:lang w:val="fr-CH"/>
        </w:rPr>
        <w:t xml:space="preserve"> telles que modifiées » par « </w:t>
      </w:r>
      <w:r w:rsidR="00CC229A" w:rsidRPr="00CC229A">
        <w:rPr>
          <w:lang w:val="fr-CH"/>
        </w:rPr>
        <w:t>du SGH</w:t>
      </w:r>
      <w:r w:rsidRPr="00CC229A">
        <w:rPr>
          <w:lang w:val="fr-CH"/>
        </w:rPr>
        <w:t xml:space="preserve"> ». Remplacer « comme très toxiques, toxiques ou nocives selon ces directives telles que modifiées » par « dans les </w:t>
      </w:r>
      <w:r w:rsidR="00CC229A" w:rsidRPr="00CC229A">
        <w:rPr>
          <w:lang w:val="fr-CH"/>
        </w:rPr>
        <w:t>c</w:t>
      </w:r>
      <w:r w:rsidRPr="00CC229A">
        <w:rPr>
          <w:lang w:val="fr-CH"/>
        </w:rPr>
        <w:t>atégories de toxicité Aiguë 1, 2 ou 3 selon le classement du</w:t>
      </w:r>
      <w:r w:rsidR="00CC229A" w:rsidRPr="00CC229A">
        <w:rPr>
          <w:lang w:val="fr-CH"/>
        </w:rPr>
        <w:t xml:space="preserve"> SGH</w:t>
      </w:r>
      <w:r w:rsidRPr="00CC229A">
        <w:rPr>
          <w:lang w:val="fr-CH"/>
        </w:rPr>
        <w:t> ».</w:t>
      </w:r>
    </w:p>
    <w:p w:rsidR="00F05723" w:rsidRPr="00CC229A" w:rsidRDefault="00F05723" w:rsidP="00F05723">
      <w:pPr>
        <w:pStyle w:val="SingleTxt"/>
        <w:rPr>
          <w:lang w:val="fr-CH"/>
        </w:rPr>
      </w:pPr>
      <w:r w:rsidRPr="00CC229A">
        <w:rPr>
          <w:lang w:val="fr-CH"/>
        </w:rPr>
        <w:t>2.2.61.1.14 serait libellé comme suit :</w:t>
      </w:r>
    </w:p>
    <w:p w:rsidR="00F05723" w:rsidRPr="00CC229A" w:rsidRDefault="00F05723" w:rsidP="00CC229A">
      <w:pPr>
        <w:pStyle w:val="SingleTxt"/>
        <w:rPr>
          <w:lang w:val="fr-CH"/>
        </w:rPr>
      </w:pPr>
      <w:r w:rsidRPr="00CC229A">
        <w:rPr>
          <w:lang w:val="fr-CH"/>
        </w:rPr>
        <w:t>« Les matières, solutions et mélanges, à l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 xml:space="preserve">exception des matières et préparations servant de pesticides, qui ne répondent pas aux critères du SGH et ne sont donc pas classés dans les </w:t>
      </w:r>
      <w:r w:rsidR="00CC229A" w:rsidRPr="00CC229A">
        <w:rPr>
          <w:lang w:val="fr-CH"/>
        </w:rPr>
        <w:t>c</w:t>
      </w:r>
      <w:r w:rsidRPr="00CC229A">
        <w:rPr>
          <w:lang w:val="fr-CH"/>
        </w:rPr>
        <w:t>atégories de toxicité Aiguë 1, 2 ou 3 sel</w:t>
      </w:r>
      <w:r w:rsidR="00CC229A" w:rsidRPr="00CC229A">
        <w:rPr>
          <w:lang w:val="fr-CH"/>
        </w:rPr>
        <w:t>on le classement du SGH</w:t>
      </w:r>
      <w:r w:rsidRPr="00CC229A">
        <w:rPr>
          <w:lang w:val="fr-CH"/>
        </w:rPr>
        <w:t>, peuvent être considérés comme des matières n</w:t>
      </w:r>
      <w:r w:rsidR="00CC229A" w:rsidRPr="00CC229A">
        <w:rPr>
          <w:lang w:val="fr-CH"/>
        </w:rPr>
        <w:t>’</w:t>
      </w:r>
      <w:r w:rsidRPr="00CC229A">
        <w:rPr>
          <w:lang w:val="fr-CH"/>
        </w:rPr>
        <w:t>appartenant pas à la classe 6.1. ».</w:t>
      </w:r>
    </w:p>
    <w:p w:rsidR="00F05723" w:rsidRPr="00CC229A" w:rsidRDefault="00F05723" w:rsidP="00F05723">
      <w:pPr>
        <w:pStyle w:val="SingleTxt"/>
        <w:spacing w:after="0"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SingleTxt"/>
        <w:spacing w:after="0"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C229A">
        <w:rPr>
          <w:lang w:val="fr-CH"/>
        </w:rPr>
        <w:tab/>
      </w:r>
      <w:r w:rsidRPr="00CC229A">
        <w:rPr>
          <w:lang w:val="fr-CH"/>
        </w:rPr>
        <w:tab/>
        <w:t>2.2.8.1.9</w:t>
      </w:r>
    </w:p>
    <w:p w:rsidR="00F05723" w:rsidRPr="00CC229A" w:rsidRDefault="00F05723" w:rsidP="00F0572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F0572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F05723">
      <w:pPr>
        <w:pStyle w:val="SingleTxt"/>
        <w:rPr>
          <w:lang w:val="fr-CH"/>
        </w:rPr>
      </w:pPr>
      <w:r w:rsidRPr="00CC229A">
        <w:rPr>
          <w:lang w:val="fr-CH"/>
        </w:rPr>
        <w:t>Modifier comme suit :</w:t>
      </w:r>
    </w:p>
    <w:p w:rsidR="00F05723" w:rsidRPr="006E63A3" w:rsidRDefault="00F05723" w:rsidP="006E63A3">
      <w:pPr>
        <w:pStyle w:val="SingleTxt"/>
        <w:rPr>
          <w:spacing w:val="2"/>
          <w:lang w:val="fr-CH"/>
        </w:rPr>
      </w:pPr>
      <w:r w:rsidRPr="006E63A3">
        <w:rPr>
          <w:spacing w:val="2"/>
          <w:lang w:val="fr-CH"/>
        </w:rPr>
        <w:t>« 2.2.8.1.9</w:t>
      </w:r>
      <w:r w:rsidRPr="006E63A3">
        <w:rPr>
          <w:spacing w:val="2"/>
          <w:lang w:val="fr-CH"/>
        </w:rPr>
        <w:tab/>
      </w:r>
      <w:r w:rsidR="006E63A3" w:rsidRPr="006E63A3">
        <w:rPr>
          <w:spacing w:val="2"/>
          <w:lang w:val="fr-CH"/>
        </w:rPr>
        <w:tab/>
      </w:r>
      <w:r w:rsidRPr="006E63A3">
        <w:rPr>
          <w:spacing w:val="2"/>
          <w:lang w:val="fr-CH"/>
        </w:rPr>
        <w:t>Les matières, solutions et mélanges qui</w:t>
      </w:r>
      <w:r w:rsidR="00CC229A" w:rsidRPr="006E63A3">
        <w:rPr>
          <w:spacing w:val="2"/>
          <w:lang w:val="fr-CH"/>
        </w:rPr>
        <w:t xml:space="preserve"> </w:t>
      </w:r>
      <w:r w:rsidRPr="006E63A3">
        <w:rPr>
          <w:spacing w:val="2"/>
          <w:lang w:val="fr-CH"/>
        </w:rPr>
        <w:t xml:space="preserve">ne satisfont pas aux critères de la </w:t>
      </w:r>
      <w:r w:rsidR="00CC229A" w:rsidRPr="006E63A3">
        <w:rPr>
          <w:spacing w:val="2"/>
          <w:lang w:val="fr-CH"/>
        </w:rPr>
        <w:t>c</w:t>
      </w:r>
      <w:r w:rsidR="006E63A3">
        <w:rPr>
          <w:spacing w:val="2"/>
          <w:lang w:val="fr-CH"/>
        </w:rPr>
        <w:t>atégorie </w:t>
      </w:r>
      <w:r w:rsidRPr="006E63A3">
        <w:rPr>
          <w:spacing w:val="2"/>
          <w:lang w:val="fr-CH"/>
        </w:rPr>
        <w:t xml:space="preserve">1 du SGH </w:t>
      </w:r>
      <w:r w:rsidR="00CC229A" w:rsidRPr="006E63A3">
        <w:rPr>
          <w:spacing w:val="2"/>
          <w:lang w:val="fr-CH"/>
        </w:rPr>
        <w:t xml:space="preserve">en ce qui concerne la corrosion cutanée et qui, dans le cas où ils sont à l’état liquide ou peuvent passer dans cet état lors du transport, ne satisfont pas aux critères de la catégorie 1 s’agissant de la corrosion de </w:t>
      </w:r>
      <w:r w:rsidRPr="006E63A3">
        <w:rPr>
          <w:spacing w:val="2"/>
          <w:lang w:val="fr-CH"/>
        </w:rPr>
        <w:t>l</w:t>
      </w:r>
      <w:r w:rsidR="00CC229A" w:rsidRPr="006E63A3">
        <w:rPr>
          <w:spacing w:val="2"/>
          <w:lang w:val="fr-CH"/>
        </w:rPr>
        <w:t>’</w:t>
      </w:r>
      <w:r w:rsidRPr="006E63A3">
        <w:rPr>
          <w:spacing w:val="2"/>
          <w:lang w:val="fr-CH"/>
        </w:rPr>
        <w:t xml:space="preserve">acier ou </w:t>
      </w:r>
      <w:r w:rsidR="00CC229A" w:rsidRPr="006E63A3">
        <w:rPr>
          <w:spacing w:val="2"/>
          <w:lang w:val="fr-CH"/>
        </w:rPr>
        <w:t xml:space="preserve">de </w:t>
      </w:r>
      <w:r w:rsidRPr="006E63A3">
        <w:rPr>
          <w:spacing w:val="2"/>
          <w:lang w:val="fr-CH"/>
        </w:rPr>
        <w:t>l</w:t>
      </w:r>
      <w:r w:rsidR="00CC229A" w:rsidRPr="006E63A3">
        <w:rPr>
          <w:spacing w:val="2"/>
          <w:lang w:val="fr-CH"/>
        </w:rPr>
        <w:t xml:space="preserve">’aluminium </w:t>
      </w:r>
      <w:r w:rsidRPr="006E63A3">
        <w:rPr>
          <w:spacing w:val="2"/>
          <w:lang w:val="fr-CH"/>
        </w:rPr>
        <w:t>peuvent être considérés comme des matières n</w:t>
      </w:r>
      <w:r w:rsidR="00CC229A" w:rsidRPr="006E63A3">
        <w:rPr>
          <w:spacing w:val="2"/>
          <w:lang w:val="fr-CH"/>
        </w:rPr>
        <w:t>’appartenant pas à la classe </w:t>
      </w:r>
      <w:r w:rsidRPr="006E63A3">
        <w:rPr>
          <w:spacing w:val="2"/>
          <w:lang w:val="fr-CH"/>
        </w:rPr>
        <w:t>8. »</w:t>
      </w:r>
      <w:r w:rsidR="00CC229A" w:rsidRPr="006E63A3">
        <w:rPr>
          <w:spacing w:val="2"/>
          <w:lang w:val="fr-CH"/>
        </w:rPr>
        <w:t>.</w:t>
      </w:r>
    </w:p>
    <w:p w:rsidR="00F05723" w:rsidRPr="00CC229A" w:rsidRDefault="00F05723" w:rsidP="00F05723">
      <w:pPr>
        <w:pStyle w:val="SingleTxt"/>
        <w:rPr>
          <w:lang w:val="fr-CH"/>
        </w:rPr>
      </w:pPr>
      <w:r w:rsidRPr="00CC229A">
        <w:rPr>
          <w:lang w:val="fr-CH"/>
        </w:rPr>
        <w:t>Ne pas modifier la note figurant à la fin du paragraphe 2.2.8.1.9.</w:t>
      </w:r>
    </w:p>
    <w:p w:rsidR="00CC229A" w:rsidRPr="00CC229A" w:rsidRDefault="00CC229A" w:rsidP="00CC229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C229A" w:rsidRPr="00CC229A" w:rsidRDefault="00CC229A" w:rsidP="00CC229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05723" w:rsidRPr="00CC229A" w:rsidRDefault="00F05723" w:rsidP="00CC229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C229A">
        <w:rPr>
          <w:lang w:val="fr-CH"/>
        </w:rPr>
        <w:tab/>
      </w:r>
      <w:r w:rsidRPr="00CC229A">
        <w:rPr>
          <w:lang w:val="fr-CH"/>
        </w:rPr>
        <w:tab/>
        <w:t>2.2.9.1.10.5</w:t>
      </w:r>
    </w:p>
    <w:p w:rsidR="00CC229A" w:rsidRPr="00CC229A" w:rsidRDefault="00CC229A" w:rsidP="00CC229A">
      <w:pPr>
        <w:pStyle w:val="SingleTxt"/>
        <w:spacing w:after="0" w:line="120" w:lineRule="exact"/>
        <w:rPr>
          <w:sz w:val="10"/>
          <w:lang w:val="fr-CH"/>
        </w:rPr>
      </w:pPr>
    </w:p>
    <w:p w:rsidR="00CC229A" w:rsidRPr="00CC229A" w:rsidRDefault="00CC229A" w:rsidP="00CC229A">
      <w:pPr>
        <w:pStyle w:val="SingleTxt"/>
        <w:spacing w:after="0" w:line="120" w:lineRule="exact"/>
        <w:rPr>
          <w:sz w:val="10"/>
          <w:lang w:val="fr-CH"/>
        </w:rPr>
      </w:pPr>
    </w:p>
    <w:p w:rsidR="00F05723" w:rsidRPr="00CC229A" w:rsidRDefault="00F05723" w:rsidP="00F05723">
      <w:pPr>
        <w:pStyle w:val="SingleTxt"/>
        <w:rPr>
          <w:lang w:val="fr-CH"/>
        </w:rPr>
      </w:pPr>
      <w:r w:rsidRPr="00CC229A">
        <w:rPr>
          <w:lang w:val="fr-CH"/>
        </w:rPr>
        <w:t>Modifier comme suit</w:t>
      </w:r>
      <w:r w:rsidR="00CC229A" w:rsidRPr="00CC229A">
        <w:rPr>
          <w:lang w:val="fr-CH"/>
        </w:rPr>
        <w:t> </w:t>
      </w:r>
      <w:r w:rsidRPr="00CC229A">
        <w:rPr>
          <w:lang w:val="fr-CH"/>
        </w:rPr>
        <w:t>:</w:t>
      </w:r>
    </w:p>
    <w:p w:rsidR="00F05723" w:rsidRPr="00CC229A" w:rsidRDefault="00CC229A" w:rsidP="00CC229A">
      <w:pPr>
        <w:pStyle w:val="SingleTxt"/>
        <w:rPr>
          <w:lang w:val="fr-CH"/>
        </w:rPr>
      </w:pPr>
      <w:r w:rsidRPr="00CC229A">
        <w:rPr>
          <w:lang w:val="fr-CH"/>
        </w:rPr>
        <w:t>« </w:t>
      </w:r>
      <w:r w:rsidR="006E63A3">
        <w:rPr>
          <w:lang w:val="fr-CH"/>
        </w:rPr>
        <w:t>2.2.9.1.10.5</w:t>
      </w:r>
      <w:r w:rsidR="00F05723" w:rsidRPr="00CC229A">
        <w:rPr>
          <w:lang w:val="fr-CH"/>
        </w:rPr>
        <w:tab/>
        <w:t xml:space="preserve">Les matières, solutions et mélanges qui ne répondent pas aux critères de la </w:t>
      </w:r>
      <w:r w:rsidRPr="00CC229A">
        <w:rPr>
          <w:lang w:val="fr-CH"/>
        </w:rPr>
        <w:t xml:space="preserve">dangerosité </w:t>
      </w:r>
      <w:r w:rsidR="00F05723" w:rsidRPr="00CC229A">
        <w:rPr>
          <w:lang w:val="fr-CH"/>
        </w:rPr>
        <w:t xml:space="preserve">pour le milieu aquatique dans les </w:t>
      </w:r>
      <w:r w:rsidRPr="00CC229A">
        <w:rPr>
          <w:lang w:val="fr-CH"/>
        </w:rPr>
        <w:t>catégories de toxicité Aiguë 1/Chronique 1 ou Chronique </w:t>
      </w:r>
      <w:r w:rsidR="00F05723" w:rsidRPr="00CC229A">
        <w:rPr>
          <w:lang w:val="fr-CH"/>
        </w:rPr>
        <w:t xml:space="preserve">2 selon le classement du </w:t>
      </w:r>
      <w:r w:rsidRPr="00CC229A">
        <w:rPr>
          <w:lang w:val="fr-CH"/>
        </w:rPr>
        <w:t>SGH</w:t>
      </w:r>
      <w:r w:rsidR="00F05723" w:rsidRPr="00CC229A">
        <w:rPr>
          <w:lang w:val="fr-CH"/>
        </w:rPr>
        <w:t xml:space="preserve"> peuvent être considérés comme des matières, solutions et mélanges non dangereux pour l</w:t>
      </w:r>
      <w:r w:rsidRPr="00CC229A">
        <w:rPr>
          <w:lang w:val="fr-CH"/>
        </w:rPr>
        <w:t>’</w:t>
      </w:r>
      <w:r w:rsidR="00F05723" w:rsidRPr="00CC229A">
        <w:rPr>
          <w:lang w:val="fr-CH"/>
        </w:rPr>
        <w:t>environnement (milieu aquatique).</w:t>
      </w:r>
      <w:r w:rsidRPr="00CC229A">
        <w:rPr>
          <w:lang w:val="fr-CH"/>
        </w:rPr>
        <w:t> »</w:t>
      </w:r>
      <w:r w:rsidR="00F05723" w:rsidRPr="00CC229A">
        <w:rPr>
          <w:lang w:val="fr-CH"/>
        </w:rPr>
        <w:t xml:space="preserve">. </w:t>
      </w:r>
    </w:p>
    <w:p w:rsidR="00F05723" w:rsidRPr="00CC229A" w:rsidRDefault="00CC229A" w:rsidP="006E63A3">
      <w:pPr>
        <w:pStyle w:val="SingleTxt"/>
        <w:spacing w:after="0"/>
        <w:rPr>
          <w:i/>
          <w:lang w:val="fr-CH"/>
        </w:rPr>
      </w:pPr>
      <w:r w:rsidRPr="00CC229A">
        <w:rPr>
          <w:i/>
          <w:iCs/>
          <w:lang w:val="fr-CH"/>
        </w:rPr>
        <w:t>Amendement</w:t>
      </w:r>
      <w:r w:rsidR="00F05723" w:rsidRPr="00CC229A">
        <w:rPr>
          <w:i/>
          <w:iCs/>
          <w:lang w:val="fr-CH"/>
        </w:rPr>
        <w:t xml:space="preserve"> de conséquence</w:t>
      </w:r>
      <w:r w:rsidRPr="00CC229A">
        <w:rPr>
          <w:i/>
          <w:iCs/>
          <w:lang w:val="fr-CH"/>
        </w:rPr>
        <w:t> </w:t>
      </w:r>
      <w:r w:rsidR="00F05723" w:rsidRPr="00CC229A">
        <w:rPr>
          <w:i/>
          <w:iCs/>
          <w:lang w:val="fr-CH"/>
        </w:rPr>
        <w:t>: Supprimer les no</w:t>
      </w:r>
      <w:r w:rsidRPr="00CC229A">
        <w:rPr>
          <w:i/>
          <w:iCs/>
          <w:lang w:val="fr-CH"/>
        </w:rPr>
        <w:t>tes de bas de page </w:t>
      </w:r>
      <w:r w:rsidR="00F05723" w:rsidRPr="00CC229A">
        <w:rPr>
          <w:i/>
          <w:iCs/>
          <w:lang w:val="fr-CH"/>
        </w:rPr>
        <w:t xml:space="preserve">3, 4 et 16 au </w:t>
      </w:r>
      <w:r w:rsidRPr="00CC229A">
        <w:rPr>
          <w:i/>
          <w:iCs/>
          <w:lang w:val="fr-CH"/>
        </w:rPr>
        <w:t>chapitre </w:t>
      </w:r>
      <w:r w:rsidR="00F05723" w:rsidRPr="00CC229A">
        <w:rPr>
          <w:i/>
          <w:iCs/>
          <w:lang w:val="fr-CH"/>
        </w:rPr>
        <w:t>2.2. Renuméroter comme il convient les autres no</w:t>
      </w:r>
      <w:r w:rsidRPr="00CC229A">
        <w:rPr>
          <w:i/>
          <w:iCs/>
          <w:lang w:val="fr-CH"/>
        </w:rPr>
        <w:t>tes de bas de page figurant au chapitre </w:t>
      </w:r>
      <w:r w:rsidR="00F05723" w:rsidRPr="00CC229A">
        <w:rPr>
          <w:i/>
          <w:iCs/>
          <w:lang w:val="fr-CH"/>
        </w:rPr>
        <w:t>2.2.</w:t>
      </w:r>
    </w:p>
    <w:p w:rsidR="00F05723" w:rsidRPr="00CC229A" w:rsidRDefault="00CC229A" w:rsidP="00CC229A">
      <w:pPr>
        <w:pStyle w:val="SingleTxt"/>
        <w:spacing w:after="0" w:line="240" w:lineRule="auto"/>
        <w:rPr>
          <w:lang w:val="fr-CH"/>
        </w:rPr>
      </w:pPr>
      <w:r w:rsidRPr="00CC229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DDEB" wp14:editId="62FD40F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05723" w:rsidRPr="00CC229A" w:rsidSect="009D6F22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F6" w:rsidRDefault="004006F6" w:rsidP="00F3330B">
      <w:pPr>
        <w:spacing w:line="240" w:lineRule="auto"/>
      </w:pPr>
      <w:r>
        <w:separator/>
      </w:r>
    </w:p>
  </w:endnote>
  <w:endnote w:type="continuationSeparator" w:id="0">
    <w:p w:rsidR="004006F6" w:rsidRDefault="004006F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9D6F22" w:rsidTr="009D6F22">
      <w:trPr>
        <w:jc w:val="center"/>
      </w:trPr>
      <w:tc>
        <w:tcPr>
          <w:tcW w:w="5088" w:type="dxa"/>
          <w:shd w:val="clear" w:color="auto" w:fill="auto"/>
        </w:tcPr>
        <w:p w:rsidR="009D6F22" w:rsidRPr="009D6F22" w:rsidRDefault="009D6F22" w:rsidP="009D6F2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116BD">
            <w:rPr>
              <w:b w:val="0"/>
              <w:w w:val="103"/>
              <w:sz w:val="14"/>
            </w:rPr>
            <w:t>GE.15-22653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9D6F22" w:rsidRPr="009D6F22" w:rsidRDefault="009D6F22" w:rsidP="009D6F2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116B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116B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9D6F22" w:rsidRPr="009D6F22" w:rsidRDefault="009D6F22" w:rsidP="009D6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9D6F22" w:rsidTr="009D6F22">
      <w:trPr>
        <w:jc w:val="center"/>
      </w:trPr>
      <w:tc>
        <w:tcPr>
          <w:tcW w:w="5088" w:type="dxa"/>
          <w:shd w:val="clear" w:color="auto" w:fill="auto"/>
        </w:tcPr>
        <w:p w:rsidR="009D6F22" w:rsidRPr="009D6F22" w:rsidRDefault="009D6F22" w:rsidP="009D6F2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116B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116B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9D6F22" w:rsidRPr="009D6F22" w:rsidRDefault="009D6F22" w:rsidP="009D6F2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116BD">
            <w:rPr>
              <w:b w:val="0"/>
              <w:w w:val="103"/>
              <w:sz w:val="14"/>
            </w:rPr>
            <w:t>GE.15-22653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D6F22" w:rsidRPr="009D6F22" w:rsidRDefault="009D6F22" w:rsidP="009D6F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22" w:rsidRDefault="009D6F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1F8EB45" wp14:editId="2566A3C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6/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6/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9D6F22" w:rsidTr="009D6F22">
      <w:tc>
        <w:tcPr>
          <w:tcW w:w="3859" w:type="dxa"/>
        </w:tcPr>
        <w:p w:rsidR="009D6F22" w:rsidRDefault="009D6F22" w:rsidP="009D6F2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116BD">
            <w:rPr>
              <w:b w:val="0"/>
              <w:sz w:val="20"/>
            </w:rPr>
            <w:t>GE.15-22653 (F)</w:t>
          </w:r>
          <w:r>
            <w:rPr>
              <w:b w:val="0"/>
              <w:sz w:val="20"/>
            </w:rPr>
            <w:fldChar w:fldCharType="end"/>
          </w:r>
          <w:r w:rsidR="00F65C19">
            <w:rPr>
              <w:b w:val="0"/>
              <w:sz w:val="20"/>
            </w:rPr>
            <w:t xml:space="preserve">    18</w:t>
          </w:r>
          <w:r>
            <w:rPr>
              <w:b w:val="0"/>
              <w:sz w:val="20"/>
            </w:rPr>
            <w:t>0216    230216</w:t>
          </w:r>
        </w:p>
        <w:p w:rsidR="009D6F22" w:rsidRPr="009D6F22" w:rsidRDefault="009D6F22" w:rsidP="009D6F2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116B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*1522653*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9D6F22" w:rsidRDefault="009D6F22" w:rsidP="009D6F2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DA546AE" wp14:editId="78956F0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F22" w:rsidRPr="009D6F22" w:rsidRDefault="009D6F22" w:rsidP="009D6F2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F6" w:rsidRPr="00F05723" w:rsidRDefault="00F05723" w:rsidP="00F05723">
      <w:pPr>
        <w:pStyle w:val="Footer"/>
        <w:spacing w:after="80"/>
        <w:ind w:left="792"/>
        <w:rPr>
          <w:sz w:val="16"/>
        </w:rPr>
      </w:pPr>
      <w:r w:rsidRPr="00F05723">
        <w:rPr>
          <w:sz w:val="16"/>
        </w:rPr>
        <w:t>__________________</w:t>
      </w:r>
    </w:p>
  </w:footnote>
  <w:footnote w:type="continuationSeparator" w:id="0">
    <w:p w:rsidR="004006F6" w:rsidRPr="00F05723" w:rsidRDefault="00F05723" w:rsidP="00F05723">
      <w:pPr>
        <w:pStyle w:val="Footer"/>
        <w:spacing w:after="80"/>
        <w:ind w:left="792"/>
        <w:rPr>
          <w:sz w:val="16"/>
        </w:rPr>
      </w:pPr>
      <w:r w:rsidRPr="00F05723">
        <w:rPr>
          <w:sz w:val="16"/>
        </w:rPr>
        <w:t>__________________</w:t>
      </w:r>
    </w:p>
  </w:footnote>
  <w:footnote w:id="1">
    <w:p w:rsidR="00F05723" w:rsidRPr="00CC229A" w:rsidRDefault="00CC229A" w:rsidP="00F0572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 w:rsidRPr="00CC229A">
        <w:rPr>
          <w:spacing w:val="5"/>
          <w:w w:val="104"/>
          <w:lang w:val="fr-CH"/>
        </w:rPr>
        <w:tab/>
      </w:r>
      <w:r w:rsidR="00F05723" w:rsidRPr="00CC229A">
        <w:rPr>
          <w:rStyle w:val="FootnoteReference"/>
          <w:w w:val="104"/>
          <w:lang w:val="fr-CH"/>
        </w:rPr>
        <w:footnoteRef/>
      </w:r>
      <w:r w:rsidR="00F05723" w:rsidRPr="00CC229A">
        <w:rPr>
          <w:spacing w:val="5"/>
          <w:w w:val="104"/>
          <w:lang w:val="fr-CH"/>
        </w:rPr>
        <w:tab/>
        <w:t xml:space="preserve">Conformément au </w:t>
      </w:r>
      <w:r w:rsidRPr="00CC229A">
        <w:rPr>
          <w:spacing w:val="5"/>
          <w:w w:val="104"/>
          <w:lang w:val="fr-CH"/>
        </w:rPr>
        <w:t xml:space="preserve">projet de </w:t>
      </w:r>
      <w:r w:rsidR="00F05723" w:rsidRPr="00CC229A">
        <w:rPr>
          <w:spacing w:val="5"/>
          <w:w w:val="104"/>
          <w:lang w:val="fr-CH"/>
        </w:rPr>
        <w:t xml:space="preserve">programme de travail du Comité des </w:t>
      </w:r>
      <w:r w:rsidRPr="00CC229A">
        <w:rPr>
          <w:spacing w:val="5"/>
          <w:w w:val="104"/>
          <w:lang w:val="fr-CH"/>
        </w:rPr>
        <w:t>transports intérieurs pour 2016</w:t>
      </w:r>
      <w:r w:rsidR="00F05723" w:rsidRPr="00CC229A">
        <w:rPr>
          <w:spacing w:val="5"/>
          <w:w w:val="104"/>
          <w:lang w:val="fr-CH"/>
        </w:rPr>
        <w:t>-2017 (ECE/TRANS/WP.15/2015/19 (9.2)).</w:t>
      </w:r>
    </w:p>
  </w:footnote>
  <w:footnote w:id="2">
    <w:p w:rsidR="00F05723" w:rsidRPr="00CC229A" w:rsidRDefault="00CC229A" w:rsidP="00CC229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 w:rsidRPr="00CC229A">
        <w:rPr>
          <w:spacing w:val="5"/>
          <w:w w:val="104"/>
          <w:lang w:val="fr-CH"/>
        </w:rPr>
        <w:tab/>
      </w:r>
      <w:r w:rsidR="00F05723" w:rsidRPr="00CC229A">
        <w:rPr>
          <w:rStyle w:val="FootnoteReference"/>
          <w:w w:val="104"/>
          <w:lang w:val="fr-CH"/>
        </w:rPr>
        <w:footnoteRef/>
      </w:r>
      <w:r w:rsidR="00F05723" w:rsidRPr="00CC229A">
        <w:rPr>
          <w:spacing w:val="5"/>
          <w:w w:val="104"/>
          <w:lang w:val="fr-CH"/>
        </w:rPr>
        <w:tab/>
        <w:t>Diffusée par l</w:t>
      </w:r>
      <w:r w:rsidRPr="00CC229A">
        <w:rPr>
          <w:spacing w:val="5"/>
          <w:w w:val="104"/>
          <w:lang w:val="fr-CH"/>
        </w:rPr>
        <w:t>’</w:t>
      </w:r>
      <w:r w:rsidR="00F05723" w:rsidRPr="00CC229A">
        <w:rPr>
          <w:spacing w:val="5"/>
          <w:w w:val="104"/>
          <w:lang w:val="fr-CH"/>
        </w:rPr>
        <w:t>Organisation intergouvernementale pour les transports internationaux ferroviaires (OTIF) sous la cote OTIF/RID/RC/2016/2.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9D6F22" w:rsidTr="009D6F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D6F22" w:rsidRPr="009D6F22" w:rsidRDefault="009D6F22" w:rsidP="009D6F2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116BD">
            <w:rPr>
              <w:b/>
              <w:color w:val="000000"/>
            </w:rPr>
            <w:t>ECE/TRANS/WP.15/AC.1/2016/2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9D6F22" w:rsidRDefault="009D6F22" w:rsidP="009D6F22">
          <w:pPr>
            <w:pStyle w:val="Header"/>
          </w:pPr>
        </w:p>
      </w:tc>
    </w:tr>
  </w:tbl>
  <w:p w:rsidR="009D6F22" w:rsidRPr="009D6F22" w:rsidRDefault="009D6F22" w:rsidP="009D6F2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9D6F22" w:rsidTr="009D6F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D6F22" w:rsidRDefault="009D6F22" w:rsidP="009D6F22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9D6F22" w:rsidRPr="009D6F22" w:rsidRDefault="009D6F22" w:rsidP="009D6F2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116BD">
            <w:rPr>
              <w:b/>
              <w:color w:val="000000"/>
            </w:rPr>
            <w:t>ECE/TRANS/WP.15/AC.1/2016/2</w:t>
          </w:r>
          <w:r>
            <w:rPr>
              <w:b/>
              <w:color w:val="000000"/>
            </w:rPr>
            <w:fldChar w:fldCharType="end"/>
          </w:r>
        </w:p>
      </w:tc>
    </w:tr>
  </w:tbl>
  <w:p w:rsidR="009D6F22" w:rsidRPr="009D6F22" w:rsidRDefault="009D6F22" w:rsidP="009D6F2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D6F22" w:rsidTr="009D6F2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D6F22" w:rsidRDefault="009D6F22" w:rsidP="009D6F2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D6F22" w:rsidRPr="009D6F22" w:rsidRDefault="009D6F22" w:rsidP="009D6F2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D6F22" w:rsidRDefault="009D6F22" w:rsidP="009D6F22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D6F22" w:rsidRPr="009D6F22" w:rsidRDefault="009D6F22" w:rsidP="009D6F2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/TRANS/WP.15/AC.1/2016/2</w:t>
          </w:r>
        </w:p>
      </w:tc>
    </w:tr>
    <w:tr w:rsidR="009D6F22" w:rsidRPr="009D6F22" w:rsidTr="009D6F2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F22" w:rsidRPr="009D6F22" w:rsidRDefault="009D6F22" w:rsidP="009D6F2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0CBCFB8" wp14:editId="05ECA16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F22" w:rsidRPr="009D6F22" w:rsidRDefault="009D6F22" w:rsidP="009D6F22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F22" w:rsidRPr="009D6F22" w:rsidRDefault="009D6F22" w:rsidP="009D6F2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F22" w:rsidRPr="00D31C04" w:rsidRDefault="009D6F22" w:rsidP="009D6F22">
          <w:pPr>
            <w:pStyle w:val="Distribution"/>
            <w:rPr>
              <w:color w:val="000000"/>
              <w:lang w:val="fr-CH"/>
            </w:rPr>
          </w:pPr>
          <w:proofErr w:type="spellStart"/>
          <w:r w:rsidRPr="00D31C04">
            <w:rPr>
              <w:color w:val="000000"/>
              <w:lang w:val="fr-CH"/>
            </w:rPr>
            <w:t>Distr</w:t>
          </w:r>
          <w:proofErr w:type="spellEnd"/>
          <w:r w:rsidRPr="00D31C04">
            <w:rPr>
              <w:color w:val="000000"/>
              <w:lang w:val="fr-CH"/>
            </w:rPr>
            <w:t>. générale</w:t>
          </w:r>
        </w:p>
        <w:p w:rsidR="009D6F22" w:rsidRPr="00D31C04" w:rsidRDefault="009D6F22" w:rsidP="009D6F22">
          <w:pPr>
            <w:pStyle w:val="Publication"/>
            <w:rPr>
              <w:color w:val="000000"/>
              <w:lang w:val="fr-CH"/>
            </w:rPr>
          </w:pPr>
          <w:r w:rsidRPr="00D31C04">
            <w:rPr>
              <w:color w:val="000000"/>
              <w:lang w:val="fr-CH"/>
            </w:rPr>
            <w:t>22 décembre 2015</w:t>
          </w:r>
        </w:p>
        <w:p w:rsidR="009D6F22" w:rsidRPr="00D31C04" w:rsidRDefault="009D6F22" w:rsidP="009D6F22">
          <w:pPr>
            <w:rPr>
              <w:lang w:val="fr-CH"/>
            </w:rPr>
          </w:pPr>
          <w:r w:rsidRPr="00D31C04">
            <w:rPr>
              <w:lang w:val="fr-CH"/>
            </w:rPr>
            <w:t>Français</w:t>
          </w:r>
        </w:p>
        <w:p w:rsidR="009D6F22" w:rsidRPr="00D31C04" w:rsidRDefault="009D6F22" w:rsidP="009D6F22">
          <w:pPr>
            <w:pStyle w:val="Original"/>
            <w:rPr>
              <w:color w:val="000000"/>
              <w:lang w:val="fr-CH"/>
            </w:rPr>
          </w:pPr>
          <w:r w:rsidRPr="00D31C04">
            <w:rPr>
              <w:color w:val="000000"/>
              <w:lang w:val="fr-CH"/>
            </w:rPr>
            <w:t>Original : anglais</w:t>
          </w:r>
        </w:p>
      </w:tc>
    </w:tr>
  </w:tbl>
  <w:p w:rsidR="009D6F22" w:rsidRPr="00D31C04" w:rsidRDefault="009D6F22" w:rsidP="009D6F22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3EB1"/>
    <w:multiLevelType w:val="singleLevel"/>
    <w:tmpl w:val="5082E29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653*"/>
    <w:docVar w:name="CreationDt" w:val="2/23/2016 5:43: PM"/>
    <w:docVar w:name="DocCategory" w:val="Doc"/>
    <w:docVar w:name="DocType" w:val="Final"/>
    <w:docVar w:name="DutyStation" w:val="Geneva"/>
    <w:docVar w:name="FooterJN" w:val="GE.15-22653"/>
    <w:docVar w:name="jobn" w:val="GE.15-22653 (F)"/>
    <w:docVar w:name="jobnDT" w:val="GE.15-22653 (F)   230216"/>
    <w:docVar w:name="jobnDTDT" w:val="GE.15-22653 (F)   230216   230216"/>
    <w:docVar w:name="JobNo" w:val="GE.1522653F"/>
    <w:docVar w:name="JobNo2" w:val="GE.1528911F"/>
    <w:docVar w:name="LocalDrive" w:val="0"/>
    <w:docVar w:name="OandT" w:val="N.Morin"/>
    <w:docVar w:name="PaperSize" w:val="A4"/>
    <w:docVar w:name="sss1" w:val="ECE/TRANS/WP.15/AC.1/2016/2"/>
    <w:docVar w:name="sss2" w:val="-"/>
    <w:docVar w:name="Symbol1" w:val="ECE/TRANS/WP.15/AC.1/2016/2"/>
    <w:docVar w:name="Symbol2" w:val="-"/>
  </w:docVars>
  <w:rsids>
    <w:rsidRoot w:val="004006F6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35CD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16B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447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18A5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06F6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5B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25D3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E63A3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2EBA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3EC6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6F22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15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5BF5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D7B25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4DF5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0B59"/>
    <w:rsid w:val="00CC229A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1C04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4558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B7CB0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5723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C19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D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F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F2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D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F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F2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A4E2-7638-4F25-96AD-F26D0D60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barrio-champeau</cp:lastModifiedBy>
  <cp:revision>5</cp:revision>
  <cp:lastPrinted>2016-02-24T09:45:00Z</cp:lastPrinted>
  <dcterms:created xsi:type="dcterms:W3CDTF">2016-02-24T09:15:00Z</dcterms:created>
  <dcterms:modified xsi:type="dcterms:W3CDTF">2016-02-24T09:45:00Z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1522653F</vt:lpwstr>
  </property>
  <property fmtid="{D5CDD505-2E9C-101B-9397-08002B2CF9AE}" pid="3" name="ODSRefJobNo">
    <vt:lpwstr>1528911F</vt:lpwstr>
  </property>
  <property fmtid="{D5CDD505-2E9C-101B-9397-08002B2CF9AE}" pid="4" name="Symbol1">
    <vt:lpwstr>ECE/TRANS/WP.15/AC.1/2016/2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22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230216</vt:lpwstr>
  </property>
</Properties>
</file>