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21290">
              <w:fldChar w:fldCharType="begin"/>
            </w:r>
            <w:r w:rsidR="00521290">
              <w:instrText xml:space="preserve"> FILLIN  "Введите символ после ЕCE/"  \* MERGEFORMAT </w:instrText>
            </w:r>
            <w:r w:rsidR="00521290">
              <w:fldChar w:fldCharType="separate"/>
            </w:r>
            <w:r w:rsidR="002D04B8">
              <w:t>TRANS/WP.15/AC.1/2016/26</w:t>
            </w:r>
            <w:r w:rsidR="0052129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2D04B8">
              <w:t xml:space="preserve">29 </w:t>
            </w:r>
            <w:proofErr w:type="spellStart"/>
            <w:r w:rsidR="002D04B8">
              <w:t>June</w:t>
            </w:r>
            <w:proofErr w:type="spellEnd"/>
            <w:r w:rsidR="002D04B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32B33" w:rsidRPr="00732B33" w:rsidRDefault="00732B33" w:rsidP="00732B33">
      <w:pPr>
        <w:spacing w:before="120" w:line="240" w:lineRule="auto"/>
        <w:rPr>
          <w:sz w:val="28"/>
          <w:szCs w:val="28"/>
          <w:lang w:val="en-US" w:bidi="ru-RU"/>
        </w:rPr>
      </w:pPr>
      <w:proofErr w:type="spellStart"/>
      <w:r w:rsidRPr="00732B33">
        <w:rPr>
          <w:sz w:val="28"/>
          <w:szCs w:val="28"/>
          <w:lang w:val="en-US" w:bidi="ru-RU"/>
        </w:rPr>
        <w:t>Комитет</w:t>
      </w:r>
      <w:proofErr w:type="spellEnd"/>
      <w:r w:rsidRPr="00732B33">
        <w:rPr>
          <w:sz w:val="28"/>
          <w:szCs w:val="28"/>
          <w:lang w:val="en-US" w:bidi="ru-RU"/>
        </w:rPr>
        <w:t xml:space="preserve"> </w:t>
      </w:r>
      <w:proofErr w:type="spellStart"/>
      <w:r w:rsidRPr="00732B33">
        <w:rPr>
          <w:sz w:val="28"/>
          <w:szCs w:val="28"/>
          <w:lang w:val="en-US" w:bidi="ru-RU"/>
        </w:rPr>
        <w:t>по</w:t>
      </w:r>
      <w:proofErr w:type="spellEnd"/>
      <w:r w:rsidRPr="00732B33">
        <w:rPr>
          <w:sz w:val="28"/>
          <w:szCs w:val="28"/>
          <w:lang w:val="en-US" w:bidi="ru-RU"/>
        </w:rPr>
        <w:t xml:space="preserve"> </w:t>
      </w:r>
      <w:proofErr w:type="spellStart"/>
      <w:r w:rsidRPr="00732B33">
        <w:rPr>
          <w:sz w:val="28"/>
          <w:szCs w:val="28"/>
          <w:lang w:val="en-US" w:bidi="ru-RU"/>
        </w:rPr>
        <w:t>внутреннему</w:t>
      </w:r>
      <w:proofErr w:type="spellEnd"/>
      <w:r w:rsidRPr="00732B33">
        <w:rPr>
          <w:sz w:val="28"/>
          <w:szCs w:val="28"/>
          <w:lang w:val="en-US" w:bidi="ru-RU"/>
        </w:rPr>
        <w:t xml:space="preserve"> </w:t>
      </w:r>
      <w:proofErr w:type="spellStart"/>
      <w:r w:rsidRPr="00732B33">
        <w:rPr>
          <w:sz w:val="28"/>
          <w:szCs w:val="28"/>
          <w:lang w:val="en-US" w:bidi="ru-RU"/>
        </w:rPr>
        <w:t>транспорту</w:t>
      </w:r>
      <w:proofErr w:type="spellEnd"/>
    </w:p>
    <w:p w:rsidR="00732B33" w:rsidRPr="00732B33" w:rsidRDefault="00732B33" w:rsidP="00732B33">
      <w:pPr>
        <w:spacing w:before="120" w:line="240" w:lineRule="auto"/>
        <w:rPr>
          <w:b/>
          <w:sz w:val="24"/>
          <w:szCs w:val="24"/>
          <w:lang w:bidi="ru-RU"/>
        </w:rPr>
      </w:pPr>
      <w:r w:rsidRPr="00732B33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732B33" w:rsidRPr="00732B33" w:rsidRDefault="00732B33" w:rsidP="00E66C8E">
      <w:pPr>
        <w:spacing w:before="120" w:line="240" w:lineRule="auto"/>
        <w:rPr>
          <w:b/>
          <w:lang w:bidi="ru-RU"/>
        </w:rPr>
      </w:pPr>
      <w:r w:rsidRPr="00732B33">
        <w:rPr>
          <w:b/>
          <w:lang w:bidi="ru-RU"/>
        </w:rPr>
        <w:t xml:space="preserve">Совместное совещание Комиссии экспертов МПОГ </w:t>
      </w:r>
      <w:r w:rsidR="00E66C8E">
        <w:rPr>
          <w:b/>
          <w:lang w:bidi="ru-RU"/>
        </w:rPr>
        <w:br/>
      </w:r>
      <w:r w:rsidRPr="00732B33">
        <w:rPr>
          <w:b/>
          <w:lang w:bidi="ru-RU"/>
        </w:rPr>
        <w:t>и</w:t>
      </w:r>
      <w:r w:rsidR="00E66C8E">
        <w:rPr>
          <w:b/>
          <w:lang w:bidi="ru-RU"/>
        </w:rPr>
        <w:t xml:space="preserve"> </w:t>
      </w:r>
      <w:r w:rsidRPr="00732B33">
        <w:rPr>
          <w:b/>
          <w:lang w:bidi="ru-RU"/>
        </w:rPr>
        <w:t>Рабочей группы по перевозкам опасных грузов</w:t>
      </w:r>
    </w:p>
    <w:p w:rsidR="00732B33" w:rsidRPr="00732B33" w:rsidRDefault="00732B33" w:rsidP="00732B33">
      <w:pPr>
        <w:spacing w:line="240" w:lineRule="auto"/>
        <w:rPr>
          <w:lang w:bidi="ru-RU"/>
        </w:rPr>
      </w:pPr>
      <w:r w:rsidRPr="00732B33">
        <w:rPr>
          <w:lang w:bidi="ru-RU"/>
        </w:rPr>
        <w:t>Женева, 19</w:t>
      </w:r>
      <w:r w:rsidR="00E66C8E">
        <w:rPr>
          <w:lang w:bidi="ru-RU"/>
        </w:rPr>
        <w:t>–</w:t>
      </w:r>
      <w:r w:rsidRPr="00732B33">
        <w:rPr>
          <w:lang w:bidi="ru-RU"/>
        </w:rPr>
        <w:t>23 сентября 2016 года</w:t>
      </w:r>
    </w:p>
    <w:p w:rsidR="00732B33" w:rsidRPr="00732B33" w:rsidRDefault="00732B33" w:rsidP="00732B33">
      <w:pPr>
        <w:spacing w:line="240" w:lineRule="auto"/>
        <w:rPr>
          <w:lang w:bidi="ru-RU"/>
        </w:rPr>
      </w:pPr>
      <w:r w:rsidRPr="00732B33">
        <w:rPr>
          <w:lang w:bidi="ru-RU"/>
        </w:rPr>
        <w:t>Пункт 2 предварительной повестки дня</w:t>
      </w:r>
    </w:p>
    <w:p w:rsidR="00732B33" w:rsidRPr="00083568" w:rsidRDefault="00732B33" w:rsidP="00732B33">
      <w:pPr>
        <w:spacing w:line="240" w:lineRule="auto"/>
        <w:rPr>
          <w:b/>
          <w:lang w:bidi="ru-RU"/>
        </w:rPr>
      </w:pPr>
      <w:r w:rsidRPr="00083568">
        <w:rPr>
          <w:b/>
          <w:lang w:bidi="ru-RU"/>
        </w:rPr>
        <w:t>Цистерны</w:t>
      </w:r>
    </w:p>
    <w:p w:rsidR="00732B33" w:rsidRPr="00732B33" w:rsidRDefault="00732B33" w:rsidP="00732B33">
      <w:pPr>
        <w:pStyle w:val="HChGR"/>
        <w:rPr>
          <w:lang w:bidi="ru-RU"/>
        </w:rPr>
      </w:pPr>
      <w:r w:rsidRPr="00083568">
        <w:rPr>
          <w:lang w:bidi="ru-RU"/>
        </w:rPr>
        <w:tab/>
      </w:r>
      <w:r w:rsidRPr="00083568">
        <w:rPr>
          <w:lang w:bidi="ru-RU"/>
        </w:rPr>
        <w:tab/>
      </w:r>
      <w:r w:rsidRPr="00732B33">
        <w:rPr>
          <w:lang w:bidi="ru-RU"/>
        </w:rPr>
        <w:t>Раз</w:t>
      </w:r>
      <w:r w:rsidR="00E66C8E">
        <w:rPr>
          <w:lang w:bidi="ru-RU"/>
        </w:rPr>
        <w:t>личные темы, касающиеся цистерн</w:t>
      </w:r>
    </w:p>
    <w:p w:rsidR="00732B33" w:rsidRPr="00083568" w:rsidRDefault="00732B33" w:rsidP="00732B33">
      <w:pPr>
        <w:pStyle w:val="H1GR"/>
        <w:rPr>
          <w:lang w:bidi="ru-RU"/>
        </w:rPr>
      </w:pPr>
      <w:r w:rsidRPr="00732B33">
        <w:rPr>
          <w:lang w:bidi="ru-RU"/>
        </w:rPr>
        <w:tab/>
      </w:r>
      <w:r w:rsidRPr="00732B33">
        <w:rPr>
          <w:lang w:bidi="ru-RU"/>
        </w:rPr>
        <w:tab/>
        <w:t>Представлено правительством Нидерландов</w:t>
      </w:r>
      <w:r w:rsidRPr="00732B33">
        <w:rPr>
          <w:rStyle w:val="FootnoteReference"/>
          <w:b w:val="0"/>
          <w:lang w:val="en-US" w:bidi="ru-RU"/>
        </w:rPr>
        <w:footnoteReference w:id="1"/>
      </w:r>
      <w:r w:rsidRPr="00083568">
        <w:rPr>
          <w:b w:val="0"/>
          <w:sz w:val="18"/>
          <w:szCs w:val="18"/>
          <w:vertAlign w:val="superscript"/>
          <w:lang w:bidi="ru-RU"/>
        </w:rPr>
        <w:t xml:space="preserve">, </w:t>
      </w:r>
      <w:r w:rsidRPr="00732B33">
        <w:rPr>
          <w:rStyle w:val="FootnoteReference"/>
          <w:b w:val="0"/>
          <w:lang w:val="en-US" w:bidi="ru-RU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732B33" w:rsidTr="001B1E2A">
        <w:tc>
          <w:tcPr>
            <w:tcW w:w="9854" w:type="dxa"/>
          </w:tcPr>
          <w:p w:rsidR="00732B33" w:rsidRPr="00732B33" w:rsidRDefault="00732B33" w:rsidP="00732B33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 w:bidi="ru-RU"/>
              </w:rPr>
            </w:pPr>
            <w:proofErr w:type="spellStart"/>
            <w:r w:rsidRPr="00732B33">
              <w:rPr>
                <w:i/>
                <w:sz w:val="24"/>
                <w:lang w:val="en-US" w:eastAsia="ru-RU" w:bidi="ru-RU"/>
              </w:rPr>
              <w:t>Резюме</w:t>
            </w:r>
            <w:proofErr w:type="spellEnd"/>
          </w:p>
        </w:tc>
      </w:tr>
      <w:tr w:rsidR="001B1E2A" w:rsidRPr="001B1E2A" w:rsidTr="001B1E2A">
        <w:tc>
          <w:tcPr>
            <w:tcW w:w="9854" w:type="dxa"/>
          </w:tcPr>
          <w:p w:rsidR="001B1E2A" w:rsidRPr="00083568" w:rsidRDefault="001B1E2A" w:rsidP="001B1E2A">
            <w:pPr>
              <w:pStyle w:val="SingleTxtGR"/>
              <w:tabs>
                <w:tab w:val="clear" w:pos="3969"/>
                <w:tab w:val="left" w:pos="3710"/>
              </w:tabs>
              <w:ind w:left="3710" w:hanging="2576"/>
              <w:rPr>
                <w:lang w:eastAsia="ru-RU" w:bidi="ru-RU"/>
              </w:rPr>
            </w:pPr>
            <w:r w:rsidRPr="001B1E2A">
              <w:rPr>
                <w:b/>
                <w:lang w:eastAsia="ru-RU" w:bidi="ru-RU"/>
              </w:rPr>
              <w:t>Существо предложения:</w:t>
            </w:r>
            <w:r w:rsidRPr="001B1E2A">
              <w:rPr>
                <w:lang w:eastAsia="ru-RU" w:bidi="ru-RU"/>
              </w:rPr>
              <w:tab/>
              <w:t>Три темы, представленные в настоящем документе, для лучшего понимания были переработаны в</w:t>
            </w:r>
            <w:r>
              <w:rPr>
                <w:lang w:val="en-US" w:eastAsia="ru-RU" w:bidi="ru-RU"/>
              </w:rPr>
              <w:t> </w:t>
            </w:r>
            <w:r w:rsidRPr="001B1E2A">
              <w:rPr>
                <w:lang w:eastAsia="ru-RU" w:bidi="ru-RU"/>
              </w:rPr>
              <w:t>национальные процедуры; данные процедуры требуется отозвать. Эти темы, которые дают допо</w:t>
            </w:r>
            <w:r w:rsidRPr="001B1E2A">
              <w:rPr>
                <w:lang w:eastAsia="ru-RU" w:bidi="ru-RU"/>
              </w:rPr>
              <w:t>л</w:t>
            </w:r>
            <w:r w:rsidRPr="001B1E2A">
              <w:rPr>
                <w:lang w:eastAsia="ru-RU" w:bidi="ru-RU"/>
              </w:rPr>
              <w:t>нительные преимущества с точки зрения безопа</w:t>
            </w:r>
            <w:r w:rsidRPr="001B1E2A">
              <w:rPr>
                <w:lang w:eastAsia="ru-RU" w:bidi="ru-RU"/>
              </w:rPr>
              <w:t>с</w:t>
            </w:r>
            <w:r w:rsidRPr="001B1E2A">
              <w:rPr>
                <w:lang w:eastAsia="ru-RU" w:bidi="ru-RU"/>
              </w:rPr>
              <w:t>ности, представлены в настоящем документе.</w:t>
            </w:r>
          </w:p>
        </w:tc>
      </w:tr>
      <w:tr w:rsidR="001B1E2A" w:rsidRPr="001B1E2A" w:rsidTr="001B1E2A">
        <w:tc>
          <w:tcPr>
            <w:tcW w:w="9854" w:type="dxa"/>
          </w:tcPr>
          <w:p w:rsidR="001B1E2A" w:rsidRPr="001B1E2A" w:rsidRDefault="001B1E2A" w:rsidP="001B1E2A">
            <w:pPr>
              <w:pStyle w:val="SingleTxtGR"/>
              <w:tabs>
                <w:tab w:val="clear" w:pos="3969"/>
                <w:tab w:val="left" w:pos="3710"/>
              </w:tabs>
              <w:ind w:left="3710" w:hanging="2576"/>
              <w:rPr>
                <w:lang w:eastAsia="ru-RU" w:bidi="ru-RU"/>
              </w:rPr>
            </w:pPr>
            <w:r w:rsidRPr="001B1E2A">
              <w:rPr>
                <w:b/>
                <w:lang w:eastAsia="ru-RU" w:bidi="ru-RU"/>
              </w:rPr>
              <w:t>Предлагаемое решение:</w:t>
            </w:r>
            <w:r w:rsidRPr="001B1E2A">
              <w:rPr>
                <w:lang w:eastAsia="ru-RU" w:bidi="ru-RU"/>
              </w:rPr>
              <w:tab/>
              <w:t>Обсудить темы и надлежащим образом изменить правила.</w:t>
            </w:r>
          </w:p>
        </w:tc>
      </w:tr>
      <w:tr w:rsidR="00732B33" w:rsidRPr="001B1E2A" w:rsidTr="001B1E2A">
        <w:tc>
          <w:tcPr>
            <w:tcW w:w="9854" w:type="dxa"/>
          </w:tcPr>
          <w:p w:rsidR="00732B33" w:rsidRPr="001B1E2A" w:rsidRDefault="001B1E2A" w:rsidP="001B1E2A">
            <w:pPr>
              <w:pStyle w:val="SingleTxtGR"/>
              <w:tabs>
                <w:tab w:val="clear" w:pos="3969"/>
                <w:tab w:val="left" w:pos="3710"/>
              </w:tabs>
              <w:ind w:left="3710" w:hanging="2576"/>
              <w:rPr>
                <w:lang w:eastAsia="ru-RU" w:bidi="ru-RU"/>
              </w:rPr>
            </w:pPr>
            <w:r w:rsidRPr="001B1E2A">
              <w:rPr>
                <w:b/>
                <w:lang w:eastAsia="ru-RU" w:bidi="ru-RU"/>
              </w:rPr>
              <w:t>Справочные документы:</w:t>
            </w:r>
            <w:r w:rsidRPr="001B1E2A">
              <w:rPr>
                <w:lang w:eastAsia="ru-RU" w:bidi="ru-RU"/>
              </w:rPr>
              <w:tab/>
              <w:t>Неофициальный документ INF.12, представленный на весенней сессии 2016 года.</w:t>
            </w:r>
          </w:p>
        </w:tc>
      </w:tr>
      <w:tr w:rsidR="00732B33" w:rsidRPr="001B1E2A" w:rsidTr="001B1E2A">
        <w:tc>
          <w:tcPr>
            <w:tcW w:w="9854" w:type="dxa"/>
          </w:tcPr>
          <w:p w:rsidR="00732B33" w:rsidRPr="001B1E2A" w:rsidRDefault="00732B33" w:rsidP="00732B33">
            <w:pPr>
              <w:rPr>
                <w:lang w:eastAsia="ru-RU" w:bidi="ru-RU"/>
              </w:rPr>
            </w:pPr>
          </w:p>
        </w:tc>
      </w:tr>
    </w:tbl>
    <w:p w:rsidR="002D04B8" w:rsidRPr="00732B33" w:rsidRDefault="002D04B8">
      <w:pPr>
        <w:spacing w:line="240" w:lineRule="auto"/>
      </w:pPr>
      <w:r w:rsidRPr="00732B33">
        <w:br w:type="page"/>
      </w:r>
    </w:p>
    <w:p w:rsidR="001B1E2A" w:rsidRPr="001B1E2A" w:rsidRDefault="001B1E2A" w:rsidP="001B1E2A">
      <w:pPr>
        <w:pStyle w:val="HChGR"/>
        <w:rPr>
          <w:lang w:bidi="ru-RU"/>
        </w:rPr>
      </w:pPr>
      <w:r w:rsidRPr="00083568">
        <w:rPr>
          <w:lang w:bidi="ru-RU"/>
        </w:rPr>
        <w:lastRenderedPageBreak/>
        <w:tab/>
      </w:r>
      <w:r w:rsidRPr="00083568">
        <w:rPr>
          <w:lang w:bidi="ru-RU"/>
        </w:rPr>
        <w:tab/>
      </w:r>
      <w:r w:rsidRPr="001B1E2A">
        <w:rPr>
          <w:lang w:bidi="ru-RU"/>
        </w:rPr>
        <w:t>Введение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1.</w:t>
      </w:r>
      <w:r w:rsidRPr="001B1E2A">
        <w:rPr>
          <w:lang w:bidi="ru-RU"/>
        </w:rPr>
        <w:tab/>
        <w:t>В ходе оценки ранее применявшейся национальной процедуры, каса</w:t>
      </w:r>
      <w:r w:rsidRPr="001B1E2A">
        <w:rPr>
          <w:lang w:bidi="ru-RU"/>
        </w:rPr>
        <w:t>ю</w:t>
      </w:r>
      <w:r w:rsidRPr="001B1E2A">
        <w:rPr>
          <w:lang w:bidi="ru-RU"/>
        </w:rPr>
        <w:t>щейся конструкции цистерны для перевозки СНГ, возникли следующие три т</w:t>
      </w:r>
      <w:r w:rsidRPr="001B1E2A">
        <w:rPr>
          <w:lang w:bidi="ru-RU"/>
        </w:rPr>
        <w:t>е</w:t>
      </w:r>
      <w:r w:rsidRPr="001B1E2A">
        <w:rPr>
          <w:lang w:bidi="ru-RU"/>
        </w:rPr>
        <w:t>мы. Было высказано мнение о том, что данные вопросы связаны с безопасн</w:t>
      </w:r>
      <w:r w:rsidRPr="001B1E2A">
        <w:rPr>
          <w:lang w:bidi="ru-RU"/>
        </w:rPr>
        <w:t>о</w:t>
      </w:r>
      <w:r w:rsidRPr="001B1E2A">
        <w:rPr>
          <w:lang w:bidi="ru-RU"/>
        </w:rPr>
        <w:t>стью, однако они отсутствуют в МПОГ/ДОПОГ или не получили в них дост</w:t>
      </w:r>
      <w:r w:rsidRPr="001B1E2A">
        <w:rPr>
          <w:lang w:bidi="ru-RU"/>
        </w:rPr>
        <w:t>а</w:t>
      </w:r>
      <w:r w:rsidRPr="001B1E2A">
        <w:rPr>
          <w:lang w:bidi="ru-RU"/>
        </w:rPr>
        <w:t>точного освещения. Предлагается обсудить их в рамках Рабочей группы по ц</w:t>
      </w:r>
      <w:r w:rsidRPr="001B1E2A">
        <w:rPr>
          <w:lang w:bidi="ru-RU"/>
        </w:rPr>
        <w:t>и</w:t>
      </w:r>
      <w:r w:rsidRPr="001B1E2A">
        <w:rPr>
          <w:lang w:bidi="ru-RU"/>
        </w:rPr>
        <w:t xml:space="preserve">стернам. </w:t>
      </w:r>
    </w:p>
    <w:p w:rsidR="001B1E2A" w:rsidRPr="001B1E2A" w:rsidRDefault="001B1E2A" w:rsidP="001B1E2A">
      <w:pPr>
        <w:pStyle w:val="H1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 xml:space="preserve">Тема 1: </w:t>
      </w:r>
      <w:proofErr w:type="spellStart"/>
      <w:r w:rsidRPr="001B1E2A">
        <w:rPr>
          <w:lang w:bidi="ru-RU"/>
        </w:rPr>
        <w:t>Пожаробезопасная</w:t>
      </w:r>
      <w:proofErr w:type="spellEnd"/>
      <w:r w:rsidRPr="001B1E2A">
        <w:rPr>
          <w:lang w:bidi="ru-RU"/>
        </w:rPr>
        <w:t xml:space="preserve"> конструкция первичных отсечных клапанов на цистернах, предназначенных для перевозки под давлением сжиженных легковоспламеняющихся или токсичных газов</w:t>
      </w:r>
    </w:p>
    <w:p w:rsidR="001B1E2A" w:rsidRPr="001B1E2A" w:rsidRDefault="001B1E2A" w:rsidP="001B1E2A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>Предложение 1: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2.</w:t>
      </w:r>
      <w:r w:rsidRPr="001B1E2A">
        <w:rPr>
          <w:lang w:bidi="ru-RU"/>
        </w:rPr>
        <w:tab/>
        <w:t>Включить новые формулировки в пункт 6.8.3.2.3 следующего содержания (новый те</w:t>
      </w:r>
      <w:proofErr w:type="gramStart"/>
      <w:r w:rsidRPr="001B1E2A">
        <w:rPr>
          <w:lang w:bidi="ru-RU"/>
        </w:rPr>
        <w:t>кст пр</w:t>
      </w:r>
      <w:proofErr w:type="gramEnd"/>
      <w:r w:rsidRPr="001B1E2A">
        <w:rPr>
          <w:lang w:bidi="ru-RU"/>
        </w:rPr>
        <w:t xml:space="preserve">иводится </w:t>
      </w:r>
      <w:r w:rsidRPr="001B1E2A">
        <w:rPr>
          <w:i/>
          <w:iCs/>
          <w:lang w:bidi="ru-RU"/>
        </w:rPr>
        <w:t>курсивом</w:t>
      </w:r>
      <w:r w:rsidRPr="001B1E2A">
        <w:rPr>
          <w:lang w:bidi="ru-RU"/>
        </w:rPr>
        <w:t>):</w:t>
      </w:r>
    </w:p>
    <w:p w:rsidR="001B1E2A" w:rsidRPr="001B1E2A" w:rsidRDefault="006D51E5" w:rsidP="00083568">
      <w:pPr>
        <w:pStyle w:val="SingleTxtGR"/>
        <w:rPr>
          <w:bCs/>
          <w:lang w:bidi="ru-RU"/>
        </w:rPr>
      </w:pPr>
      <w:r>
        <w:rPr>
          <w:lang w:bidi="ru-RU"/>
        </w:rPr>
        <w:t>«</w:t>
      </w:r>
      <w:r w:rsidR="001B1E2A" w:rsidRPr="001B1E2A">
        <w:rPr>
          <w:lang w:bidi="ru-RU"/>
        </w:rPr>
        <w:t>6.8.3.2.3</w:t>
      </w:r>
      <w:r w:rsidR="006E459E">
        <w:rPr>
          <w:lang w:bidi="ru-RU"/>
        </w:rPr>
        <w:tab/>
      </w:r>
      <w:r w:rsidR="001B1E2A" w:rsidRPr="001B1E2A">
        <w:rPr>
          <w:lang w:bidi="ru-RU"/>
        </w:rPr>
        <w:t>Внутренний запорный клапан, смонтированный на всех отверстиях для наполнения и опорожнения цистерн,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91"/>
        <w:gridCol w:w="4079"/>
      </w:tblGrid>
      <w:tr w:rsidR="00005FF7" w:rsidRPr="00005FF7" w:rsidTr="00005FF7">
        <w:tc>
          <w:tcPr>
            <w:tcW w:w="3544" w:type="dxa"/>
            <w:tcBorders>
              <w:right w:val="single" w:sz="4" w:space="0" w:color="auto"/>
            </w:tcBorders>
          </w:tcPr>
          <w:p w:rsidR="00005FF7" w:rsidRPr="00005FF7" w:rsidRDefault="00005FF7" w:rsidP="00005FF7">
            <w:pPr>
              <w:rPr>
                <w:rFonts w:eastAsia="SimSu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05FF7" w:rsidRPr="00005FF7" w:rsidRDefault="00005FF7" w:rsidP="001E0715">
            <w:pPr>
              <w:ind w:firstLine="567"/>
              <w:rPr>
                <w:rFonts w:eastAsia="SimSun"/>
              </w:rPr>
            </w:pPr>
            <w:r w:rsidRPr="00005FF7">
              <w:t>вместимостью более 1 м</w:t>
            </w:r>
            <w:r w:rsidRPr="006E459E">
              <w:rPr>
                <w:vertAlign w:val="superscript"/>
              </w:rPr>
              <w:t>3</w:t>
            </w:r>
          </w:p>
        </w:tc>
      </w:tr>
    </w:tbl>
    <w:p w:rsidR="001B1E2A" w:rsidRPr="001B1E2A" w:rsidRDefault="001B1E2A" w:rsidP="00005FF7">
      <w:pPr>
        <w:pStyle w:val="SingleTxtGR"/>
        <w:spacing w:before="120"/>
        <w:rPr>
          <w:lang w:bidi="ru-RU"/>
        </w:rPr>
      </w:pPr>
      <w:r w:rsidRPr="001B1E2A">
        <w:rPr>
          <w:lang w:bidi="ru-RU"/>
        </w:rPr>
        <w:t>предназначенных для перевозки сжиженных легковоспламеняющихся или то</w:t>
      </w:r>
      <w:r w:rsidRPr="001B1E2A">
        <w:rPr>
          <w:lang w:bidi="ru-RU"/>
        </w:rPr>
        <w:t>к</w:t>
      </w:r>
      <w:r w:rsidRPr="001B1E2A">
        <w:rPr>
          <w:lang w:bidi="ru-RU"/>
        </w:rPr>
        <w:t xml:space="preserve">сичных газов, должен быть </w:t>
      </w:r>
      <w:proofErr w:type="spellStart"/>
      <w:r w:rsidRPr="001B1E2A">
        <w:rPr>
          <w:i/>
          <w:iCs/>
          <w:lang w:bidi="ru-RU"/>
        </w:rPr>
        <w:t>пожаробезопасной</w:t>
      </w:r>
      <w:proofErr w:type="spellEnd"/>
      <w:r w:rsidRPr="001B1E2A">
        <w:rPr>
          <w:i/>
          <w:iCs/>
          <w:lang w:bidi="ru-RU"/>
        </w:rPr>
        <w:t xml:space="preserve"> конструкции,</w:t>
      </w:r>
      <w:r w:rsidRPr="001B1E2A">
        <w:rPr>
          <w:lang w:bidi="ru-RU"/>
        </w:rPr>
        <w:t xml:space="preserve"> быстродейству</w:t>
      </w:r>
      <w:r w:rsidRPr="001B1E2A">
        <w:rPr>
          <w:lang w:bidi="ru-RU"/>
        </w:rPr>
        <w:t>ю</w:t>
      </w:r>
      <w:r w:rsidRPr="001B1E2A">
        <w:rPr>
          <w:lang w:bidi="ru-RU"/>
        </w:rPr>
        <w:t>щим и должен автоматически закрываться в случае непредусмотренного пер</w:t>
      </w:r>
      <w:r w:rsidRPr="001B1E2A">
        <w:rPr>
          <w:lang w:bidi="ru-RU"/>
        </w:rPr>
        <w:t>е</w:t>
      </w:r>
      <w:r w:rsidRPr="001B1E2A">
        <w:rPr>
          <w:lang w:bidi="ru-RU"/>
        </w:rPr>
        <w:t>мещения цистерны или в случае пожара. Должна быть также предусмотрена возможность дистанционного управления внутренним запорным клапаном</w:t>
      </w:r>
      <w:r w:rsidR="006D51E5">
        <w:rPr>
          <w:lang w:bidi="ru-RU"/>
        </w:rPr>
        <w:t>»</w:t>
      </w:r>
      <w:r w:rsidRPr="001B1E2A">
        <w:rPr>
          <w:lang w:bidi="ru-RU"/>
        </w:rPr>
        <w:t>.</w:t>
      </w:r>
    </w:p>
    <w:p w:rsidR="001B1E2A" w:rsidRPr="001B1E2A" w:rsidRDefault="001B1E2A" w:rsidP="00005FF7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>Обоснование: тема 1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3.</w:t>
      </w:r>
      <w:r w:rsidRPr="001B1E2A">
        <w:rPr>
          <w:lang w:bidi="ru-RU"/>
        </w:rPr>
        <w:tab/>
        <w:t>Внутренний запорный клапан или первичные отсечные клапаны должны в случае пожара автоматически закрываться. Кроме того, эти клапаны должны сохранять герметичность в условиях пожара. Стандарт EN ISO 10497 существ</w:t>
      </w:r>
      <w:r w:rsidRPr="001B1E2A">
        <w:rPr>
          <w:lang w:bidi="ru-RU"/>
        </w:rPr>
        <w:t>у</w:t>
      </w:r>
      <w:r w:rsidRPr="001B1E2A">
        <w:rPr>
          <w:lang w:bidi="ru-RU"/>
        </w:rPr>
        <w:t>ет уже многие годы, и отвечающие его требованиям клапаны имеются на рынке. В стандарте EN 12252, на который содержится ссылка в ДОПОГ для автотран</w:t>
      </w:r>
      <w:r w:rsidRPr="001B1E2A">
        <w:rPr>
          <w:lang w:bidi="ru-RU"/>
        </w:rPr>
        <w:t>с</w:t>
      </w:r>
      <w:r w:rsidRPr="001B1E2A">
        <w:rPr>
          <w:lang w:bidi="ru-RU"/>
        </w:rPr>
        <w:t>портных средств на СНГ, этот стандарт упоминается, однако в нем не указано, к</w:t>
      </w:r>
      <w:r w:rsidR="006D51E5">
        <w:rPr>
          <w:lang w:bidi="ru-RU"/>
        </w:rPr>
        <w:t> </w:t>
      </w:r>
      <w:r w:rsidRPr="001B1E2A">
        <w:rPr>
          <w:lang w:bidi="ru-RU"/>
        </w:rPr>
        <w:t xml:space="preserve">каким клапанам он применяется. 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4.</w:t>
      </w:r>
      <w:r w:rsidRPr="001B1E2A">
        <w:rPr>
          <w:lang w:bidi="ru-RU"/>
        </w:rPr>
        <w:tab/>
        <w:t>В стандарте EN 12252, посвященном СНГ, говорится только о том, что в отношении других цистерн для аналогичных газов должны применяться иде</w:t>
      </w:r>
      <w:r w:rsidRPr="001B1E2A">
        <w:rPr>
          <w:lang w:bidi="ru-RU"/>
        </w:rPr>
        <w:t>н</w:t>
      </w:r>
      <w:r w:rsidRPr="001B1E2A">
        <w:rPr>
          <w:lang w:bidi="ru-RU"/>
        </w:rPr>
        <w:t>тичные</w:t>
      </w:r>
      <w:r w:rsidRPr="006D51E5">
        <w:rPr>
          <w:spacing w:val="2"/>
          <w:lang w:bidi="ru-RU"/>
        </w:rPr>
        <w:t xml:space="preserve"> предписания, в </w:t>
      </w:r>
      <w:proofErr w:type="gramStart"/>
      <w:r w:rsidRPr="006D51E5">
        <w:rPr>
          <w:spacing w:val="2"/>
          <w:lang w:bidi="ru-RU"/>
        </w:rPr>
        <w:t>связи</w:t>
      </w:r>
      <w:proofErr w:type="gramEnd"/>
      <w:r w:rsidRPr="006D51E5">
        <w:rPr>
          <w:spacing w:val="2"/>
          <w:lang w:bidi="ru-RU"/>
        </w:rPr>
        <w:t xml:space="preserve"> с чем предлагается упомянуть его в МПОГ/ДОПОГ. </w:t>
      </w:r>
      <w:r w:rsidRPr="001B1E2A">
        <w:rPr>
          <w:lang w:bidi="ru-RU"/>
        </w:rPr>
        <w:t>В случае благоприятного отклика на эту тему ЕКС следует информировать о</w:t>
      </w:r>
      <w:r w:rsidR="006D51E5">
        <w:rPr>
          <w:lang w:bidi="ru-RU"/>
        </w:rPr>
        <w:t> </w:t>
      </w:r>
      <w:r w:rsidRPr="001B1E2A">
        <w:rPr>
          <w:lang w:bidi="ru-RU"/>
        </w:rPr>
        <w:t xml:space="preserve">том, чтобы дополнительно указать на применимость стандарта </w:t>
      </w:r>
      <w:r w:rsidR="006D51E5">
        <w:rPr>
          <w:lang w:bidi="ru-RU"/>
        </w:rPr>
        <w:br/>
      </w:r>
      <w:r w:rsidRPr="001B1E2A">
        <w:rPr>
          <w:lang w:bidi="ru-RU"/>
        </w:rPr>
        <w:t>EN ISO 10497:2010 к первичным запорным клапанам в EN 12252 и включить стандарт EN 10497:2010 в стандарт EN 14433 в качестве применимого в отн</w:t>
      </w:r>
      <w:r w:rsidRPr="001B1E2A">
        <w:rPr>
          <w:lang w:bidi="ru-RU"/>
        </w:rPr>
        <w:t>о</w:t>
      </w:r>
      <w:r w:rsidRPr="001B1E2A">
        <w:rPr>
          <w:lang w:bidi="ru-RU"/>
        </w:rPr>
        <w:t>шении нижних клапанов для газообразных веществ. Следует также рассмотреть вопрос о том, необходима ли переходная мера для уже существующих цистерн.</w:t>
      </w:r>
    </w:p>
    <w:p w:rsidR="001B1E2A" w:rsidRPr="001B1E2A" w:rsidRDefault="001B1E2A" w:rsidP="00005FF7">
      <w:pPr>
        <w:pStyle w:val="H1GR"/>
        <w:rPr>
          <w:lang w:bidi="ru-RU"/>
        </w:rPr>
      </w:pPr>
      <w:r w:rsidRPr="001B1E2A">
        <w:rPr>
          <w:lang w:bidi="ru-RU"/>
        </w:rPr>
        <w:lastRenderedPageBreak/>
        <w:tab/>
      </w:r>
      <w:r w:rsidRPr="001B1E2A">
        <w:rPr>
          <w:lang w:bidi="ru-RU"/>
        </w:rPr>
        <w:tab/>
        <w:t>Тема 2: Запрещение стеклянных уровнемеров</w:t>
      </w:r>
    </w:p>
    <w:p w:rsidR="001B1E2A" w:rsidRPr="001B1E2A" w:rsidRDefault="001B1E2A" w:rsidP="00005FF7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 xml:space="preserve">Предложение 2 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5.</w:t>
      </w:r>
      <w:r w:rsidRPr="001B1E2A">
        <w:rPr>
          <w:lang w:bidi="ru-RU"/>
        </w:rPr>
        <w:tab/>
        <w:t>Включить новый пункт 6.8.2.2.11 следующего содержания:</w:t>
      </w:r>
    </w:p>
    <w:p w:rsidR="001B1E2A" w:rsidRPr="00083044" w:rsidRDefault="006D51E5" w:rsidP="006D51E5">
      <w:pPr>
        <w:pStyle w:val="SingleTxtGR"/>
        <w:ind w:left="2268" w:hanging="1134"/>
        <w:rPr>
          <w:lang w:bidi="ru-RU"/>
        </w:rPr>
      </w:pPr>
      <w:r w:rsidRPr="00083044">
        <w:rPr>
          <w:i/>
          <w:lang w:bidi="ru-RU"/>
        </w:rPr>
        <w:t>«</w:t>
      </w:r>
      <w:r w:rsidR="001B1E2A" w:rsidRPr="001B1E2A">
        <w:rPr>
          <w:i/>
          <w:lang w:bidi="ru-RU"/>
        </w:rPr>
        <w:t>6.8.2.2</w:t>
      </w:r>
      <w:r w:rsidR="00083568">
        <w:rPr>
          <w:i/>
          <w:lang w:bidi="ru-RU"/>
        </w:rPr>
        <w:t>.11</w:t>
      </w:r>
      <w:proofErr w:type="gramStart"/>
      <w:r w:rsidR="001B1E2A" w:rsidRPr="001B1E2A">
        <w:rPr>
          <w:lang w:bidi="ru-RU"/>
        </w:rPr>
        <w:tab/>
      </w:r>
      <w:r w:rsidR="001B1E2A" w:rsidRPr="001B1E2A">
        <w:rPr>
          <w:i/>
          <w:lang w:bidi="ru-RU"/>
        </w:rPr>
        <w:t>Н</w:t>
      </w:r>
      <w:proofErr w:type="gramEnd"/>
      <w:r w:rsidR="001B1E2A" w:rsidRPr="001B1E2A">
        <w:rPr>
          <w:i/>
          <w:lang w:bidi="ru-RU"/>
        </w:rPr>
        <w:t>е должны использоваться стеклянные уровнемеры и измерител</w:t>
      </w:r>
      <w:r w:rsidR="001B1E2A" w:rsidRPr="001B1E2A">
        <w:rPr>
          <w:i/>
          <w:lang w:bidi="ru-RU"/>
        </w:rPr>
        <w:t>ь</w:t>
      </w:r>
      <w:r w:rsidR="001B1E2A" w:rsidRPr="001B1E2A">
        <w:rPr>
          <w:i/>
          <w:lang w:bidi="ru-RU"/>
        </w:rPr>
        <w:t>ные приборы из другого хрупкого материала, находящиеся в неп</w:t>
      </w:r>
      <w:r w:rsidR="001B1E2A" w:rsidRPr="001B1E2A">
        <w:rPr>
          <w:i/>
          <w:lang w:bidi="ru-RU"/>
        </w:rPr>
        <w:t>о</w:t>
      </w:r>
      <w:r w:rsidR="001B1E2A" w:rsidRPr="001B1E2A">
        <w:rPr>
          <w:i/>
          <w:lang w:bidi="ru-RU"/>
        </w:rPr>
        <w:t>средственном контакте с содержимым корпуса</w:t>
      </w:r>
      <w:r w:rsidR="00083044" w:rsidRPr="00083044">
        <w:rPr>
          <w:i/>
          <w:lang w:bidi="ru-RU"/>
        </w:rPr>
        <w:t>»</w:t>
      </w:r>
      <w:r w:rsidR="00083044">
        <w:rPr>
          <w:lang w:bidi="ru-RU"/>
        </w:rPr>
        <w:t>.</w:t>
      </w:r>
    </w:p>
    <w:p w:rsidR="001B1E2A" w:rsidRPr="001B1E2A" w:rsidRDefault="001B1E2A" w:rsidP="00005FF7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>Предложение 3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6.</w:t>
      </w:r>
      <w:r w:rsidRPr="001B1E2A">
        <w:rPr>
          <w:lang w:bidi="ru-RU"/>
        </w:rPr>
        <w:tab/>
        <w:t xml:space="preserve">Исключить первое предложение пункта 6.8.3.2.6 следующим образом (исключенный текст </w:t>
      </w:r>
      <w:r w:rsidRPr="00083044">
        <w:rPr>
          <w:strike/>
          <w:lang w:bidi="ru-RU"/>
        </w:rPr>
        <w:t>вычеркнут</w:t>
      </w:r>
      <w:r w:rsidRPr="001B1E2A">
        <w:rPr>
          <w:lang w:bidi="ru-RU"/>
        </w:rPr>
        <w:t>):</w:t>
      </w:r>
    </w:p>
    <w:p w:rsidR="001B1E2A" w:rsidRPr="001B1E2A" w:rsidRDefault="00083044" w:rsidP="00D0641A">
      <w:pPr>
        <w:pStyle w:val="SingleTxtGR"/>
        <w:ind w:left="2268" w:hanging="1134"/>
        <w:rPr>
          <w:lang w:bidi="ru-RU"/>
        </w:rPr>
      </w:pPr>
      <w:r>
        <w:rPr>
          <w:lang w:bidi="ru-RU"/>
        </w:rPr>
        <w:t>«</w:t>
      </w:r>
      <w:r w:rsidR="001B1E2A" w:rsidRPr="001B1E2A">
        <w:rPr>
          <w:lang w:bidi="ru-RU"/>
        </w:rPr>
        <w:t>6.8.3.2.6</w:t>
      </w:r>
      <w:proofErr w:type="gramStart"/>
      <w:r>
        <w:rPr>
          <w:lang w:bidi="ru-RU"/>
        </w:rPr>
        <w:tab/>
      </w:r>
      <w:r w:rsidR="001B1E2A" w:rsidRPr="006E459E">
        <w:rPr>
          <w:strike/>
          <w:lang w:bidi="ru-RU"/>
        </w:rPr>
        <w:t>Е</w:t>
      </w:r>
      <w:proofErr w:type="gramEnd"/>
      <w:r w:rsidR="001B1E2A" w:rsidRPr="006E459E">
        <w:rPr>
          <w:strike/>
          <w:lang w:bidi="ru-RU"/>
        </w:rPr>
        <w:t>сли цистерны оборудованы уровнемерами, непосредственно с</w:t>
      </w:r>
      <w:r w:rsidR="001B1E2A" w:rsidRPr="006E459E">
        <w:rPr>
          <w:strike/>
          <w:lang w:bidi="ru-RU"/>
        </w:rPr>
        <w:t>о</w:t>
      </w:r>
      <w:r w:rsidR="001B1E2A" w:rsidRPr="006E459E">
        <w:rPr>
          <w:strike/>
          <w:lang w:bidi="ru-RU"/>
        </w:rPr>
        <w:t>прикасающимися с перевозимым веществом, то эти приборы не должны изготавливаться из прозрачного материала.</w:t>
      </w:r>
      <w:r w:rsidR="001B1E2A" w:rsidRPr="001B1E2A">
        <w:rPr>
          <w:lang w:bidi="ru-RU"/>
        </w:rPr>
        <w:t xml:space="preserve"> Если имеются термометры, они не должны погружаться непосредственно в газ или жидкость через стенки корпуса</w:t>
      </w:r>
      <w:r>
        <w:rPr>
          <w:lang w:bidi="ru-RU"/>
        </w:rPr>
        <w:t>»</w:t>
      </w:r>
      <w:r w:rsidR="001B1E2A" w:rsidRPr="001B1E2A">
        <w:rPr>
          <w:lang w:bidi="ru-RU"/>
        </w:rPr>
        <w:t xml:space="preserve">. </w:t>
      </w:r>
    </w:p>
    <w:p w:rsidR="001B1E2A" w:rsidRPr="001B1E2A" w:rsidRDefault="001B1E2A" w:rsidP="00005FF7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>Предложение 4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7.</w:t>
      </w:r>
      <w:r w:rsidRPr="001B1E2A">
        <w:rPr>
          <w:lang w:bidi="ru-RU"/>
        </w:rPr>
        <w:tab/>
        <w:t>Изменить первый абзац подпункта f) пункта 6.10.3.8 следующим образом (новый те</w:t>
      </w:r>
      <w:proofErr w:type="gramStart"/>
      <w:r w:rsidRPr="001B1E2A">
        <w:rPr>
          <w:lang w:bidi="ru-RU"/>
        </w:rPr>
        <w:t>кст пр</w:t>
      </w:r>
      <w:proofErr w:type="gramEnd"/>
      <w:r w:rsidRPr="001B1E2A">
        <w:rPr>
          <w:lang w:bidi="ru-RU"/>
        </w:rPr>
        <w:t>иводится</w:t>
      </w:r>
      <w:r w:rsidRPr="001B1E2A">
        <w:rPr>
          <w:i/>
          <w:iCs/>
          <w:lang w:bidi="ru-RU"/>
        </w:rPr>
        <w:t xml:space="preserve"> курсивом</w:t>
      </w:r>
      <w:r w:rsidRPr="001B1E2A">
        <w:rPr>
          <w:lang w:bidi="ru-RU"/>
        </w:rPr>
        <w:t xml:space="preserve">, исключенный текст </w:t>
      </w:r>
      <w:r w:rsidRPr="00083044">
        <w:rPr>
          <w:strike/>
          <w:lang w:bidi="ru-RU"/>
        </w:rPr>
        <w:t>вычеркнут</w:t>
      </w:r>
      <w:r w:rsidRPr="001B1E2A">
        <w:rPr>
          <w:lang w:bidi="ru-RU"/>
        </w:rPr>
        <w:t>):</w:t>
      </w:r>
    </w:p>
    <w:p w:rsidR="001B1E2A" w:rsidRPr="001B1E2A" w:rsidRDefault="00083044" w:rsidP="001B1E2A">
      <w:pPr>
        <w:pStyle w:val="SingleTxtGR"/>
        <w:rPr>
          <w:lang w:bidi="ru-RU"/>
        </w:rPr>
      </w:pPr>
      <w:r>
        <w:rPr>
          <w:lang w:bidi="ru-RU"/>
        </w:rPr>
        <w:t>«</w:t>
      </w:r>
      <w:r w:rsidR="001B1E2A" w:rsidRPr="001B1E2A">
        <w:rPr>
          <w:lang w:bidi="ru-RU"/>
        </w:rPr>
        <w:t>f)</w:t>
      </w:r>
      <w:r w:rsidR="001B1E2A" w:rsidRPr="001B1E2A">
        <w:rPr>
          <w:lang w:bidi="ru-RU"/>
        </w:rPr>
        <w:tab/>
        <w:t xml:space="preserve">цистерна или каждая ее секция, если она разделена на секции, должны быть снабжены уровнемером. </w:t>
      </w:r>
      <w:r w:rsidR="001B1E2A" w:rsidRPr="001B1E2A">
        <w:rPr>
          <w:i/>
          <w:iCs/>
          <w:lang w:bidi="ru-RU"/>
        </w:rPr>
        <w:t>Стеклянные уровнемеры и измерительные пр</w:t>
      </w:r>
      <w:r w:rsidR="001B1E2A" w:rsidRPr="001B1E2A">
        <w:rPr>
          <w:i/>
          <w:iCs/>
          <w:lang w:bidi="ru-RU"/>
        </w:rPr>
        <w:t>и</w:t>
      </w:r>
      <w:r w:rsidR="001B1E2A" w:rsidRPr="001B1E2A">
        <w:rPr>
          <w:i/>
          <w:iCs/>
          <w:lang w:bidi="ru-RU"/>
        </w:rPr>
        <w:t>боры из другого подходящего прозрачного материала</w:t>
      </w:r>
      <w:r w:rsidR="001B1E2A" w:rsidRPr="001B1E2A">
        <w:rPr>
          <w:lang w:bidi="ru-RU"/>
        </w:rPr>
        <w:t xml:space="preserve"> </w:t>
      </w:r>
      <w:r w:rsidR="001B1E2A" w:rsidRPr="00083044">
        <w:rPr>
          <w:strike/>
          <w:lang w:bidi="ru-RU"/>
        </w:rPr>
        <w:t>В качестве уровнемеров</w:t>
      </w:r>
      <w:r w:rsidR="001B1E2A" w:rsidRPr="00E66C8E">
        <w:rPr>
          <w:lang w:bidi="ru-RU"/>
        </w:rPr>
        <w:t xml:space="preserve"> могут использоваться </w:t>
      </w:r>
      <w:r w:rsidR="001B1E2A" w:rsidRPr="00E66C8E">
        <w:rPr>
          <w:i/>
          <w:iCs/>
          <w:lang w:bidi="ru-RU"/>
        </w:rPr>
        <w:t xml:space="preserve">в качестве </w:t>
      </w:r>
      <w:proofErr w:type="spellStart"/>
      <w:r w:rsidR="001B1E2A" w:rsidRPr="00E66C8E">
        <w:rPr>
          <w:i/>
          <w:iCs/>
          <w:lang w:bidi="ru-RU"/>
        </w:rPr>
        <w:t>уровнемеров</w:t>
      </w:r>
      <w:r w:rsidR="001B1E2A" w:rsidRPr="00083044">
        <w:rPr>
          <w:strike/>
          <w:lang w:bidi="ru-RU"/>
        </w:rPr>
        <w:t>смотровые</w:t>
      </w:r>
      <w:proofErr w:type="spellEnd"/>
      <w:r w:rsidR="001B1E2A" w:rsidRPr="00083044">
        <w:rPr>
          <w:strike/>
          <w:lang w:bidi="ru-RU"/>
        </w:rPr>
        <w:t xml:space="preserve"> стекла</w:t>
      </w:r>
      <w:r w:rsidR="001B1E2A" w:rsidRPr="001B1E2A">
        <w:rPr>
          <w:lang w:bidi="ru-RU"/>
        </w:rPr>
        <w:t>, если</w:t>
      </w:r>
      <w:proofErr w:type="gramStart"/>
      <w:r w:rsidR="001B1E2A" w:rsidRPr="001B1E2A">
        <w:rPr>
          <w:lang w:bidi="ru-RU"/>
        </w:rPr>
        <w:t>:</w:t>
      </w:r>
      <w:r>
        <w:rPr>
          <w:lang w:bidi="ru-RU"/>
        </w:rPr>
        <w:t>»</w:t>
      </w:r>
      <w:proofErr w:type="gramEnd"/>
      <w:r w:rsidR="001B1E2A" w:rsidRPr="001B1E2A">
        <w:rPr>
          <w:lang w:bidi="ru-RU"/>
        </w:rPr>
        <w:t>.</w:t>
      </w:r>
    </w:p>
    <w:p w:rsidR="001B1E2A" w:rsidRPr="001B1E2A" w:rsidRDefault="001B1E2A" w:rsidP="00005FF7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>Обоснование: тема 2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8.</w:t>
      </w:r>
      <w:r w:rsidRPr="001B1E2A">
        <w:rPr>
          <w:lang w:bidi="ru-RU"/>
        </w:rPr>
        <w:tab/>
        <w:t xml:space="preserve">Если какое-либо устройство не допускается, на это должно быть четко указано в соответствующей части правил. Смотровые стекла, прозрачные уровнемеры и изготовленные из </w:t>
      </w:r>
      <w:proofErr w:type="gramStart"/>
      <w:r w:rsidRPr="001B1E2A">
        <w:rPr>
          <w:lang w:bidi="ru-RU"/>
        </w:rPr>
        <w:t>стекла</w:t>
      </w:r>
      <w:proofErr w:type="gramEnd"/>
      <w:r w:rsidRPr="001B1E2A">
        <w:rPr>
          <w:lang w:bidi="ru-RU"/>
        </w:rPr>
        <w:t xml:space="preserve"> указатели уровня не разрешены в гл</w:t>
      </w:r>
      <w:r w:rsidRPr="001B1E2A">
        <w:rPr>
          <w:lang w:bidi="ru-RU"/>
        </w:rPr>
        <w:t>а</w:t>
      </w:r>
      <w:r w:rsidRPr="001B1E2A">
        <w:rPr>
          <w:lang w:bidi="ru-RU"/>
        </w:rPr>
        <w:t>ве</w:t>
      </w:r>
      <w:r w:rsidR="00083044">
        <w:rPr>
          <w:lang w:bidi="ru-RU"/>
        </w:rPr>
        <w:t> </w:t>
      </w:r>
      <w:r w:rsidRPr="001B1E2A">
        <w:rPr>
          <w:lang w:bidi="ru-RU"/>
        </w:rPr>
        <w:t>6.8. Такой вывод можно сделать на основе изменения, внесенного в гл</w:t>
      </w:r>
      <w:r w:rsidRPr="001B1E2A">
        <w:rPr>
          <w:lang w:bidi="ru-RU"/>
        </w:rPr>
        <w:t>а</w:t>
      </w:r>
      <w:r w:rsidRPr="001B1E2A">
        <w:rPr>
          <w:lang w:bidi="ru-RU"/>
        </w:rPr>
        <w:t>ву</w:t>
      </w:r>
      <w:r w:rsidR="00083044">
        <w:rPr>
          <w:lang w:bidi="ru-RU"/>
        </w:rPr>
        <w:t> </w:t>
      </w:r>
      <w:r w:rsidRPr="001B1E2A">
        <w:rPr>
          <w:lang w:bidi="ru-RU"/>
        </w:rPr>
        <w:t xml:space="preserve">6.10 в отношении вакуумных цистерн для отходов, для которых </w:t>
      </w:r>
      <w:r w:rsidR="00083044">
        <w:rPr>
          <w:lang w:bidi="ru-RU"/>
        </w:rPr>
        <w:t>«</w:t>
      </w:r>
      <w:r w:rsidRPr="001B1E2A">
        <w:rPr>
          <w:lang w:bidi="ru-RU"/>
        </w:rPr>
        <w:t>боковые стекла</w:t>
      </w:r>
      <w:r w:rsidR="00083044">
        <w:rPr>
          <w:lang w:bidi="ru-RU"/>
        </w:rPr>
        <w:t>»</w:t>
      </w:r>
      <w:r w:rsidRPr="001B1E2A">
        <w:rPr>
          <w:lang w:bidi="ru-RU"/>
        </w:rPr>
        <w:t xml:space="preserve"> разрешены. Другое указание содержится в пункте 6.8.3.2.6, в котором речь идет о том, что </w:t>
      </w:r>
      <w:r w:rsidR="00083044">
        <w:rPr>
          <w:lang w:bidi="ru-RU"/>
        </w:rPr>
        <w:t>«</w:t>
      </w:r>
      <w:r w:rsidRPr="001B1E2A">
        <w:rPr>
          <w:lang w:bidi="ru-RU"/>
        </w:rPr>
        <w:t>приборы не должны изготавливаться из прозрачного м</w:t>
      </w:r>
      <w:r w:rsidRPr="001B1E2A">
        <w:rPr>
          <w:lang w:bidi="ru-RU"/>
        </w:rPr>
        <w:t>а</w:t>
      </w:r>
      <w:r w:rsidRPr="001B1E2A">
        <w:rPr>
          <w:lang w:bidi="ru-RU"/>
        </w:rPr>
        <w:t>териала</w:t>
      </w:r>
      <w:r w:rsidR="00083044">
        <w:rPr>
          <w:lang w:bidi="ru-RU"/>
        </w:rPr>
        <w:t>»</w:t>
      </w:r>
      <w:r w:rsidRPr="001B1E2A">
        <w:rPr>
          <w:lang w:bidi="ru-RU"/>
        </w:rPr>
        <w:t>. Использование прозрачных уровнемеров не допускается также в гл</w:t>
      </w:r>
      <w:r w:rsidRPr="001B1E2A">
        <w:rPr>
          <w:lang w:bidi="ru-RU"/>
        </w:rPr>
        <w:t>а</w:t>
      </w:r>
      <w:r w:rsidRPr="001B1E2A">
        <w:rPr>
          <w:lang w:bidi="ru-RU"/>
        </w:rPr>
        <w:t xml:space="preserve">ве 6.7 (см. пункты 6.7.2.16.1 и 6.7.3.12.1). </w:t>
      </w:r>
    </w:p>
    <w:p w:rsidR="001B1E2A" w:rsidRPr="001B1E2A" w:rsidRDefault="001B1E2A" w:rsidP="001B1E2A">
      <w:pPr>
        <w:pStyle w:val="SingleTxtGR"/>
        <w:rPr>
          <w:lang w:bidi="ru-RU"/>
        </w:rPr>
      </w:pPr>
      <w:r w:rsidRPr="001B1E2A">
        <w:rPr>
          <w:lang w:bidi="ru-RU"/>
        </w:rPr>
        <w:t>9.</w:t>
      </w:r>
      <w:r w:rsidRPr="001B1E2A">
        <w:rPr>
          <w:lang w:bidi="ru-RU"/>
        </w:rPr>
        <w:tab/>
        <w:t>Текст настоящего предложения основан на формулировке, содержащейся в главе 6.7, и оно приводит главу 6.8 в соответствие с главой 6.7. Принятие н</w:t>
      </w:r>
      <w:r w:rsidRPr="001B1E2A">
        <w:rPr>
          <w:lang w:bidi="ru-RU"/>
        </w:rPr>
        <w:t>о</w:t>
      </w:r>
      <w:r w:rsidRPr="001B1E2A">
        <w:rPr>
          <w:lang w:bidi="ru-RU"/>
        </w:rPr>
        <w:t>вого текста требует двух сопутствующих поправок. Поскольку раздел 6.8.3 и</w:t>
      </w:r>
      <w:r w:rsidRPr="001B1E2A">
        <w:rPr>
          <w:lang w:bidi="ru-RU"/>
        </w:rPr>
        <w:t>з</w:t>
      </w:r>
      <w:r w:rsidRPr="001B1E2A">
        <w:rPr>
          <w:lang w:bidi="ru-RU"/>
        </w:rPr>
        <w:t>меняет или дополняет раздел 6.8.2 для газов, нет необходимости повторять этот текст в разделе 6.8.3. Кроме того, в тексте подпункта f) пункта 6.10.3.8 следует использовать аналогичную формулировку во избежание путаницы.</w:t>
      </w:r>
    </w:p>
    <w:p w:rsidR="001B1E2A" w:rsidRPr="001B1E2A" w:rsidRDefault="001B1E2A" w:rsidP="00005FF7">
      <w:pPr>
        <w:pStyle w:val="H1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 xml:space="preserve">Тема 3: Предупреждение проникновения воды </w:t>
      </w:r>
      <w:r w:rsidR="00670247">
        <w:rPr>
          <w:lang w:bidi="ru-RU"/>
        </w:rPr>
        <w:br/>
      </w:r>
      <w:r w:rsidRPr="001B1E2A">
        <w:rPr>
          <w:lang w:bidi="ru-RU"/>
        </w:rPr>
        <w:t>в предохранительные клапаны</w:t>
      </w:r>
    </w:p>
    <w:p w:rsidR="001B1E2A" w:rsidRPr="001B1E2A" w:rsidRDefault="001B1E2A" w:rsidP="00005FF7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>Предложение 5</w:t>
      </w:r>
    </w:p>
    <w:p w:rsidR="001B1E2A" w:rsidRPr="001B1E2A" w:rsidRDefault="00D0641A" w:rsidP="001B1E2A">
      <w:pPr>
        <w:pStyle w:val="SingleTxtGR"/>
        <w:rPr>
          <w:lang w:bidi="ru-RU"/>
        </w:rPr>
      </w:pPr>
      <w:r>
        <w:rPr>
          <w:lang w:bidi="ru-RU"/>
        </w:rPr>
        <w:tab/>
      </w:r>
      <w:r w:rsidR="001B1E2A" w:rsidRPr="001B1E2A">
        <w:rPr>
          <w:lang w:bidi="ru-RU"/>
        </w:rPr>
        <w:t>Включить новый абзац в конце пункта 6.8.3.2.9 следующего содержания (новый те</w:t>
      </w:r>
      <w:proofErr w:type="gramStart"/>
      <w:r w:rsidR="001B1E2A" w:rsidRPr="001B1E2A">
        <w:rPr>
          <w:lang w:bidi="ru-RU"/>
        </w:rPr>
        <w:t>кст пр</w:t>
      </w:r>
      <w:proofErr w:type="gramEnd"/>
      <w:r w:rsidR="001B1E2A" w:rsidRPr="001B1E2A">
        <w:rPr>
          <w:lang w:bidi="ru-RU"/>
        </w:rPr>
        <w:t xml:space="preserve">иводится </w:t>
      </w:r>
      <w:r w:rsidR="001B1E2A" w:rsidRPr="001B1E2A">
        <w:rPr>
          <w:i/>
          <w:iCs/>
          <w:lang w:bidi="ru-RU"/>
        </w:rPr>
        <w:t>курсивом</w:t>
      </w:r>
      <w:r w:rsidR="001B1E2A" w:rsidRPr="001B1E2A">
        <w:rPr>
          <w:lang w:bidi="ru-RU"/>
        </w:rPr>
        <w:t>):</w:t>
      </w:r>
    </w:p>
    <w:p w:rsidR="001B1E2A" w:rsidRPr="001B1E2A" w:rsidRDefault="00E66C8E" w:rsidP="001B1E2A">
      <w:pPr>
        <w:pStyle w:val="SingleTxtGR"/>
        <w:rPr>
          <w:lang w:bidi="ru-RU"/>
        </w:rPr>
      </w:pPr>
      <w:r>
        <w:rPr>
          <w:lang w:bidi="ru-RU"/>
        </w:rPr>
        <w:lastRenderedPageBreak/>
        <w:t>«</w:t>
      </w:r>
      <w:r w:rsidR="001B1E2A" w:rsidRPr="001B1E2A">
        <w:rPr>
          <w:lang w:bidi="ru-RU"/>
        </w:rPr>
        <w:t>6.8.3.2.9</w:t>
      </w:r>
      <w:r>
        <w:rPr>
          <w:lang w:bidi="ru-RU"/>
        </w:rPr>
        <w:tab/>
      </w:r>
      <w:r w:rsidR="001B1E2A" w:rsidRPr="001B1E2A">
        <w:rPr>
          <w:lang w:bidi="ru-RU"/>
        </w:rPr>
        <w:t>Цистерны, предназначенные…</w:t>
      </w:r>
    </w:p>
    <w:p w:rsidR="001B1E2A" w:rsidRPr="001B1E2A" w:rsidRDefault="00E66C8E" w:rsidP="001B1E2A">
      <w:pPr>
        <w:pStyle w:val="SingleTxt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1B1E2A" w:rsidRPr="001B1E2A">
        <w:rPr>
          <w:lang w:bidi="ru-RU"/>
        </w:rPr>
        <w:t>формулировка, содержащаяся в пункте 6.7.3.8.11</w:t>
      </w:r>
      <w:r w:rsidR="001E0715">
        <w:rPr>
          <w:lang w:bidi="ru-RU"/>
        </w:rPr>
        <w:t>.</w:t>
      </w:r>
    </w:p>
    <w:p w:rsidR="001B1E2A" w:rsidRPr="001E0715" w:rsidRDefault="00E66C8E" w:rsidP="00E66C8E">
      <w:pPr>
        <w:pStyle w:val="SingleTxtGR"/>
        <w:ind w:left="2268" w:hanging="1134"/>
        <w:rPr>
          <w:lang w:bidi="ru-RU"/>
        </w:rPr>
      </w:pPr>
      <w:r>
        <w:rPr>
          <w:i/>
          <w:lang w:bidi="ru-RU"/>
        </w:rPr>
        <w:tab/>
      </w:r>
      <w:r>
        <w:rPr>
          <w:i/>
          <w:lang w:bidi="ru-RU"/>
        </w:rPr>
        <w:tab/>
      </w:r>
      <w:r w:rsidR="001B1E2A" w:rsidRPr="001B1E2A">
        <w:rPr>
          <w:i/>
          <w:lang w:bidi="ru-RU"/>
        </w:rPr>
        <w:t>Предохранительные клапаны, которые могут собирать воду по причине дождя или распыления, что будет препятствовать их надлежащему функционированию [в случае замерзания воды], должны быть оснащены дождевым колпаком. Такой дождевой колпак не должен заметно увеличивать давление опорожнения или ограничивать скорость опорожнения</w:t>
      </w:r>
      <w:r w:rsidR="001E0715">
        <w:rPr>
          <w:lang w:bidi="ru-RU"/>
        </w:rPr>
        <w:t>».</w:t>
      </w:r>
    </w:p>
    <w:p w:rsidR="001B1E2A" w:rsidRPr="001B1E2A" w:rsidRDefault="001B1E2A" w:rsidP="00005FF7">
      <w:pPr>
        <w:pStyle w:val="H23GR"/>
        <w:rPr>
          <w:lang w:bidi="ru-RU"/>
        </w:rPr>
      </w:pPr>
      <w:r w:rsidRPr="001B1E2A">
        <w:rPr>
          <w:lang w:bidi="ru-RU"/>
        </w:rPr>
        <w:tab/>
      </w:r>
      <w:r w:rsidRPr="001B1E2A">
        <w:rPr>
          <w:lang w:bidi="ru-RU"/>
        </w:rPr>
        <w:tab/>
        <w:t>Обоснование: тема 3</w:t>
      </w:r>
    </w:p>
    <w:p w:rsidR="001B1E2A" w:rsidRPr="001B1E2A" w:rsidRDefault="00D0641A" w:rsidP="001B1E2A">
      <w:pPr>
        <w:pStyle w:val="SingleTxtGR"/>
        <w:rPr>
          <w:lang w:bidi="ru-RU"/>
        </w:rPr>
      </w:pPr>
      <w:r>
        <w:rPr>
          <w:lang w:bidi="ru-RU"/>
        </w:rPr>
        <w:tab/>
      </w:r>
      <w:r w:rsidR="001B1E2A" w:rsidRPr="001B1E2A">
        <w:rPr>
          <w:lang w:bidi="ru-RU"/>
        </w:rPr>
        <w:t>В выпускном отверстии некоторых предохранительных клапанов в силу их конструкции может скапливаться вода. Это, в частности, имеет место в сл</w:t>
      </w:r>
      <w:r w:rsidR="001B1E2A" w:rsidRPr="001B1E2A">
        <w:rPr>
          <w:lang w:bidi="ru-RU"/>
        </w:rPr>
        <w:t>у</w:t>
      </w:r>
      <w:r w:rsidR="001B1E2A" w:rsidRPr="001B1E2A">
        <w:rPr>
          <w:lang w:bidi="ru-RU"/>
        </w:rPr>
        <w:t>чае конкретных видов предохранительных клапанов, используемых на цисте</w:t>
      </w:r>
      <w:r w:rsidR="001B1E2A" w:rsidRPr="001B1E2A">
        <w:rPr>
          <w:lang w:bidi="ru-RU"/>
        </w:rPr>
        <w:t>р</w:t>
      </w:r>
      <w:r w:rsidR="001B1E2A" w:rsidRPr="001B1E2A">
        <w:rPr>
          <w:lang w:bidi="ru-RU"/>
        </w:rPr>
        <w:t xml:space="preserve">нах для перевозки сжиженных легковоспламеняющихся газов, таких как СНГ. </w:t>
      </w:r>
    </w:p>
    <w:p w:rsidR="001B1E2A" w:rsidRPr="001B1E2A" w:rsidRDefault="001B1E2A" w:rsidP="001B1E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1E2A" w:rsidRPr="001B1E2A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B8" w:rsidRDefault="002D04B8" w:rsidP="00B471C5">
      <w:r>
        <w:separator/>
      </w:r>
    </w:p>
  </w:endnote>
  <w:endnote w:type="continuationSeparator" w:id="0">
    <w:p w:rsidR="002D04B8" w:rsidRDefault="002D04B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21290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D04B8" w:rsidRPr="002D04B8">
      <w:rPr>
        <w:lang w:val="en-US"/>
      </w:rPr>
      <w:t>11088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D04B8" w:rsidRPr="002D04B8">
      <w:rPr>
        <w:lang w:val="en-US"/>
      </w:rPr>
      <w:t>11088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2129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D04B8" w:rsidRPr="002D04B8">
            <w:rPr>
              <w:lang w:val="en-US"/>
            </w:rPr>
            <w:t>11088</w:t>
          </w:r>
          <w:r w:rsidRPr="001C3ABC">
            <w:rPr>
              <w:lang w:val="en-US"/>
            </w:rPr>
            <w:t xml:space="preserve"> </w:t>
          </w:r>
          <w:r w:rsidR="002D04B8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2D04B8">
            <w:rPr>
              <w:lang w:val="en-US"/>
            </w:rPr>
            <w:t xml:space="preserve">  260716  260716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5372DAF" wp14:editId="00E0499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D04B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7734C51" wp14:editId="5D4396F1">
                <wp:extent cx="579120" cy="579120"/>
                <wp:effectExtent l="0" t="0" r="0" b="0"/>
                <wp:docPr id="3" name="Рисунок 3" descr="http://undocs.org/m2/QRCode.ashx?DS=ECE/TRANS/WP.15/AC.1/2016/2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D04B8" w:rsidRDefault="002D04B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D04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B8" w:rsidRPr="009141DC" w:rsidRDefault="002D04B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D04B8" w:rsidRPr="00D1261C" w:rsidRDefault="002D04B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32B33" w:rsidRPr="00732B33" w:rsidRDefault="00732B3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32B33">
        <w:rPr>
          <w:lang w:val="ru-RU"/>
        </w:rPr>
        <w:tab/>
      </w:r>
      <w:r w:rsidRPr="00732B33">
        <w:rPr>
          <w:lang w:val="ru-RU" w:bidi="ru-RU"/>
        </w:rPr>
        <w:t>В соответствии с проектом программы работы Комитета по внутреннему транспорту на 2016</w:t>
      </w:r>
      <w:r w:rsidR="00E66C8E">
        <w:rPr>
          <w:lang w:val="ru-RU" w:bidi="ru-RU"/>
        </w:rPr>
        <w:t>–</w:t>
      </w:r>
      <w:r w:rsidRPr="00732B33">
        <w:rPr>
          <w:lang w:val="ru-RU" w:bidi="ru-RU"/>
        </w:rPr>
        <w:t>2017 годы (ECE/TRANS/2016/28/Add.1 (9.2)).</w:t>
      </w:r>
    </w:p>
  </w:footnote>
  <w:footnote w:id="2">
    <w:p w:rsidR="00732B33" w:rsidRPr="00732B33" w:rsidRDefault="00732B33" w:rsidP="00732B33">
      <w:pPr>
        <w:pStyle w:val="FootnoteText"/>
        <w:spacing w:after="120"/>
        <w:rPr>
          <w:lang w:val="ru-RU"/>
        </w:rPr>
      </w:pPr>
      <w:r w:rsidRPr="00732B33">
        <w:rPr>
          <w:lang w:val="ru-RU"/>
        </w:rPr>
        <w:tab/>
      </w:r>
      <w:r>
        <w:rPr>
          <w:rStyle w:val="FootnoteReference"/>
        </w:rPr>
        <w:footnoteRef/>
      </w:r>
      <w:r w:rsidRPr="00732B33">
        <w:rPr>
          <w:lang w:val="ru-RU"/>
        </w:rPr>
        <w:tab/>
      </w:r>
      <w:r w:rsidRPr="00732B33">
        <w:rPr>
          <w:lang w:val="ru-RU" w:bidi="ru-RU"/>
        </w:rPr>
        <w:t>Распространено Межправительственной организацией по международным железнодорожным перевозкам (ОТИФ) под символом OTIF/RID/RC/2016/26.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2D04B8" w:rsidRPr="002D04B8">
      <w:rPr>
        <w:lang w:val="en-US"/>
      </w:rPr>
      <w:t>TRANS/WP.15/AC.1/2016/26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2D04B8" w:rsidRPr="002D04B8">
      <w:rPr>
        <w:lang w:val="en-US"/>
      </w:rPr>
      <w:t>TRANS/WP.15/AC.1/2016/26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8"/>
    <w:rsid w:val="00005FF7"/>
    <w:rsid w:val="000258E2"/>
    <w:rsid w:val="000450D1"/>
    <w:rsid w:val="00083044"/>
    <w:rsid w:val="00083568"/>
    <w:rsid w:val="000B1FD5"/>
    <w:rsid w:val="000F2A4F"/>
    <w:rsid w:val="001B1E2A"/>
    <w:rsid w:val="001D648F"/>
    <w:rsid w:val="001E0715"/>
    <w:rsid w:val="00203F84"/>
    <w:rsid w:val="00275188"/>
    <w:rsid w:val="0028687D"/>
    <w:rsid w:val="002B091C"/>
    <w:rsid w:val="002B3D40"/>
    <w:rsid w:val="002D04B8"/>
    <w:rsid w:val="002D0CCB"/>
    <w:rsid w:val="00345C79"/>
    <w:rsid w:val="00366A39"/>
    <w:rsid w:val="0048005C"/>
    <w:rsid w:val="004D639B"/>
    <w:rsid w:val="004E242B"/>
    <w:rsid w:val="00521290"/>
    <w:rsid w:val="00544379"/>
    <w:rsid w:val="00566944"/>
    <w:rsid w:val="005D56BF"/>
    <w:rsid w:val="0062027E"/>
    <w:rsid w:val="00643644"/>
    <w:rsid w:val="00665D8D"/>
    <w:rsid w:val="00670247"/>
    <w:rsid w:val="006A7A3B"/>
    <w:rsid w:val="006B6B57"/>
    <w:rsid w:val="006D51E5"/>
    <w:rsid w:val="006E459E"/>
    <w:rsid w:val="006F49F1"/>
    <w:rsid w:val="007005EE"/>
    <w:rsid w:val="00705394"/>
    <w:rsid w:val="00732B33"/>
    <w:rsid w:val="00743F62"/>
    <w:rsid w:val="00760D3A"/>
    <w:rsid w:val="00766073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446C"/>
    <w:rsid w:val="00AD7EAD"/>
    <w:rsid w:val="00B35A32"/>
    <w:rsid w:val="00B432C6"/>
    <w:rsid w:val="00B471C5"/>
    <w:rsid w:val="00B6474A"/>
    <w:rsid w:val="00BE1742"/>
    <w:rsid w:val="00CC799C"/>
    <w:rsid w:val="00D0641A"/>
    <w:rsid w:val="00D1261C"/>
    <w:rsid w:val="00D26030"/>
    <w:rsid w:val="00D75DCE"/>
    <w:rsid w:val="00DA1F7C"/>
    <w:rsid w:val="00DD35AC"/>
    <w:rsid w:val="00DD479F"/>
    <w:rsid w:val="00DF714F"/>
    <w:rsid w:val="00E15E48"/>
    <w:rsid w:val="00E66C8E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9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9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CF48-C18B-41EB-8FD0-6EC9933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barrio-champeau</cp:lastModifiedBy>
  <cp:revision>2</cp:revision>
  <cp:lastPrinted>2016-07-26T13:10:00Z</cp:lastPrinted>
  <dcterms:created xsi:type="dcterms:W3CDTF">2016-07-27T09:01:00Z</dcterms:created>
  <dcterms:modified xsi:type="dcterms:W3CDTF">2016-07-27T09:01:00Z</dcterms:modified>
</cp:coreProperties>
</file>