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6F292A">
                <w:t>TRANS/WP.15/AC.1/2016/21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A230FF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230FF">
              <w:fldChar w:fldCharType="separate"/>
            </w:r>
            <w:r w:rsidR="00A230FF" w:rsidRPr="00245892">
              <w:fldChar w:fldCharType="end"/>
            </w:r>
            <w:bookmarkEnd w:id="0"/>
          </w:p>
          <w:p w:rsidR="00A658DB" w:rsidRPr="00245892" w:rsidRDefault="006F292A" w:rsidP="007B199D">
            <w:r>
              <w:rPr>
                <w:lang w:val="en-US"/>
              </w:rPr>
              <w:t>29 June 2016</w:t>
            </w:r>
            <w:r w:rsidR="00A230FF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230FF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A230FF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230FF">
              <w:fldChar w:fldCharType="separate"/>
            </w:r>
            <w:r w:rsidR="00A230FF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F292A" w:rsidRPr="006F292A" w:rsidRDefault="006F292A" w:rsidP="006F292A">
      <w:pPr>
        <w:spacing w:before="120" w:line="240" w:lineRule="auto"/>
        <w:rPr>
          <w:sz w:val="28"/>
          <w:szCs w:val="28"/>
        </w:rPr>
      </w:pPr>
      <w:r w:rsidRPr="006F292A">
        <w:rPr>
          <w:sz w:val="28"/>
          <w:szCs w:val="28"/>
        </w:rPr>
        <w:t>Комитет по внутреннему транспорту</w:t>
      </w:r>
    </w:p>
    <w:p w:rsidR="006F292A" w:rsidRPr="006F292A" w:rsidRDefault="006F292A" w:rsidP="006F292A">
      <w:pPr>
        <w:spacing w:before="120" w:line="240" w:lineRule="auto"/>
        <w:rPr>
          <w:b/>
          <w:sz w:val="24"/>
          <w:szCs w:val="24"/>
        </w:rPr>
      </w:pPr>
      <w:r w:rsidRPr="006F292A">
        <w:rPr>
          <w:b/>
          <w:sz w:val="24"/>
          <w:szCs w:val="24"/>
        </w:rPr>
        <w:t>Рабочая группа по перевозкам опасных грузов</w:t>
      </w:r>
    </w:p>
    <w:p w:rsidR="006F292A" w:rsidRPr="006F292A" w:rsidRDefault="006F292A" w:rsidP="006F292A">
      <w:pPr>
        <w:spacing w:before="120" w:line="240" w:lineRule="auto"/>
        <w:rPr>
          <w:b/>
        </w:rPr>
      </w:pPr>
      <w:r w:rsidRPr="006F292A">
        <w:rPr>
          <w:b/>
        </w:rPr>
        <w:t>Совместное совещание Комиссии экспертов МПОГ</w:t>
      </w:r>
    </w:p>
    <w:p w:rsidR="006F292A" w:rsidRPr="006F292A" w:rsidRDefault="006F292A" w:rsidP="006F292A">
      <w:pPr>
        <w:spacing w:line="240" w:lineRule="auto"/>
        <w:rPr>
          <w:b/>
        </w:rPr>
      </w:pPr>
      <w:r w:rsidRPr="006F292A">
        <w:rPr>
          <w:b/>
        </w:rPr>
        <w:t>и Рабочей группы по перевозкам опасных грузов</w:t>
      </w:r>
    </w:p>
    <w:p w:rsidR="006F292A" w:rsidRPr="006F292A" w:rsidRDefault="006F292A" w:rsidP="006F292A">
      <w:pPr>
        <w:spacing w:line="240" w:lineRule="auto"/>
      </w:pPr>
      <w:r w:rsidRPr="006F292A">
        <w:t>Женева, 19–23 сентября 2016 года</w:t>
      </w:r>
    </w:p>
    <w:p w:rsidR="006F292A" w:rsidRPr="006F292A" w:rsidRDefault="006F292A" w:rsidP="006F292A">
      <w:pPr>
        <w:spacing w:line="240" w:lineRule="auto"/>
      </w:pPr>
      <w:r w:rsidRPr="006F292A">
        <w:t>Пункт 2 предварительной повестки дня</w:t>
      </w:r>
    </w:p>
    <w:p w:rsidR="006F292A" w:rsidRPr="006F292A" w:rsidRDefault="006F292A" w:rsidP="006F292A">
      <w:pPr>
        <w:spacing w:line="240" w:lineRule="auto"/>
        <w:rPr>
          <w:b/>
          <w:bCs/>
        </w:rPr>
      </w:pPr>
      <w:r w:rsidRPr="006F292A">
        <w:rPr>
          <w:b/>
        </w:rPr>
        <w:t>Цистерны</w:t>
      </w:r>
    </w:p>
    <w:p w:rsidR="006F292A" w:rsidRPr="006F292A" w:rsidRDefault="006F292A" w:rsidP="006F292A">
      <w:pPr>
        <w:pStyle w:val="HChGR"/>
      </w:pPr>
      <w:r w:rsidRPr="006F292A">
        <w:tab/>
      </w:r>
      <w:r w:rsidRPr="006F292A">
        <w:tab/>
        <w:t>Эксплуатационное оборудование цистерн</w:t>
      </w:r>
    </w:p>
    <w:p w:rsidR="006F292A" w:rsidRPr="006F292A" w:rsidRDefault="006F292A" w:rsidP="006F292A">
      <w:pPr>
        <w:pStyle w:val="H1GR"/>
      </w:pPr>
      <w:r w:rsidRPr="006F292A">
        <w:tab/>
      </w:r>
      <w:r w:rsidRPr="006F292A">
        <w:tab/>
        <w:t>Передано Европейской ассоциацией по промышленным газам (ЕАПГ)</w:t>
      </w:r>
      <w:r w:rsidRPr="007F1695">
        <w:rPr>
          <w:rStyle w:val="Appelnotedebasdep"/>
          <w:b w:val="0"/>
        </w:rPr>
        <w:footnoteReference w:id="1"/>
      </w:r>
      <w:r w:rsidRPr="008D51D2">
        <w:rPr>
          <w:b w:val="0"/>
          <w:sz w:val="18"/>
          <w:szCs w:val="18"/>
          <w:vertAlign w:val="superscript"/>
        </w:rPr>
        <w:t>,</w:t>
      </w:r>
      <w:r w:rsidRPr="008D51D2">
        <w:rPr>
          <w:b w:val="0"/>
          <w:vertAlign w:val="superscript"/>
        </w:rPr>
        <w:t xml:space="preserve"> </w:t>
      </w:r>
      <w:r w:rsidR="008D51D2" w:rsidRPr="008D51D2">
        <w:rPr>
          <w:rStyle w:val="Appelnotedebasdep"/>
          <w:b w:val="0"/>
        </w:rPr>
        <w:footnoteReference w:id="2"/>
      </w:r>
    </w:p>
    <w:p w:rsidR="006F292A" w:rsidRPr="006F292A" w:rsidRDefault="006F292A" w:rsidP="006F292A">
      <w:pPr>
        <w:pStyle w:val="HChGR"/>
      </w:pPr>
      <w:r w:rsidRPr="006F292A">
        <w:tab/>
      </w:r>
      <w:r w:rsidRPr="006F292A">
        <w:tab/>
        <w:t>Введение</w:t>
      </w:r>
    </w:p>
    <w:p w:rsidR="006F292A" w:rsidRPr="006F292A" w:rsidRDefault="006F292A" w:rsidP="008D51D2">
      <w:pPr>
        <w:pStyle w:val="SingleTxtGR"/>
      </w:pPr>
      <w:r w:rsidRPr="006F292A">
        <w:t>1.</w:t>
      </w:r>
      <w:r w:rsidRPr="006F292A">
        <w:tab/>
        <w:t>Настоящий документ уже представлялся Рабочей группе по цистернам в качестве неофициального документа INF.18 на весенней сессии Совместного совещания, но из-за нехватки времени его тогда обсудить не удалось.</w:t>
      </w:r>
    </w:p>
    <w:p w:rsidR="006F292A" w:rsidRPr="006F292A" w:rsidRDefault="006F292A" w:rsidP="008D51D2">
      <w:pPr>
        <w:pStyle w:val="SingleTxtGR"/>
      </w:pPr>
      <w:r w:rsidRPr="006F292A">
        <w:t>2.</w:t>
      </w:r>
      <w:r w:rsidRPr="006F292A">
        <w:tab/>
        <w:t>Неофициальная рабочая группа по положениям, касающимся оборудования цистерн и сосудов под давлением, почти завершила подготовку своих соображений относительно сосудов под давлением и хотела бы теперь обратиться к последнему элементу ее круга ведения, который касается цистерн. Делегаты, возможно, пожелают вспомнить о следующих трех элементах этого круга ведения:</w:t>
      </w:r>
    </w:p>
    <w:p w:rsidR="006F292A" w:rsidRPr="006F292A" w:rsidRDefault="008D51D2" w:rsidP="008D51D2">
      <w:pPr>
        <w:pStyle w:val="SingleTxtGR"/>
      </w:pPr>
      <w:r>
        <w:rPr>
          <w:lang w:val="en-US"/>
        </w:rPr>
        <w:tab/>
      </w:r>
      <w:r w:rsidR="006F292A" w:rsidRPr="006F292A">
        <w:t>i)</w:t>
      </w:r>
      <w:r w:rsidR="006F292A" w:rsidRPr="006F292A">
        <w:tab/>
        <w:t>уточнение термина «сосуд под давлением» с целью установить, относятся ли к нему затворы;</w:t>
      </w:r>
    </w:p>
    <w:p w:rsidR="006F292A" w:rsidRPr="006F292A" w:rsidRDefault="008D51D2" w:rsidP="008D51D2">
      <w:pPr>
        <w:pStyle w:val="SingleTxtGR"/>
      </w:pPr>
      <w:r w:rsidRPr="007F1695">
        <w:tab/>
      </w:r>
      <w:r w:rsidR="006F292A" w:rsidRPr="006F292A">
        <w:t>ii)</w:t>
      </w:r>
      <w:r w:rsidR="006F292A" w:rsidRPr="006F292A">
        <w:tab/>
        <w:t>изучение полноты требований, касающихся конструкции, оценки соответствия и маркировки затворов сосудов под давлением;</w:t>
      </w:r>
    </w:p>
    <w:p w:rsidR="006F292A" w:rsidRPr="006F292A" w:rsidRDefault="008D51D2" w:rsidP="008D51D2">
      <w:pPr>
        <w:pStyle w:val="SingleTxtGR"/>
      </w:pPr>
      <w:r>
        <w:rPr>
          <w:lang w:val="en-US"/>
        </w:rPr>
        <w:lastRenderedPageBreak/>
        <w:tab/>
      </w:r>
      <w:r w:rsidR="006F292A" w:rsidRPr="006F292A">
        <w:t>iii)</w:t>
      </w:r>
      <w:r w:rsidR="006F292A" w:rsidRPr="006F292A">
        <w:tab/>
        <w:t>изучение полноты требований, касающихся конструкции, оценки соответствия и маркировки эксплуатационного оборудования цистерн.</w:t>
      </w:r>
    </w:p>
    <w:p w:rsidR="006F292A" w:rsidRPr="006F292A" w:rsidRDefault="006F292A" w:rsidP="008D51D2">
      <w:pPr>
        <w:pStyle w:val="SingleTxtGR"/>
      </w:pPr>
      <w:r w:rsidRPr="006F292A">
        <w:t>3.</w:t>
      </w:r>
      <w:r w:rsidRPr="006F292A">
        <w:tab/>
        <w:t>Для решения вопросов, связанных с положениями, касающимися цистерн, требуется участие экспертов по цистернам, и поэтому для того, чтобы лучше понять необходимость и сферу применения поправок к главе 6.8, ЕАПГ просит выделить время для обсуждения этих вопросов в Рабочей группе по цистернам. Это также позволит установить соответствующие сроки проведения любых последующих совещаний неофициальной рабочей группы для обсуждения положений, касающихся цистерн.</w:t>
      </w:r>
    </w:p>
    <w:p w:rsidR="006F292A" w:rsidRPr="006F292A" w:rsidRDefault="006F292A" w:rsidP="0057716D">
      <w:pPr>
        <w:pStyle w:val="HChGR"/>
      </w:pPr>
      <w:r w:rsidRPr="006F292A">
        <w:tab/>
      </w:r>
      <w:r w:rsidRPr="006F292A">
        <w:tab/>
        <w:t>Темы для обсуждения</w:t>
      </w:r>
    </w:p>
    <w:p w:rsidR="006F292A" w:rsidRPr="006F292A" w:rsidRDefault="006F292A" w:rsidP="008D51D2">
      <w:pPr>
        <w:pStyle w:val="SingleTxtGR"/>
      </w:pPr>
      <w:r w:rsidRPr="006F292A">
        <w:t>4.</w:t>
      </w:r>
      <w:r w:rsidRPr="006F292A">
        <w:tab/>
        <w:t>Председатель неофициальной рабочей группы предлагает следующие вопросы для возможного обсуждения Рабочей группой по цистернам. Это предложение не имеет целью ограничить список соответствующих тем, которые, возможно, пожелают обсудить другие участники.</w:t>
      </w:r>
    </w:p>
    <w:p w:rsidR="006F292A" w:rsidRPr="006F292A" w:rsidRDefault="006F292A" w:rsidP="0057716D">
      <w:pPr>
        <w:pStyle w:val="H1GR"/>
      </w:pPr>
      <w:r w:rsidRPr="006F292A">
        <w:tab/>
      </w:r>
      <w:r w:rsidRPr="006F292A">
        <w:tab/>
        <w:t>Определения</w:t>
      </w:r>
    </w:p>
    <w:p w:rsidR="006F292A" w:rsidRPr="006F292A" w:rsidRDefault="006F292A" w:rsidP="008D51D2">
      <w:pPr>
        <w:pStyle w:val="SingleTxtGR"/>
      </w:pPr>
      <w:r w:rsidRPr="006F292A">
        <w:t>5.</w:t>
      </w:r>
      <w:r w:rsidRPr="006F292A">
        <w:tab/>
        <w:t>В отличие от сосудов под давлением определения, касающиеся цистерн, в основном четки и последовательны, но есть один момент, который вызывает сомнения. Определение «корпус» включает в себя затворы, следовательно можно заключить, что эксплуатационное оборудование не включает в себя затворы. Поэтому для устранения сомнений предлагается добавить затворы к определению эксплуатационного оборудования.</w:t>
      </w:r>
    </w:p>
    <w:p w:rsidR="006F292A" w:rsidRPr="006F292A" w:rsidRDefault="006F292A" w:rsidP="0057716D">
      <w:pPr>
        <w:pStyle w:val="H1GR"/>
      </w:pPr>
      <w:r w:rsidRPr="006F292A">
        <w:tab/>
      </w:r>
      <w:r w:rsidRPr="006F292A">
        <w:tab/>
        <w:t>Утверждения типа клапанов и другого эксплуатационного оборудования</w:t>
      </w:r>
    </w:p>
    <w:p w:rsidR="006F292A" w:rsidRPr="006F292A" w:rsidRDefault="006F292A" w:rsidP="008D51D2">
      <w:pPr>
        <w:pStyle w:val="SingleTxtGR"/>
      </w:pPr>
      <w:r w:rsidRPr="006F292A">
        <w:t>6.</w:t>
      </w:r>
      <w:r w:rsidRPr="006F292A">
        <w:tab/>
        <w:t>Последний абзац пункта 6.8.2.3.1 гласит:</w:t>
      </w:r>
    </w:p>
    <w:p w:rsidR="006F292A" w:rsidRPr="006F292A" w:rsidRDefault="0057716D" w:rsidP="0057716D">
      <w:pPr>
        <w:pStyle w:val="SingleTxtGR"/>
        <w:ind w:left="1701"/>
      </w:pPr>
      <w:r>
        <w:rPr>
          <w:lang w:val="en-US"/>
        </w:rPr>
        <w:tab/>
      </w:r>
      <w:r w:rsidR="006F292A" w:rsidRPr="006F292A">
        <w:t>«Компетентный орган или назначенный им орган по просьбе заявителя осуществляет отдельное утверждение типа клапанов и другого эксплуатационного оборудования, в отношении которых в таблице в пункте 6.8.2.6.1 указан стандарт, в соответствии с данным стандартом. Это отдельное утверждение типа надлежит учитывать при выдаче свидетельства на цистерну при условии, что результаты испытания представлены и клапаны и другое эксплуатационное оборудование пригодны к предполагаемому использованию».</w:t>
      </w:r>
    </w:p>
    <w:p w:rsidR="006F292A" w:rsidRPr="006F292A" w:rsidRDefault="007F1695" w:rsidP="008D51D2">
      <w:pPr>
        <w:pStyle w:val="SingleTxtGR"/>
      </w:pPr>
      <w:r>
        <w:rPr>
          <w:lang w:val="en-US"/>
        </w:rPr>
        <w:tab/>
      </w:r>
      <w:r w:rsidR="006F292A" w:rsidRPr="006F292A">
        <w:t>Количество стандартов ограничено, и вполне вероятно, что стандарты, указанные в МПОГ/ДОПОГ, никогда не будут охватывать все эксплуатационное оборудование, используемое на цистернах.</w:t>
      </w:r>
    </w:p>
    <w:p w:rsidR="006F292A" w:rsidRPr="006F292A" w:rsidRDefault="006F292A" w:rsidP="008D51D2">
      <w:pPr>
        <w:pStyle w:val="SingleTxtGR"/>
      </w:pPr>
      <w:r w:rsidRPr="006F292A">
        <w:rPr>
          <w:b/>
        </w:rPr>
        <w:t>Вопрос 1</w:t>
      </w:r>
      <w:r w:rsidRPr="006F292A">
        <w:tab/>
        <w:t>Существует ли необходимость в распространении отдельного утверждения типа на затворы и/или другое эксплуатационное оборудование, не подпадающее под стандарты, на которые сделаны ссылки?</w:t>
      </w:r>
    </w:p>
    <w:p w:rsidR="006F292A" w:rsidRPr="006F292A" w:rsidRDefault="006F292A" w:rsidP="008D51D2">
      <w:pPr>
        <w:pStyle w:val="SingleTxtGR"/>
      </w:pPr>
      <w:r w:rsidRPr="006F292A">
        <w:rPr>
          <w:b/>
        </w:rPr>
        <w:t>Вопрос 2</w:t>
      </w:r>
      <w:r w:rsidRPr="006F292A">
        <w:tab/>
        <w:t>Если бы такие утверждения типа предоставлялись, то какие технические требования, включая маркировочные знаки, необходимо было бы указать в МПОГ/ДОПОГ?</w:t>
      </w:r>
    </w:p>
    <w:p w:rsidR="006F292A" w:rsidRPr="006F292A" w:rsidRDefault="006F292A" w:rsidP="0057716D">
      <w:pPr>
        <w:pStyle w:val="H1GR"/>
      </w:pPr>
      <w:r w:rsidRPr="006F292A">
        <w:lastRenderedPageBreak/>
        <w:tab/>
      </w:r>
      <w:r w:rsidRPr="006F292A">
        <w:tab/>
        <w:t>Первоначальная проверка оборудования</w:t>
      </w:r>
    </w:p>
    <w:p w:rsidR="006F292A" w:rsidRPr="006F292A" w:rsidRDefault="006F292A" w:rsidP="008D51D2">
      <w:pPr>
        <w:pStyle w:val="SingleTxtGR"/>
      </w:pPr>
      <w:r w:rsidRPr="006F292A">
        <w:t>7.</w:t>
      </w:r>
      <w:r w:rsidRPr="006F292A">
        <w:tab/>
        <w:t>Первый абзац пункта 6.8.2.4.1 гласит:</w:t>
      </w:r>
    </w:p>
    <w:p w:rsidR="006F292A" w:rsidRPr="006F292A" w:rsidRDefault="00A10CDB" w:rsidP="0057716D">
      <w:pPr>
        <w:pStyle w:val="SingleTxtGR"/>
        <w:ind w:left="1701"/>
      </w:pPr>
      <w:r>
        <w:rPr>
          <w:lang w:val="en-US"/>
        </w:rPr>
        <w:tab/>
      </w:r>
      <w:r w:rsidR="006F292A" w:rsidRPr="006F292A">
        <w:t xml:space="preserve">«Корпуса и их оборудование должны перед началом эксплуатации подвергаться, </w:t>
      </w:r>
      <w:r w:rsidR="006F292A" w:rsidRPr="006F292A">
        <w:rPr>
          <w:b/>
        </w:rPr>
        <w:t>в сборе или раздельно</w:t>
      </w:r>
      <w:r w:rsidR="006F292A" w:rsidRPr="006F292A">
        <w:t>, первоначальной проверке. Эта проверка включает:</w:t>
      </w:r>
    </w:p>
    <w:p w:rsidR="006F292A" w:rsidRPr="006F292A" w:rsidRDefault="006F292A" w:rsidP="00D262D7">
      <w:pPr>
        <w:pStyle w:val="Bullet1GR"/>
      </w:pPr>
      <w:r w:rsidRPr="006F292A">
        <w:t>проверку соответствия утвержденному типу;</w:t>
      </w:r>
    </w:p>
    <w:p w:rsidR="006F292A" w:rsidRPr="006F292A" w:rsidRDefault="006F292A" w:rsidP="00D262D7">
      <w:pPr>
        <w:pStyle w:val="Bullet1GR"/>
        <w:rPr>
          <w:bCs/>
        </w:rPr>
      </w:pPr>
      <w:r w:rsidRPr="006F292A">
        <w:t>проверку конструкционных характеристик</w:t>
      </w:r>
      <w:r w:rsidRPr="00762DBE">
        <w:rPr>
          <w:rStyle w:val="Appelnotedebasdep"/>
        </w:rPr>
        <w:footnoteReference w:customMarkFollows="1" w:id="3"/>
        <w:t>9</w:t>
      </w:r>
      <w:r w:rsidRPr="006F292A">
        <w:rPr>
          <w:iCs/>
        </w:rPr>
        <w:t>;</w:t>
      </w:r>
    </w:p>
    <w:p w:rsidR="006F292A" w:rsidRPr="006F292A" w:rsidRDefault="006F292A" w:rsidP="00D262D7">
      <w:pPr>
        <w:pStyle w:val="Bullet1GR"/>
      </w:pPr>
      <w:r w:rsidRPr="006F292A">
        <w:t>внутренний и наружный осмотр;</w:t>
      </w:r>
      <w:bookmarkStart w:id="2" w:name="_GoBack"/>
      <w:bookmarkEnd w:id="2"/>
    </w:p>
    <w:p w:rsidR="006F292A" w:rsidRPr="006F292A" w:rsidRDefault="006F292A" w:rsidP="00D262D7">
      <w:pPr>
        <w:pStyle w:val="Bullet1GR"/>
      </w:pPr>
      <w:r w:rsidRPr="006F292A">
        <w:t>гидравлическое испытание под давлением</w:t>
      </w:r>
      <w:r w:rsidRPr="00D52823">
        <w:rPr>
          <w:rStyle w:val="Appelnotedebasdep"/>
        </w:rPr>
        <w:footnoteReference w:customMarkFollows="1" w:id="4"/>
        <w:t>10</w:t>
      </w:r>
      <w:r w:rsidRPr="006F292A">
        <w:rPr>
          <w:bCs/>
        </w:rPr>
        <w:t>, которое указано на табличке, предписанной в пункте 6.8.2.5.1;</w:t>
      </w:r>
      <w:r w:rsidRPr="006F292A">
        <w:t xml:space="preserve"> и</w:t>
      </w:r>
    </w:p>
    <w:p w:rsidR="006F292A" w:rsidRPr="006F292A" w:rsidRDefault="006F292A" w:rsidP="00D262D7">
      <w:pPr>
        <w:pStyle w:val="Bullet1GR"/>
      </w:pPr>
      <w:r w:rsidRPr="006F292A">
        <w:t xml:space="preserve">испытание на герметичность и проверку удовлетворительного </w:t>
      </w:r>
      <w:r w:rsidR="005759FA">
        <w:t>ф</w:t>
      </w:r>
      <w:r w:rsidRPr="006F292A">
        <w:t>ункционирования оборудования».</w:t>
      </w:r>
    </w:p>
    <w:p w:rsidR="006F292A" w:rsidRPr="006F292A" w:rsidRDefault="006F292A" w:rsidP="008D51D2">
      <w:pPr>
        <w:pStyle w:val="SingleTxtGR"/>
      </w:pPr>
      <w:r w:rsidRPr="006F292A">
        <w:rPr>
          <w:b/>
        </w:rPr>
        <w:t>Вопрос 3</w:t>
      </w:r>
      <w:r w:rsidRPr="006F292A">
        <w:tab/>
        <w:t>Достаточно ли выражение «в сборе или раздельно» ясно для того, чтобы обеспечить утверждение цистерны в целом и включение в него оценки пригодности эксплуатационного оборудования для цистерны?</w:t>
      </w:r>
    </w:p>
    <w:p w:rsidR="006F292A" w:rsidRPr="006F292A" w:rsidRDefault="006F292A" w:rsidP="008D51D2">
      <w:pPr>
        <w:pStyle w:val="SingleTxtGR"/>
      </w:pPr>
      <w:r w:rsidRPr="006F292A">
        <w:rPr>
          <w:b/>
        </w:rPr>
        <w:t>Вопрос 4</w:t>
      </w:r>
      <w:r w:rsidRPr="006F292A">
        <w:tab/>
        <w:t>Существуют ли достаточные требования для обеспечения удовлетворительной отдельной первоначальной проверки эксплуатационного оборудования цистерн?</w:t>
      </w:r>
    </w:p>
    <w:p w:rsidR="006F292A" w:rsidRPr="00A10CDB" w:rsidRDefault="005620C0" w:rsidP="008D51D2">
      <w:pPr>
        <w:pStyle w:val="SingleTxtGR"/>
      </w:pPr>
      <w:r>
        <w:rPr>
          <w:lang w:val="en-US"/>
        </w:rPr>
        <w:tab/>
      </w:r>
      <w:r w:rsidR="006F292A" w:rsidRPr="006F292A">
        <w:t>Для справки отметим, что рабочая группа предлагает добавить к разделу 6.2.5.1 МПОГ/ДОПОГ следующие требования в отношении первоначальной проверки затворов сосудов под давлением</w:t>
      </w:r>
      <w:r w:rsidR="00A10CDB" w:rsidRPr="00A10CDB">
        <w:t>.</w:t>
      </w:r>
    </w:p>
    <w:p w:rsidR="006F292A" w:rsidRPr="006F292A" w:rsidRDefault="00122678" w:rsidP="005620C0">
      <w:pPr>
        <w:pStyle w:val="SingleTxtGR"/>
        <w:ind w:left="1701"/>
        <w:rPr>
          <w:iCs/>
        </w:rPr>
      </w:pPr>
      <w:r w:rsidRPr="00A10CDB">
        <w:rPr>
          <w:iCs/>
        </w:rPr>
        <w:tab/>
      </w:r>
      <w:r w:rsidR="006F292A" w:rsidRPr="006F292A">
        <w:rPr>
          <w:iCs/>
        </w:rPr>
        <w:t>«На соответствующем образце затворов проводится:</w:t>
      </w:r>
    </w:p>
    <w:p w:rsidR="006F292A" w:rsidRPr="006F292A" w:rsidRDefault="006F292A" w:rsidP="005620C0">
      <w:pPr>
        <w:pStyle w:val="SingleTxtGR"/>
        <w:ind w:left="1701"/>
      </w:pPr>
      <w:r w:rsidRPr="006F292A">
        <w:rPr>
          <w:iCs/>
        </w:rPr>
        <w:t>k)</w:t>
      </w:r>
      <w:r w:rsidRPr="006F292A">
        <w:rPr>
          <w:iCs/>
        </w:rPr>
        <w:tab/>
        <w:t>проверка металлических и неметаллических материалов;</w:t>
      </w:r>
    </w:p>
    <w:p w:rsidR="006F292A" w:rsidRPr="006F292A" w:rsidRDefault="006F292A" w:rsidP="005620C0">
      <w:pPr>
        <w:pStyle w:val="SingleTxtGR"/>
        <w:ind w:left="1701"/>
      </w:pPr>
      <w:r w:rsidRPr="006F292A">
        <w:t>l)</w:t>
      </w:r>
      <w:r w:rsidRPr="006F292A">
        <w:tab/>
        <w:t>проверка размеров;</w:t>
      </w:r>
    </w:p>
    <w:p w:rsidR="006F292A" w:rsidRPr="006F292A" w:rsidRDefault="006F292A" w:rsidP="005620C0">
      <w:pPr>
        <w:pStyle w:val="SingleTxtGR"/>
        <w:ind w:left="1701"/>
      </w:pPr>
      <w:r w:rsidRPr="006F292A">
        <w:rPr>
          <w:iCs/>
        </w:rPr>
        <w:t>m)</w:t>
      </w:r>
      <w:r w:rsidRPr="006F292A">
        <w:rPr>
          <w:iCs/>
        </w:rPr>
        <w:tab/>
        <w:t>проверка чистоты;</w:t>
      </w:r>
    </w:p>
    <w:p w:rsidR="006F292A" w:rsidRPr="006F292A" w:rsidRDefault="006F292A" w:rsidP="005620C0">
      <w:pPr>
        <w:pStyle w:val="SingleTxtGR"/>
        <w:ind w:left="1701"/>
      </w:pPr>
      <w:r w:rsidRPr="006F292A">
        <w:t>n)</w:t>
      </w:r>
      <w:r w:rsidRPr="006F292A">
        <w:tab/>
        <w:t>проверка окончательной сборки;</w:t>
      </w:r>
    </w:p>
    <w:p w:rsidR="006F292A" w:rsidRPr="006F292A" w:rsidRDefault="006F292A" w:rsidP="005620C0">
      <w:pPr>
        <w:pStyle w:val="SingleTxtGR"/>
        <w:ind w:left="1701"/>
      </w:pPr>
      <w:r w:rsidRPr="006F292A">
        <w:t>o)</w:t>
      </w:r>
      <w:r w:rsidRPr="006F292A">
        <w:tab/>
        <w:t>проверка соответствия маркировочных знаков.</w:t>
      </w:r>
    </w:p>
    <w:p w:rsidR="006F292A" w:rsidRPr="006F292A" w:rsidRDefault="00A10CDB" w:rsidP="005620C0">
      <w:pPr>
        <w:pStyle w:val="SingleTxtGR"/>
        <w:ind w:left="1701"/>
        <w:rPr>
          <w:iCs/>
        </w:rPr>
      </w:pPr>
      <w:r>
        <w:rPr>
          <w:iCs/>
          <w:lang w:val="en-US"/>
        </w:rPr>
        <w:tab/>
      </w:r>
      <w:r w:rsidR="006F292A" w:rsidRPr="006F292A">
        <w:rPr>
          <w:iCs/>
        </w:rPr>
        <w:t>В отношении всех затворов:</w:t>
      </w:r>
    </w:p>
    <w:p w:rsidR="006F292A" w:rsidRPr="006F292A" w:rsidRDefault="006F292A" w:rsidP="005620C0">
      <w:pPr>
        <w:pStyle w:val="SingleTxtGR"/>
        <w:ind w:left="1701"/>
        <w:rPr>
          <w:iCs/>
        </w:rPr>
      </w:pPr>
      <w:r w:rsidRPr="006F292A">
        <w:rPr>
          <w:iCs/>
        </w:rPr>
        <w:t>p)</w:t>
      </w:r>
      <w:r w:rsidRPr="006F292A">
        <w:rPr>
          <w:iCs/>
        </w:rPr>
        <w:tab/>
        <w:t>испытание на герметичность;</w:t>
      </w:r>
    </w:p>
    <w:p w:rsidR="006F292A" w:rsidRPr="006F292A" w:rsidRDefault="006F292A" w:rsidP="005620C0">
      <w:pPr>
        <w:pStyle w:val="SingleTxtGR"/>
        <w:ind w:left="1701"/>
        <w:rPr>
          <w:iCs/>
        </w:rPr>
      </w:pPr>
      <w:r w:rsidRPr="006F292A">
        <w:rPr>
          <w:iCs/>
        </w:rPr>
        <w:t>q)</w:t>
      </w:r>
      <w:r w:rsidRPr="006F292A">
        <w:rPr>
          <w:iCs/>
        </w:rPr>
        <w:tab/>
        <w:t>проверка наличия маркировочных знаков».</w:t>
      </w:r>
    </w:p>
    <w:p w:rsidR="006F292A" w:rsidRPr="006F292A" w:rsidRDefault="006F292A" w:rsidP="005620C0">
      <w:pPr>
        <w:pStyle w:val="H1GR"/>
        <w:rPr>
          <w:iCs/>
        </w:rPr>
      </w:pPr>
      <w:r w:rsidRPr="006F292A">
        <w:lastRenderedPageBreak/>
        <w:tab/>
      </w:r>
      <w:r w:rsidRPr="006F292A">
        <w:tab/>
        <w:t>Маркировка</w:t>
      </w:r>
    </w:p>
    <w:p w:rsidR="006F292A" w:rsidRPr="006F292A" w:rsidRDefault="006F292A" w:rsidP="008D51D2">
      <w:pPr>
        <w:pStyle w:val="SingleTxtGR"/>
      </w:pPr>
      <w:r w:rsidRPr="006F292A">
        <w:t>8.</w:t>
      </w:r>
      <w:r w:rsidRPr="006F292A">
        <w:tab/>
        <w:t>Раздел 6.8.3.5 ограничивается маркировкой цистерны в сборе с оборудованием. В настоящее время отдельное утверждение типа ограничивается эксплуатационным оборудованием, для которого указаны стандарты, и в стандартах обычно указаны требования к маркировке.</w:t>
      </w:r>
    </w:p>
    <w:p w:rsidR="006F292A" w:rsidRPr="006F292A" w:rsidRDefault="006F292A" w:rsidP="008D51D2">
      <w:pPr>
        <w:pStyle w:val="SingleTxtGR"/>
      </w:pPr>
      <w:r w:rsidRPr="006F292A">
        <w:rPr>
          <w:b/>
        </w:rPr>
        <w:t>Вопрос 5</w:t>
      </w:r>
      <w:r w:rsidRPr="006F292A">
        <w:tab/>
        <w:t>Есть ли необходимость в указании в МПОГ/ДОПОГ минимальных маркировочных знаков, применяемых к эксплуатационному оборудованию?</w:t>
      </w:r>
    </w:p>
    <w:p w:rsidR="006F292A" w:rsidRPr="006F292A" w:rsidRDefault="006F292A" w:rsidP="008D51D2">
      <w:pPr>
        <w:pStyle w:val="SingleTxtGR"/>
        <w:rPr>
          <w:i/>
        </w:rPr>
      </w:pPr>
      <w:r w:rsidRPr="006F292A">
        <w:rPr>
          <w:b/>
          <w:i/>
        </w:rPr>
        <w:t>ПРИМЕЧАНИЕ:</w:t>
      </w:r>
      <w:r w:rsidRPr="006F292A">
        <w:rPr>
          <w:b/>
          <w:i/>
        </w:rPr>
        <w:tab/>
      </w:r>
      <w:r w:rsidRPr="006F292A">
        <w:rPr>
          <w:i/>
        </w:rPr>
        <w:t>Указание минимальных требований к маркировке будет более требовательным, если будет решено не производить утверждение типа эксплуатационного оборудования в соответствии со стандартами.</w:t>
      </w:r>
    </w:p>
    <w:p w:rsidR="006F292A" w:rsidRPr="006F292A" w:rsidRDefault="005620C0" w:rsidP="008D51D2">
      <w:pPr>
        <w:pStyle w:val="SingleTxtGR"/>
      </w:pPr>
      <w:r>
        <w:rPr>
          <w:lang w:val="en-US"/>
        </w:rPr>
        <w:tab/>
      </w:r>
      <w:r w:rsidR="006F292A" w:rsidRPr="006F292A">
        <w:t>Для справки отметим, что рабочая группа предлагает добавить к новому подразделу 6.2.2.7.11 МПОГ/ДОПОГ следующие требования к маркировке затворов сосудов под давлением:</w:t>
      </w:r>
    </w:p>
    <w:p w:rsidR="006F292A" w:rsidRPr="006F292A" w:rsidRDefault="006F292A" w:rsidP="005620C0">
      <w:pPr>
        <w:pStyle w:val="SingleTxtGR"/>
        <w:ind w:left="1701"/>
        <w:rPr>
          <w:b/>
        </w:rPr>
      </w:pPr>
      <w:r w:rsidRPr="006F292A">
        <w:t>«</w:t>
      </w:r>
      <w:r w:rsidRPr="006F292A">
        <w:rPr>
          <w:b/>
        </w:rPr>
        <w:t>6.2.2.7.11</w:t>
      </w:r>
      <w:r w:rsidRPr="006F292A">
        <w:rPr>
          <w:b/>
        </w:rPr>
        <w:tab/>
        <w:t>Маркировка затворов сосудов ООН под давлением многоразового использования</w:t>
      </w:r>
    </w:p>
    <w:p w:rsidR="006F292A" w:rsidRPr="006F292A" w:rsidRDefault="005620C0" w:rsidP="005620C0">
      <w:pPr>
        <w:pStyle w:val="SingleTxtGR"/>
        <w:ind w:left="1701"/>
      </w:pPr>
      <w:r>
        <w:rPr>
          <w:lang w:val="en-US"/>
        </w:rPr>
        <w:tab/>
      </w:r>
      <w:r w:rsidR="006F292A" w:rsidRPr="006F292A">
        <w:t>На затворы должны быть четко и разборчиво нанесены на весь срок эксплуатации (например, выдавлены, выгравированы или вытравлены) следующие маркировочные знаки:</w:t>
      </w:r>
    </w:p>
    <w:p w:rsidR="006F292A" w:rsidRPr="006F292A" w:rsidRDefault="005620C0" w:rsidP="005620C0">
      <w:pPr>
        <w:pStyle w:val="SingleTxtGR"/>
        <w:ind w:left="1701"/>
      </w:pPr>
      <w:r>
        <w:rPr>
          <w:lang w:val="en-US"/>
        </w:rPr>
        <w:t>a</w:t>
      </w:r>
      <w:r w:rsidRPr="005620C0">
        <w:t>)</w:t>
      </w:r>
      <w:r w:rsidRPr="005620C0">
        <w:tab/>
      </w:r>
      <w:r w:rsidR="006F292A" w:rsidRPr="006F292A">
        <w:t>идентификационный знак изготовителя;</w:t>
      </w:r>
    </w:p>
    <w:p w:rsidR="006F292A" w:rsidRPr="006F292A" w:rsidRDefault="005620C0" w:rsidP="005620C0">
      <w:pPr>
        <w:pStyle w:val="SingleTxtGR"/>
        <w:ind w:left="2268" w:hanging="567"/>
      </w:pPr>
      <w:r>
        <w:rPr>
          <w:lang w:val="en-US"/>
        </w:rPr>
        <w:t>b</w:t>
      </w:r>
      <w:r w:rsidRPr="005620C0">
        <w:t>)</w:t>
      </w:r>
      <w:r w:rsidRPr="005620C0">
        <w:tab/>
      </w:r>
      <w:r w:rsidR="006F292A" w:rsidRPr="006F292A">
        <w:t>конструктивный стандарт или обозначение конструктивного стандарта;</w:t>
      </w:r>
    </w:p>
    <w:p w:rsidR="006F292A" w:rsidRPr="006F292A" w:rsidRDefault="005620C0" w:rsidP="005620C0">
      <w:pPr>
        <w:pStyle w:val="SingleTxtGR"/>
        <w:ind w:left="1701"/>
      </w:pPr>
      <w:r>
        <w:rPr>
          <w:lang w:val="en-US"/>
        </w:rPr>
        <w:t>c</w:t>
      </w:r>
      <w:r w:rsidRPr="005620C0">
        <w:t>)</w:t>
      </w:r>
      <w:r w:rsidRPr="005620C0">
        <w:tab/>
      </w:r>
      <w:r w:rsidR="006F292A" w:rsidRPr="006F292A">
        <w:t>дата изготовления (год и месяц или год и неделя);</w:t>
      </w:r>
    </w:p>
    <w:p w:rsidR="006F292A" w:rsidRPr="006F292A" w:rsidRDefault="005620C0" w:rsidP="005620C0">
      <w:pPr>
        <w:pStyle w:val="SingleTxtGR"/>
        <w:ind w:left="2268" w:hanging="567"/>
      </w:pPr>
      <w:r>
        <w:rPr>
          <w:lang w:val="en-US"/>
        </w:rPr>
        <w:t>d</w:t>
      </w:r>
      <w:r w:rsidRPr="005620C0">
        <w:t>)</w:t>
      </w:r>
      <w:r w:rsidRPr="005620C0">
        <w:tab/>
      </w:r>
      <w:r w:rsidR="006F292A" w:rsidRPr="006F292A">
        <w:t>идентификационный знак проверяющего органа, ответственного за первоначальную проверку и испытание, если это применимо.</w:t>
      </w:r>
    </w:p>
    <w:p w:rsidR="00A658DB" w:rsidRDefault="005620C0" w:rsidP="005620C0">
      <w:pPr>
        <w:pStyle w:val="SingleTxtGR"/>
        <w:ind w:left="1701"/>
        <w:rPr>
          <w:lang w:val="en-US"/>
        </w:rPr>
      </w:pPr>
      <w:r>
        <w:rPr>
          <w:lang w:val="en-US"/>
        </w:rPr>
        <w:tab/>
      </w:r>
      <w:r w:rsidR="006F292A" w:rsidRPr="006F292A">
        <w:t>Испытательное давление клапана указывается, когда оно меньше испытательного давления, на которое указывает форма клапана арматуры наполнения».</w:t>
      </w:r>
    </w:p>
    <w:p w:rsidR="005620C0" w:rsidRPr="005620C0" w:rsidRDefault="005620C0" w:rsidP="005620C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620C0" w:rsidRPr="005620C0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38" w:rsidRDefault="00620038" w:rsidP="00B471C5">
      <w:r>
        <w:separator/>
      </w:r>
    </w:p>
  </w:endnote>
  <w:endnote w:type="continuationSeparator" w:id="0">
    <w:p w:rsidR="00620038" w:rsidRDefault="00620038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A230FF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E3E8B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9A0A05">
      <w:rPr>
        <w:lang w:val="en-US"/>
      </w:rPr>
      <w:t>11066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9A0A05">
      <w:rPr>
        <w:lang w:val="en-US"/>
      </w:rPr>
      <w:t>11066</w:t>
    </w:r>
    <w:r>
      <w:rPr>
        <w:lang w:val="en-US"/>
      </w:rPr>
      <w:tab/>
    </w:r>
    <w:r w:rsidR="00A230FF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A230FF" w:rsidRPr="00BA2D2B">
      <w:rPr>
        <w:b/>
        <w:sz w:val="18"/>
        <w:szCs w:val="18"/>
      </w:rPr>
      <w:fldChar w:fldCharType="separate"/>
    </w:r>
    <w:r w:rsidR="005E3E8B">
      <w:rPr>
        <w:b/>
        <w:noProof/>
        <w:sz w:val="18"/>
        <w:szCs w:val="18"/>
      </w:rPr>
      <w:t>3</w:t>
    </w:r>
    <w:r w:rsidR="00A230FF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A0A05">
            <w:rPr>
              <w:lang w:val="en-US"/>
            </w:rPr>
            <w:t>11066</w:t>
          </w:r>
          <w:r w:rsidRPr="001C3ABC">
            <w:rPr>
              <w:lang w:val="en-US"/>
            </w:rPr>
            <w:t xml:space="preserve"> (R)</w:t>
          </w:r>
          <w:r w:rsidR="009A0A05">
            <w:rPr>
              <w:lang w:val="en-US"/>
            </w:rPr>
            <w:t xml:space="preserve">  190716  200716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F1695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A0A05" w:rsidRDefault="009A0A0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A0A0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38" w:rsidRPr="009141DC" w:rsidRDefault="0062003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20038" w:rsidRPr="00D1261C" w:rsidRDefault="0062003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F292A" w:rsidRPr="006F292A" w:rsidRDefault="006F292A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6F292A">
        <w:rPr>
          <w:lang w:val="ru-RU"/>
        </w:rPr>
        <w:tab/>
      </w:r>
      <w:r w:rsidR="008D51D2" w:rsidRPr="008D51D2">
        <w:rPr>
          <w:lang w:val="ru-RU"/>
        </w:rPr>
        <w:t xml:space="preserve">В соответствии с программой работы Комитета по внутреннему транспорту </w:t>
      </w:r>
      <w:r w:rsidR="007F1695" w:rsidRPr="007F1695">
        <w:rPr>
          <w:lang w:val="ru-RU"/>
        </w:rPr>
        <w:br/>
      </w:r>
      <w:r w:rsidR="008D51D2" w:rsidRPr="008D51D2">
        <w:rPr>
          <w:lang w:val="ru-RU"/>
        </w:rPr>
        <w:t>на 2016–2017 годы (ECE/TRANS/2016/28/Add.1 (9.2)).</w:t>
      </w:r>
    </w:p>
  </w:footnote>
  <w:footnote w:id="2">
    <w:p w:rsidR="008D51D2" w:rsidRPr="008D51D2" w:rsidRDefault="008D51D2">
      <w:pPr>
        <w:pStyle w:val="Notedebasdepage"/>
        <w:rPr>
          <w:lang w:val="ru-RU"/>
        </w:rPr>
      </w:pPr>
      <w:r w:rsidRPr="007F1695">
        <w:rPr>
          <w:lang w:val="ru-RU"/>
        </w:rPr>
        <w:tab/>
      </w:r>
      <w:r>
        <w:rPr>
          <w:rStyle w:val="Appelnotedebasdep"/>
        </w:rPr>
        <w:footnoteRef/>
      </w:r>
      <w:r w:rsidRPr="008D51D2"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в качестве документа OTIF/RID/RC/2016/21.</w:t>
      </w:r>
    </w:p>
  </w:footnote>
  <w:footnote w:id="3">
    <w:p w:rsidR="006F292A" w:rsidRPr="00D262D7" w:rsidRDefault="00D262D7" w:rsidP="00D262D7">
      <w:pPr>
        <w:pStyle w:val="Notedebasdepage"/>
        <w:rPr>
          <w:lang w:val="ru-RU"/>
        </w:rPr>
      </w:pPr>
      <w:r>
        <w:tab/>
      </w:r>
      <w:r w:rsidR="006F292A" w:rsidRPr="00D262D7">
        <w:rPr>
          <w:rStyle w:val="Appelnotedebasdep"/>
          <w:lang w:val="ru-RU"/>
        </w:rPr>
        <w:t>9</w:t>
      </w:r>
      <w:r w:rsidR="006F292A" w:rsidRPr="00D262D7">
        <w:rPr>
          <w:rStyle w:val="Appelnotedebasdep"/>
          <w:lang w:val="ru-RU"/>
        </w:rPr>
        <w:tab/>
      </w:r>
      <w:r w:rsidRPr="00D262D7">
        <w:rPr>
          <w:lang w:val="ru-RU"/>
        </w:rPr>
        <w:t>Для корпусов, требующих испытательного давления не менее 1 МПа (10 бар), проверка конструкционных характеристик вк</w:t>
      </w:r>
      <w:r>
        <w:rPr>
          <w:lang w:val="ru-RU"/>
        </w:rPr>
        <w:t>лючает также отбор образцов для</w:t>
      </w:r>
      <w:r>
        <w:rPr>
          <w:lang w:val="en-US"/>
        </w:rPr>
        <w:t> </w:t>
      </w:r>
      <w:r w:rsidRPr="00D262D7">
        <w:rPr>
          <w:lang w:val="ru-RU"/>
        </w:rPr>
        <w:t>испытаний сварных соединений (рабочих обр</w:t>
      </w:r>
      <w:r>
        <w:rPr>
          <w:lang w:val="ru-RU"/>
        </w:rPr>
        <w:t>азцов) в соответствии с</w:t>
      </w:r>
      <w:r>
        <w:rPr>
          <w:lang w:val="en-US"/>
        </w:rPr>
        <w:t> </w:t>
      </w:r>
      <w:r w:rsidRPr="00D262D7">
        <w:rPr>
          <w:lang w:val="ru-RU"/>
        </w:rPr>
        <w:t>пунктом 6.8.2.1.23 и испытания, предписанные в разделе 6.8.5.</w:t>
      </w:r>
    </w:p>
  </w:footnote>
  <w:footnote w:id="4">
    <w:p w:rsidR="006F292A" w:rsidRPr="00D262D7" w:rsidRDefault="00D262D7" w:rsidP="00D262D7">
      <w:pPr>
        <w:pStyle w:val="Notedebasdepage"/>
        <w:rPr>
          <w:lang w:val="ru-RU"/>
        </w:rPr>
      </w:pPr>
      <w:r w:rsidRPr="00D262D7">
        <w:rPr>
          <w:lang w:val="ru-RU"/>
        </w:rPr>
        <w:tab/>
      </w:r>
      <w:r w:rsidR="006F292A" w:rsidRPr="00D262D7">
        <w:rPr>
          <w:rStyle w:val="Appelnotedebasdep"/>
          <w:lang w:val="ru-RU"/>
        </w:rPr>
        <w:t>10</w:t>
      </w:r>
      <w:r w:rsidR="006F292A" w:rsidRPr="00D262D7">
        <w:rPr>
          <w:rStyle w:val="Appelnotedebasdep"/>
        </w:rPr>
        <w:tab/>
      </w:r>
      <w:r w:rsidR="006F292A" w:rsidRPr="00D262D7">
        <w:rPr>
          <w:lang w:val="ru-RU"/>
        </w:rPr>
        <w:t>В особых случаях и с согласия эксперта, утвержденного компетентным органом, гидравлическое испытание под давлением может заменяться испытанием под давлением с использованием другой жидкости или другого газа, если такая операция не представляет опасности.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7F1695" w:rsidRPr="007F1695">
      <w:rPr>
        <w:lang w:val="en-US"/>
      </w:rPr>
      <w:t>TRANS/WP.15/AC.1/2016/21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7F1695" w:rsidRPr="007F1695">
      <w:rPr>
        <w:lang w:val="en-US"/>
      </w:rPr>
      <w:t>TRANS/WP.15/AC.1/2016/21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65D"/>
    <w:multiLevelType w:val="hybridMultilevel"/>
    <w:tmpl w:val="2758C48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F728ED0" w:tentative="1">
      <w:start w:val="1"/>
      <w:numFmt w:val="lowerLetter"/>
      <w:lvlText w:val="%2."/>
      <w:lvlJc w:val="left"/>
      <w:pPr>
        <w:ind w:left="2498" w:hanging="360"/>
      </w:pPr>
    </w:lvl>
    <w:lvl w:ilvl="2" w:tplc="54A2642C" w:tentative="1">
      <w:start w:val="1"/>
      <w:numFmt w:val="lowerRoman"/>
      <w:lvlText w:val="%3."/>
      <w:lvlJc w:val="right"/>
      <w:pPr>
        <w:ind w:left="3218" w:hanging="180"/>
      </w:pPr>
    </w:lvl>
    <w:lvl w:ilvl="3" w:tplc="719ABB6E" w:tentative="1">
      <w:start w:val="1"/>
      <w:numFmt w:val="decimal"/>
      <w:lvlText w:val="%4."/>
      <w:lvlJc w:val="left"/>
      <w:pPr>
        <w:ind w:left="3938" w:hanging="360"/>
      </w:pPr>
    </w:lvl>
    <w:lvl w:ilvl="4" w:tplc="E7F89DF6" w:tentative="1">
      <w:start w:val="1"/>
      <w:numFmt w:val="lowerLetter"/>
      <w:lvlText w:val="%5."/>
      <w:lvlJc w:val="left"/>
      <w:pPr>
        <w:ind w:left="4658" w:hanging="360"/>
      </w:pPr>
    </w:lvl>
    <w:lvl w:ilvl="5" w:tplc="72324D7C" w:tentative="1">
      <w:start w:val="1"/>
      <w:numFmt w:val="lowerRoman"/>
      <w:lvlText w:val="%6."/>
      <w:lvlJc w:val="right"/>
      <w:pPr>
        <w:ind w:left="5378" w:hanging="180"/>
      </w:pPr>
    </w:lvl>
    <w:lvl w:ilvl="6" w:tplc="2084B0CA" w:tentative="1">
      <w:start w:val="1"/>
      <w:numFmt w:val="decimal"/>
      <w:lvlText w:val="%7."/>
      <w:lvlJc w:val="left"/>
      <w:pPr>
        <w:ind w:left="6098" w:hanging="360"/>
      </w:pPr>
    </w:lvl>
    <w:lvl w:ilvl="7" w:tplc="DE74AE9C" w:tentative="1">
      <w:start w:val="1"/>
      <w:numFmt w:val="lowerLetter"/>
      <w:lvlText w:val="%8."/>
      <w:lvlJc w:val="left"/>
      <w:pPr>
        <w:ind w:left="6818" w:hanging="360"/>
      </w:pPr>
    </w:lvl>
    <w:lvl w:ilvl="8" w:tplc="0D106C0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92A"/>
    <w:rsid w:val="000450D1"/>
    <w:rsid w:val="000B1FD5"/>
    <w:rsid w:val="000F2A4F"/>
    <w:rsid w:val="00122678"/>
    <w:rsid w:val="001E21D2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20C0"/>
    <w:rsid w:val="00566944"/>
    <w:rsid w:val="005759FA"/>
    <w:rsid w:val="0057716D"/>
    <w:rsid w:val="005D56BF"/>
    <w:rsid w:val="005E3E8B"/>
    <w:rsid w:val="00620038"/>
    <w:rsid w:val="0062027E"/>
    <w:rsid w:val="00643644"/>
    <w:rsid w:val="00665D8D"/>
    <w:rsid w:val="006A7A3B"/>
    <w:rsid w:val="006B6B57"/>
    <w:rsid w:val="006F292A"/>
    <w:rsid w:val="006F49F1"/>
    <w:rsid w:val="007005EE"/>
    <w:rsid w:val="00705394"/>
    <w:rsid w:val="00743F62"/>
    <w:rsid w:val="00760D3A"/>
    <w:rsid w:val="00762DBE"/>
    <w:rsid w:val="00773BA8"/>
    <w:rsid w:val="007A1F42"/>
    <w:rsid w:val="007D76DD"/>
    <w:rsid w:val="007F1695"/>
    <w:rsid w:val="008717E8"/>
    <w:rsid w:val="008D01AE"/>
    <w:rsid w:val="008D51D2"/>
    <w:rsid w:val="008E0423"/>
    <w:rsid w:val="009141DC"/>
    <w:rsid w:val="009174A1"/>
    <w:rsid w:val="00935519"/>
    <w:rsid w:val="0098674D"/>
    <w:rsid w:val="00997ACA"/>
    <w:rsid w:val="009A0A05"/>
    <w:rsid w:val="009D2FA7"/>
    <w:rsid w:val="00A03FB7"/>
    <w:rsid w:val="00A10CDB"/>
    <w:rsid w:val="00A230FF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262D7"/>
    <w:rsid w:val="00D52823"/>
    <w:rsid w:val="00D75DCE"/>
    <w:rsid w:val="00DB72E8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E8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3020-B3F7-437E-B5F3-68EDEC0D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Maison</cp:lastModifiedBy>
  <cp:revision>2</cp:revision>
  <cp:lastPrinted>2016-07-20T08:15:00Z</cp:lastPrinted>
  <dcterms:created xsi:type="dcterms:W3CDTF">2016-07-21T07:21:00Z</dcterms:created>
  <dcterms:modified xsi:type="dcterms:W3CDTF">2016-07-21T07:21:00Z</dcterms:modified>
</cp:coreProperties>
</file>