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947A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947A8" w:rsidP="007947A8">
            <w:pPr>
              <w:jc w:val="right"/>
            </w:pPr>
            <w:r w:rsidRPr="007947A8">
              <w:rPr>
                <w:sz w:val="40"/>
              </w:rPr>
              <w:t>ECE</w:t>
            </w:r>
            <w:r>
              <w:t>/TRANS/WP.15/AC.1/2016/21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947A8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7947A8" w:rsidRDefault="007947A8" w:rsidP="007947A8">
            <w:pPr>
              <w:spacing w:line="240" w:lineRule="exact"/>
            </w:pPr>
            <w:r>
              <w:t>29 juin 2016</w:t>
            </w:r>
          </w:p>
          <w:p w:rsidR="007947A8" w:rsidRDefault="007947A8" w:rsidP="007947A8">
            <w:pPr>
              <w:spacing w:line="240" w:lineRule="exact"/>
            </w:pPr>
            <w:r>
              <w:t>Français</w:t>
            </w:r>
          </w:p>
          <w:p w:rsidR="007947A8" w:rsidRPr="00DB58B5" w:rsidRDefault="007947A8" w:rsidP="007947A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9190D" w:rsidRDefault="0019190D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19190D" w:rsidRPr="0019190D" w:rsidRDefault="0019190D" w:rsidP="0019190D">
      <w:pPr>
        <w:spacing w:before="120"/>
        <w:rPr>
          <w:b/>
          <w:lang w:val="fr-FR"/>
        </w:rPr>
      </w:pPr>
      <w:r w:rsidRPr="0019190D">
        <w:rPr>
          <w:b/>
          <w:lang w:val="fr-FR"/>
        </w:rPr>
        <w:t>Réunion commune de la Commission d’experts du RID et du</w:t>
      </w:r>
      <w:r w:rsidR="000C2622">
        <w:rPr>
          <w:b/>
          <w:lang w:val="fr-FR"/>
        </w:rPr>
        <w:br/>
      </w:r>
      <w:r w:rsidRPr="0019190D">
        <w:rPr>
          <w:b/>
          <w:lang w:val="fr-FR"/>
        </w:rPr>
        <w:t>Groupe</w:t>
      </w:r>
      <w:r w:rsidR="000C2622">
        <w:rPr>
          <w:b/>
          <w:lang w:val="fr-FR"/>
        </w:rPr>
        <w:t xml:space="preserve"> </w:t>
      </w:r>
      <w:r w:rsidRPr="0019190D">
        <w:rPr>
          <w:b/>
          <w:lang w:val="fr-FR"/>
        </w:rPr>
        <w:t>de travail des transports de marchandises dangereuses</w:t>
      </w:r>
    </w:p>
    <w:p w:rsidR="0019190D" w:rsidRDefault="0019190D" w:rsidP="00E85C74">
      <w:r>
        <w:t xml:space="preserve">Genève, </w:t>
      </w:r>
      <w:r w:rsidRPr="00790E0D">
        <w:rPr>
          <w:lang w:val="fr-FR"/>
        </w:rPr>
        <w:t>19-23 septembre 2016</w:t>
      </w:r>
    </w:p>
    <w:p w:rsidR="0019190D" w:rsidRDefault="0019190D" w:rsidP="00E85C74">
      <w:r w:rsidRPr="00B93E72">
        <w:t xml:space="preserve">Point </w:t>
      </w:r>
      <w:r>
        <w:t>2</w:t>
      </w:r>
      <w:r w:rsidRPr="00B93E72">
        <w:t xml:space="preserve"> de l’ordre du jour provisoire</w:t>
      </w:r>
    </w:p>
    <w:p w:rsidR="007947A8" w:rsidRPr="0019190D" w:rsidRDefault="007947A8" w:rsidP="0019190D">
      <w:pPr>
        <w:rPr>
          <w:b/>
          <w:lang w:val="fr-FR"/>
        </w:rPr>
      </w:pPr>
      <w:r w:rsidRPr="0019190D">
        <w:rPr>
          <w:b/>
          <w:lang w:val="fr-FR"/>
        </w:rPr>
        <w:t>Citernes</w:t>
      </w:r>
    </w:p>
    <w:p w:rsidR="007947A8" w:rsidRPr="00790E0D" w:rsidRDefault="007947A8" w:rsidP="0019190D">
      <w:pPr>
        <w:pStyle w:val="HChG"/>
        <w:rPr>
          <w:lang w:val="fr-FR"/>
        </w:rPr>
      </w:pPr>
      <w:r w:rsidRPr="00790E0D">
        <w:rPr>
          <w:lang w:val="fr-FR"/>
        </w:rPr>
        <w:tab/>
      </w:r>
      <w:r w:rsidRPr="00790E0D">
        <w:rPr>
          <w:lang w:val="fr-FR"/>
        </w:rPr>
        <w:tab/>
        <w:t>Équipements de service pour les citernes</w:t>
      </w:r>
    </w:p>
    <w:p w:rsidR="007947A8" w:rsidRPr="00790E0D" w:rsidRDefault="007947A8" w:rsidP="0019190D">
      <w:pPr>
        <w:pStyle w:val="H1G"/>
        <w:rPr>
          <w:lang w:val="fr-FR"/>
        </w:rPr>
      </w:pPr>
      <w:r w:rsidRPr="00790E0D">
        <w:rPr>
          <w:lang w:val="fr-FR"/>
        </w:rPr>
        <w:tab/>
      </w:r>
      <w:r w:rsidRPr="00790E0D">
        <w:rPr>
          <w:lang w:val="fr-FR"/>
        </w:rPr>
        <w:tab/>
        <w:t>Communication de l</w:t>
      </w:r>
      <w:r>
        <w:rPr>
          <w:lang w:val="fr-FR"/>
        </w:rPr>
        <w:t>’</w:t>
      </w:r>
      <w:r w:rsidRPr="00790E0D">
        <w:rPr>
          <w:lang w:val="fr-FR"/>
        </w:rPr>
        <w:t>Association européenne des gaz industriels (EIGA)</w:t>
      </w:r>
      <w:r w:rsidR="0019190D" w:rsidRPr="0019190D">
        <w:rPr>
          <w:rStyle w:val="Appelnotedebasdep"/>
          <w:b w:val="0"/>
        </w:rPr>
        <w:footnoteReference w:id="2"/>
      </w:r>
      <w:r w:rsidR="0019190D" w:rsidRPr="00A623E8">
        <w:rPr>
          <w:b w:val="0"/>
          <w:vertAlign w:val="superscript"/>
          <w:lang w:val="fr-FR"/>
        </w:rPr>
        <w:t>,</w:t>
      </w:r>
      <w:r w:rsidR="0019190D" w:rsidRPr="0019190D">
        <w:rPr>
          <w:b w:val="0"/>
          <w:lang w:val="fr-FR"/>
        </w:rPr>
        <w:t xml:space="preserve"> </w:t>
      </w:r>
      <w:r w:rsidR="0019190D" w:rsidRPr="0019190D">
        <w:rPr>
          <w:rStyle w:val="Appelnotedebasdep"/>
          <w:b w:val="0"/>
        </w:rPr>
        <w:footnoteReference w:id="3"/>
      </w:r>
    </w:p>
    <w:p w:rsidR="007947A8" w:rsidRPr="00790E0D" w:rsidRDefault="007947A8" w:rsidP="0019190D">
      <w:pPr>
        <w:pStyle w:val="HChG"/>
        <w:rPr>
          <w:lang w:val="fr-FR"/>
        </w:rPr>
      </w:pPr>
      <w:r w:rsidRPr="00790E0D">
        <w:rPr>
          <w:lang w:val="fr-FR"/>
        </w:rPr>
        <w:tab/>
      </w:r>
      <w:r w:rsidRPr="00790E0D">
        <w:rPr>
          <w:lang w:val="fr-FR"/>
        </w:rPr>
        <w:tab/>
        <w:t>Introduction</w:t>
      </w:r>
    </w:p>
    <w:p w:rsidR="007947A8" w:rsidRPr="00790E0D" w:rsidRDefault="007947A8" w:rsidP="0019190D">
      <w:pPr>
        <w:pStyle w:val="ParNoG"/>
        <w:rPr>
          <w:lang w:val="fr-FR"/>
        </w:rPr>
      </w:pPr>
      <w:r w:rsidRPr="00790E0D">
        <w:rPr>
          <w:lang w:val="fr-FR"/>
        </w:rPr>
        <w:t>Le présent document a été soumis au Groupe de travail des citernes sous forme de document informel (INF.48) à la session de printemps de la Réunion commune, mais n</w:t>
      </w:r>
      <w:r>
        <w:rPr>
          <w:lang w:val="fr-FR"/>
        </w:rPr>
        <w:t>’</w:t>
      </w:r>
      <w:r w:rsidRPr="00790E0D">
        <w:rPr>
          <w:lang w:val="fr-FR"/>
        </w:rPr>
        <w:t>a pu être examiné alors, faute de temps.</w:t>
      </w:r>
    </w:p>
    <w:p w:rsidR="007947A8" w:rsidRPr="00790E0D" w:rsidRDefault="007947A8" w:rsidP="0019190D">
      <w:pPr>
        <w:pStyle w:val="ParNoG"/>
        <w:tabs>
          <w:tab w:val="clear" w:pos="1701"/>
        </w:tabs>
        <w:rPr>
          <w:lang w:val="fr-FR"/>
        </w:rPr>
      </w:pPr>
      <w:r w:rsidRPr="00790E0D">
        <w:rPr>
          <w:lang w:val="fr-FR"/>
        </w:rPr>
        <w:t>Le groupe de travail informel des dispositions relatives à l</w:t>
      </w:r>
      <w:r>
        <w:rPr>
          <w:lang w:val="fr-FR"/>
        </w:rPr>
        <w:t>’</w:t>
      </w:r>
      <w:r w:rsidRPr="00790E0D">
        <w:rPr>
          <w:lang w:val="fr-FR"/>
        </w:rPr>
        <w:t>équipement des citernes et récipients à pression a presque achevé son travail concernant les récipients à pression et souhaiterait se pencher sur le dernier volet de son mandat, qui se rapporte aux citernes. Pour mémoire, les trois volets de ce mandat sont les suivants</w:t>
      </w:r>
      <w:r w:rsidR="00024BD2">
        <w:rPr>
          <w:lang w:val="fr-FR"/>
        </w:rPr>
        <w:t> :</w:t>
      </w:r>
    </w:p>
    <w:p w:rsidR="007947A8" w:rsidRPr="00790E0D" w:rsidRDefault="007947A8" w:rsidP="0019190D">
      <w:pPr>
        <w:pStyle w:val="SingleTxtG"/>
        <w:ind w:firstLine="567"/>
        <w:rPr>
          <w:lang w:val="fr-FR"/>
        </w:rPr>
      </w:pPr>
      <w:r w:rsidRPr="00790E0D">
        <w:rPr>
          <w:lang w:val="fr-FR"/>
        </w:rPr>
        <w:t>i)</w:t>
      </w:r>
      <w:r w:rsidRPr="00790E0D">
        <w:rPr>
          <w:lang w:val="fr-FR"/>
        </w:rPr>
        <w:tab/>
        <w:t>La clarification de la signification du terme «</w:t>
      </w:r>
      <w:r w:rsidR="00F9268A">
        <w:rPr>
          <w:lang w:val="fr-FR"/>
        </w:rPr>
        <w:t> </w:t>
      </w:r>
      <w:r w:rsidRPr="00790E0D">
        <w:rPr>
          <w:lang w:val="fr-FR"/>
        </w:rPr>
        <w:t>récipient à pression</w:t>
      </w:r>
      <w:r w:rsidR="00F9268A">
        <w:rPr>
          <w:lang w:val="fr-FR"/>
        </w:rPr>
        <w:t> </w:t>
      </w:r>
      <w:r w:rsidRPr="00790E0D">
        <w:rPr>
          <w:lang w:val="fr-FR"/>
        </w:rPr>
        <w:t>», s</w:t>
      </w:r>
      <w:r>
        <w:rPr>
          <w:lang w:val="fr-FR"/>
        </w:rPr>
        <w:t>’</w:t>
      </w:r>
      <w:r w:rsidRPr="00790E0D">
        <w:rPr>
          <w:lang w:val="fr-FR"/>
        </w:rPr>
        <w:t>agissant de la prise en compte ou non des fermetures</w:t>
      </w:r>
      <w:r w:rsidR="00024BD2">
        <w:rPr>
          <w:lang w:val="fr-FR"/>
        </w:rPr>
        <w:t> ;</w:t>
      </w:r>
    </w:p>
    <w:p w:rsidR="007947A8" w:rsidRPr="00790E0D" w:rsidRDefault="007947A8" w:rsidP="0019190D">
      <w:pPr>
        <w:pStyle w:val="SingleTxtG"/>
        <w:ind w:firstLine="567"/>
        <w:rPr>
          <w:lang w:val="fr-FR"/>
        </w:rPr>
      </w:pPr>
      <w:r w:rsidRPr="00790E0D">
        <w:rPr>
          <w:lang w:val="fr-FR"/>
        </w:rPr>
        <w:t>ii)</w:t>
      </w:r>
      <w:r w:rsidRPr="00790E0D">
        <w:rPr>
          <w:lang w:val="fr-FR"/>
        </w:rPr>
        <w:tab/>
        <w:t>La vérification de l</w:t>
      </w:r>
      <w:r>
        <w:rPr>
          <w:lang w:val="fr-FR"/>
        </w:rPr>
        <w:t>’</w:t>
      </w:r>
      <w:r w:rsidRPr="00790E0D">
        <w:rPr>
          <w:lang w:val="fr-FR"/>
        </w:rPr>
        <w:t>exhaustivité des prescriptions concernant la conception, l</w:t>
      </w:r>
      <w:r>
        <w:rPr>
          <w:lang w:val="fr-FR"/>
        </w:rPr>
        <w:t>’</w:t>
      </w:r>
      <w:r w:rsidRPr="00790E0D">
        <w:rPr>
          <w:lang w:val="fr-FR"/>
        </w:rPr>
        <w:t>évaluation de la conformité et le marquage des fermetures des récipients à pression</w:t>
      </w:r>
      <w:r w:rsidR="00024BD2">
        <w:rPr>
          <w:lang w:val="fr-FR"/>
        </w:rPr>
        <w:t> ;</w:t>
      </w:r>
      <w:r w:rsidRPr="00790E0D">
        <w:rPr>
          <w:lang w:val="fr-FR"/>
        </w:rPr>
        <w:t xml:space="preserve"> </w:t>
      </w:r>
    </w:p>
    <w:p w:rsidR="007947A8" w:rsidRPr="00790E0D" w:rsidRDefault="007947A8" w:rsidP="0019190D">
      <w:pPr>
        <w:pStyle w:val="SingleTxtG"/>
        <w:ind w:firstLine="567"/>
        <w:rPr>
          <w:lang w:val="fr-FR"/>
        </w:rPr>
      </w:pPr>
      <w:r w:rsidRPr="00790E0D">
        <w:rPr>
          <w:lang w:val="fr-FR"/>
        </w:rPr>
        <w:lastRenderedPageBreak/>
        <w:t>iii)</w:t>
      </w:r>
      <w:r w:rsidRPr="00790E0D">
        <w:rPr>
          <w:lang w:val="fr-FR"/>
        </w:rPr>
        <w:tab/>
        <w:t>La vérification de l</w:t>
      </w:r>
      <w:r>
        <w:rPr>
          <w:lang w:val="fr-FR"/>
        </w:rPr>
        <w:t>’</w:t>
      </w:r>
      <w:r w:rsidRPr="00790E0D">
        <w:rPr>
          <w:lang w:val="fr-FR"/>
        </w:rPr>
        <w:t>exhaustivité des prescriptions concernant la conception, l</w:t>
      </w:r>
      <w:r>
        <w:rPr>
          <w:lang w:val="fr-FR"/>
        </w:rPr>
        <w:t>’</w:t>
      </w:r>
      <w:r w:rsidRPr="00790E0D">
        <w:rPr>
          <w:lang w:val="fr-FR"/>
        </w:rPr>
        <w:t xml:space="preserve">évaluation de la conformité et le marquage des équipements de service des citernes. </w:t>
      </w:r>
    </w:p>
    <w:p w:rsidR="007947A8" w:rsidRPr="00790E0D" w:rsidRDefault="007947A8" w:rsidP="0019190D">
      <w:pPr>
        <w:pStyle w:val="ParNoG"/>
        <w:tabs>
          <w:tab w:val="clear" w:pos="1701"/>
        </w:tabs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examen des dispositions relatives aux citernes doit se faire avec la participation des spécialistes des citernes. Afin de mieux comprendre le bien-fondé et la portée des amendements au chapitre 6.8,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Association européenne des gaz industriels (EIGA) a besoin de temps à consacrer aux travaux au sein du Groupe de travail des citernes. Il faut également tenir compte des éventuelles réunions ultérieures que le groupe de travail informel devra programmer en vue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examiner les dispositions sur les citernes.</w:t>
      </w:r>
    </w:p>
    <w:p w:rsidR="007947A8" w:rsidRPr="00790E0D" w:rsidRDefault="007947A8" w:rsidP="0019190D">
      <w:pPr>
        <w:pStyle w:val="HChG"/>
        <w:rPr>
          <w:lang w:val="fr-FR"/>
        </w:rPr>
      </w:pPr>
      <w:r w:rsidRPr="00790E0D">
        <w:rPr>
          <w:lang w:val="fr-FR"/>
        </w:rPr>
        <w:tab/>
      </w:r>
      <w:r w:rsidRPr="00790E0D">
        <w:rPr>
          <w:lang w:val="fr-FR"/>
        </w:rPr>
        <w:tab/>
        <w:t>Questions à examiner</w:t>
      </w:r>
    </w:p>
    <w:p w:rsidR="007947A8" w:rsidRPr="00790E0D" w:rsidRDefault="007947A8" w:rsidP="0019190D">
      <w:pPr>
        <w:pStyle w:val="ParNoG"/>
        <w:tabs>
          <w:tab w:val="clear" w:pos="1701"/>
        </w:tabs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Le président du groupe de travail informel suggère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examiner les questions suivantes au sein du Groupe de travail des citernes. Il n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est toutefois pas dans son intention de limiter la liste des questions pertinentes que les membres du Groupe souhaiteraient examiner.</w:t>
      </w:r>
    </w:p>
    <w:p w:rsidR="007947A8" w:rsidRPr="00790E0D" w:rsidRDefault="007947A8" w:rsidP="0019190D">
      <w:pPr>
        <w:pStyle w:val="H1G"/>
        <w:rPr>
          <w:rFonts w:eastAsia="SimSun"/>
          <w:lang w:val="fr-FR"/>
        </w:rPr>
      </w:pPr>
      <w:r w:rsidRPr="00790E0D">
        <w:rPr>
          <w:rFonts w:eastAsia="SimSun"/>
          <w:lang w:val="fr-FR"/>
        </w:rPr>
        <w:tab/>
      </w:r>
      <w:r w:rsidRPr="00790E0D">
        <w:rPr>
          <w:rFonts w:eastAsia="SimSun"/>
          <w:lang w:val="fr-FR"/>
        </w:rPr>
        <w:tab/>
        <w:t>Définitions</w:t>
      </w:r>
    </w:p>
    <w:p w:rsidR="007947A8" w:rsidRPr="00790E0D" w:rsidRDefault="007947A8" w:rsidP="0019190D">
      <w:pPr>
        <w:pStyle w:val="ParNoG"/>
        <w:tabs>
          <w:tab w:val="clear" w:pos="1701"/>
        </w:tabs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Contrairement à ce que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on peut constater pour les récipients à pression, la plupart des définitions relatives aux citernes sont claires et cohérentes. Il existe cependant une interrogation. En effet,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après la définition qui en est donnée, un réservoir comprend des moyens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obturation, alors que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équipement de service n</w:t>
      </w:r>
      <w:r>
        <w:rPr>
          <w:rFonts w:eastAsia="SimSun"/>
          <w:lang w:val="fr-FR" w:eastAsia="zh-CN"/>
        </w:rPr>
        <w:t>’</w:t>
      </w:r>
      <w:r w:rsidR="0019190D">
        <w:rPr>
          <w:rFonts w:eastAsia="SimSun"/>
          <w:lang w:val="fr-FR" w:eastAsia="zh-CN"/>
        </w:rPr>
        <w:t xml:space="preserve">en comprend pas, </w:t>
      </w:r>
      <w:proofErr w:type="spellStart"/>
      <w:r w:rsidR="0019190D">
        <w:rPr>
          <w:rFonts w:eastAsia="SimSun"/>
          <w:lang w:val="fr-FR" w:eastAsia="zh-CN"/>
        </w:rPr>
        <w:t>semble</w:t>
      </w:r>
      <w:r w:rsidR="0019190D">
        <w:rPr>
          <w:rFonts w:eastAsia="SimSun"/>
          <w:lang w:val="fr-FR" w:eastAsia="zh-CN"/>
        </w:rPr>
        <w:noBreakHyphen/>
      </w:r>
      <w:r w:rsidRPr="00790E0D">
        <w:rPr>
          <w:rFonts w:eastAsia="SimSun"/>
          <w:lang w:val="fr-FR" w:eastAsia="zh-CN"/>
        </w:rPr>
        <w:t>t</w:t>
      </w:r>
      <w:r w:rsidR="006F41C8">
        <w:rPr>
          <w:rFonts w:eastAsia="SimSun"/>
          <w:lang w:val="fr-FR" w:eastAsia="zh-CN"/>
        </w:rPr>
        <w:noBreakHyphen/>
      </w:r>
      <w:r w:rsidRPr="00790E0D">
        <w:rPr>
          <w:rFonts w:eastAsia="SimSun"/>
          <w:lang w:val="fr-FR" w:eastAsia="zh-CN"/>
        </w:rPr>
        <w:t>il</w:t>
      </w:r>
      <w:proofErr w:type="spellEnd"/>
      <w:r w:rsidRPr="00790E0D">
        <w:rPr>
          <w:rFonts w:eastAsia="SimSun"/>
          <w:lang w:val="fr-FR" w:eastAsia="zh-CN"/>
        </w:rPr>
        <w:t>. Afin de lever le doute, il est donc suggéré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ajouter les moyens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 xml:space="preserve">obturation à la définition du terme </w:t>
      </w:r>
      <w:r>
        <w:rPr>
          <w:rFonts w:eastAsia="SimSun"/>
          <w:lang w:val="fr-FR" w:eastAsia="zh-CN"/>
        </w:rPr>
        <w:t>«</w:t>
      </w:r>
      <w:r w:rsidR="0019190D">
        <w:rPr>
          <w:rFonts w:eastAsia="SimSun"/>
          <w:lang w:val="fr-FR" w:eastAsia="zh-CN"/>
        </w:rPr>
        <w:t> </w:t>
      </w:r>
      <w:r w:rsidRPr="00790E0D">
        <w:rPr>
          <w:rFonts w:eastAsia="SimSun"/>
          <w:lang w:val="fr-FR" w:eastAsia="zh-CN"/>
        </w:rPr>
        <w:t>équipement de service</w:t>
      </w:r>
      <w:r w:rsidR="0019190D">
        <w:rPr>
          <w:rFonts w:eastAsia="SimSun"/>
          <w:lang w:val="fr-FR" w:eastAsia="zh-CN"/>
        </w:rPr>
        <w:t> </w:t>
      </w:r>
      <w:r>
        <w:rPr>
          <w:rFonts w:eastAsia="SimSun"/>
          <w:lang w:val="fr-FR" w:eastAsia="zh-CN"/>
        </w:rPr>
        <w:t>»</w:t>
      </w:r>
      <w:r w:rsidRPr="00790E0D">
        <w:rPr>
          <w:rFonts w:eastAsia="SimSun"/>
          <w:lang w:val="fr-FR" w:eastAsia="zh-CN"/>
        </w:rPr>
        <w:t>.</w:t>
      </w:r>
    </w:p>
    <w:p w:rsidR="007947A8" w:rsidRPr="00790E0D" w:rsidRDefault="007947A8" w:rsidP="0019190D">
      <w:pPr>
        <w:pStyle w:val="H1G"/>
        <w:rPr>
          <w:rFonts w:eastAsia="SimSun"/>
          <w:lang w:val="fr-FR"/>
        </w:rPr>
      </w:pPr>
      <w:r w:rsidRPr="00790E0D">
        <w:rPr>
          <w:rFonts w:eastAsia="SimSun"/>
          <w:lang w:val="fr-FR"/>
        </w:rPr>
        <w:tab/>
      </w:r>
      <w:r w:rsidRPr="00790E0D">
        <w:rPr>
          <w:rFonts w:eastAsia="SimSun"/>
          <w:lang w:val="fr-FR"/>
        </w:rPr>
        <w:tab/>
        <w:t>Agréments de type pour les soupapes et autres équipements de service</w:t>
      </w:r>
    </w:p>
    <w:p w:rsidR="007947A8" w:rsidRPr="00790E0D" w:rsidRDefault="007947A8" w:rsidP="0019190D">
      <w:pPr>
        <w:pStyle w:val="ParNoG"/>
        <w:tabs>
          <w:tab w:val="clear" w:pos="1701"/>
        </w:tabs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Au dernier paragraphe du 6.8.2.3.1, il est dit ceci</w:t>
      </w:r>
      <w:r w:rsidR="00024BD2">
        <w:rPr>
          <w:rFonts w:eastAsia="SimSun"/>
          <w:lang w:val="fr-FR" w:eastAsia="zh-CN"/>
        </w:rPr>
        <w:t> :</w:t>
      </w:r>
    </w:p>
    <w:p w:rsidR="007947A8" w:rsidRPr="00790E0D" w:rsidRDefault="007947A8" w:rsidP="00715491">
      <w:pPr>
        <w:pStyle w:val="SingleTxtG"/>
        <w:ind w:left="1701" w:firstLine="567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«</w:t>
      </w:r>
      <w:r w:rsidR="0019190D">
        <w:rPr>
          <w:rFonts w:eastAsia="SimSun"/>
          <w:lang w:val="fr-FR" w:eastAsia="zh-CN"/>
        </w:rPr>
        <w:t> </w:t>
      </w:r>
      <w:r w:rsidRPr="00790E0D">
        <w:rPr>
          <w:rFonts w:eastAsia="SimSun"/>
          <w:lang w:val="fr-FR" w:eastAsia="zh-CN"/>
        </w:rPr>
        <w:t>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autorité compétente, ou un organisme désigné par elle, doit procéder, si le demandeur le souhaite, à un agrément de type séparé des soupapes et autres équipements de service pour lesquels une norme est citée en référence au tableau du 6.8.2.6.1, conformément à cette norme. Cet agrément de type séparé doit être pris en compte lors de la délivrance du certificat de la citerne, si les résultats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épreuve sont présentés et si les soupapes et autres équipements de service correspondent à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usage envisagé.</w:t>
      </w:r>
      <w:r w:rsidR="0019190D">
        <w:rPr>
          <w:rFonts w:eastAsia="SimSun"/>
          <w:lang w:val="fr-FR" w:eastAsia="zh-CN"/>
        </w:rPr>
        <w:t> </w:t>
      </w:r>
      <w:r w:rsidRPr="00790E0D">
        <w:rPr>
          <w:rFonts w:eastAsia="SimSun"/>
          <w:lang w:val="fr-FR" w:eastAsia="zh-CN"/>
        </w:rPr>
        <w:t>».</w:t>
      </w:r>
    </w:p>
    <w:p w:rsidR="007947A8" w:rsidRPr="00790E0D" w:rsidRDefault="007947A8" w:rsidP="0019190D">
      <w:pPr>
        <w:pStyle w:val="SingleTxtG"/>
        <w:ind w:firstLine="567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Le nombre de normes est limité, et il est probable que les normes auxquelles il est fait référence dans le RID/ADR ne couvriront jamais tous les équipements de service utilisés pour les citernes.</w:t>
      </w:r>
      <w:r>
        <w:rPr>
          <w:rFonts w:eastAsia="SimSun"/>
          <w:lang w:val="fr-FR" w:eastAsia="zh-CN"/>
        </w:rPr>
        <w:t xml:space="preserve"> </w:t>
      </w:r>
    </w:p>
    <w:p w:rsidR="007947A8" w:rsidRPr="00790E0D" w:rsidRDefault="007947A8" w:rsidP="0019190D">
      <w:pPr>
        <w:pStyle w:val="SingleTxtG"/>
        <w:rPr>
          <w:rFonts w:eastAsia="SimSun"/>
          <w:lang w:val="fr-FR" w:eastAsia="zh-CN"/>
        </w:rPr>
      </w:pPr>
      <w:r w:rsidRPr="0019190D">
        <w:rPr>
          <w:rFonts w:eastAsia="SimSun"/>
          <w:b/>
          <w:lang w:val="fr-FR" w:eastAsia="zh-CN"/>
        </w:rPr>
        <w:t>Question 1</w:t>
      </w:r>
      <w:r w:rsidRPr="00790E0D">
        <w:rPr>
          <w:rFonts w:eastAsia="SimSun"/>
          <w:lang w:val="fr-FR" w:eastAsia="zh-CN"/>
        </w:rPr>
        <w:tab/>
        <w:t>Est-il nécessaire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étendre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agrément de type séparé aux soupapes et/ou aux autres équipements de service pour lesquels il n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existe pas de normes mentionnées en référence</w:t>
      </w:r>
      <w:r w:rsidR="00685D04">
        <w:rPr>
          <w:rFonts w:eastAsia="SimSun"/>
          <w:lang w:val="fr-FR" w:eastAsia="zh-CN"/>
        </w:rPr>
        <w:t> ?</w:t>
      </w:r>
    </w:p>
    <w:p w:rsidR="007947A8" w:rsidRPr="00790E0D" w:rsidRDefault="007947A8" w:rsidP="0019190D">
      <w:pPr>
        <w:pStyle w:val="SingleTxtG"/>
        <w:rPr>
          <w:rFonts w:eastAsia="SimSun"/>
          <w:lang w:val="fr-FR" w:eastAsia="zh-CN"/>
        </w:rPr>
      </w:pPr>
      <w:r w:rsidRPr="0019190D">
        <w:rPr>
          <w:rFonts w:eastAsia="SimSun"/>
          <w:b/>
          <w:lang w:val="fr-FR" w:eastAsia="zh-CN"/>
        </w:rPr>
        <w:t>Question 2</w:t>
      </w:r>
      <w:r w:rsidRPr="00790E0D">
        <w:rPr>
          <w:rFonts w:eastAsia="SimSun"/>
          <w:lang w:val="fr-FR" w:eastAsia="zh-CN"/>
        </w:rPr>
        <w:tab/>
        <w:t>Si de tels agréments de type devaient être délivrés, quelles prescriptions techniques, y compris pour les inscriptions, faudrait-il prévoir dans le RID/ADR</w:t>
      </w:r>
      <w:r w:rsidR="00685D04">
        <w:rPr>
          <w:rFonts w:eastAsia="SimSun"/>
          <w:lang w:val="fr-FR" w:eastAsia="zh-CN"/>
        </w:rPr>
        <w:t> ?</w:t>
      </w:r>
      <w:r w:rsidRPr="00790E0D">
        <w:rPr>
          <w:rFonts w:eastAsia="SimSun"/>
          <w:lang w:val="fr-FR" w:eastAsia="zh-CN"/>
        </w:rPr>
        <w:t xml:space="preserve"> </w:t>
      </w:r>
    </w:p>
    <w:p w:rsidR="007947A8" w:rsidRPr="00790E0D" w:rsidRDefault="007947A8" w:rsidP="0019190D">
      <w:pPr>
        <w:pStyle w:val="H1G"/>
        <w:rPr>
          <w:rFonts w:eastAsia="SimSun"/>
          <w:lang w:val="fr-FR"/>
        </w:rPr>
      </w:pPr>
      <w:r w:rsidRPr="00790E0D">
        <w:rPr>
          <w:rFonts w:eastAsia="SimSun"/>
          <w:lang w:val="fr-FR"/>
        </w:rPr>
        <w:tab/>
      </w:r>
      <w:r w:rsidRPr="00790E0D">
        <w:rPr>
          <w:rFonts w:eastAsia="SimSun"/>
          <w:lang w:val="fr-FR"/>
        </w:rPr>
        <w:tab/>
        <w:t>Contrôle initial des équipements</w:t>
      </w:r>
    </w:p>
    <w:p w:rsidR="007947A8" w:rsidRPr="00790E0D" w:rsidRDefault="007947A8" w:rsidP="0019190D">
      <w:pPr>
        <w:pStyle w:val="ParNoG"/>
        <w:tabs>
          <w:tab w:val="clear" w:pos="1701"/>
        </w:tabs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Au premier paragraphe du 6.8.2.4.1, il est dit ceci</w:t>
      </w:r>
      <w:r w:rsidR="00024BD2">
        <w:rPr>
          <w:rFonts w:eastAsia="SimSun"/>
          <w:lang w:val="fr-FR" w:eastAsia="zh-CN"/>
        </w:rPr>
        <w:t> :</w:t>
      </w:r>
    </w:p>
    <w:p w:rsidR="007947A8" w:rsidRPr="00790E0D" w:rsidRDefault="007947A8" w:rsidP="00715491">
      <w:pPr>
        <w:pStyle w:val="SingleTxtG"/>
        <w:ind w:left="1701" w:firstLine="567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lastRenderedPageBreak/>
        <w:t>«</w:t>
      </w:r>
      <w:r w:rsidR="00715491">
        <w:rPr>
          <w:rFonts w:eastAsia="SimSun"/>
          <w:lang w:val="fr-FR" w:eastAsia="zh-CN"/>
        </w:rPr>
        <w:t> </w:t>
      </w:r>
      <w:r w:rsidRPr="00790E0D">
        <w:rPr>
          <w:rFonts w:eastAsia="SimSun"/>
          <w:lang w:val="fr-FR" w:eastAsia="zh-CN"/>
        </w:rPr>
        <w:t xml:space="preserve">Les réservoirs et les équipements doivent être, </w:t>
      </w:r>
      <w:r w:rsidRPr="0019190D">
        <w:rPr>
          <w:rFonts w:eastAsia="SimSun"/>
          <w:b/>
          <w:lang w:val="fr-FR" w:eastAsia="zh-CN"/>
        </w:rPr>
        <w:t>soit ensemble, soit séparément</w:t>
      </w:r>
      <w:r w:rsidRPr="00790E0D">
        <w:rPr>
          <w:rFonts w:eastAsia="SimSun"/>
          <w:lang w:val="fr-FR" w:eastAsia="zh-CN"/>
        </w:rPr>
        <w:t>, soumis</w:t>
      </w:r>
      <w:bookmarkStart w:id="0" w:name="_GoBack"/>
      <w:bookmarkEnd w:id="0"/>
      <w:r w:rsidRPr="00790E0D">
        <w:rPr>
          <w:rFonts w:eastAsia="SimSun"/>
          <w:lang w:val="fr-FR" w:eastAsia="zh-CN"/>
        </w:rPr>
        <w:t xml:space="preserve"> à un contrôle initial avant leur mise en service. Ce contrôle comprend</w:t>
      </w:r>
      <w:r w:rsidR="00024BD2">
        <w:rPr>
          <w:rFonts w:eastAsia="SimSun"/>
          <w:lang w:val="fr-FR" w:eastAsia="zh-CN"/>
        </w:rPr>
        <w:t> :</w:t>
      </w:r>
    </w:p>
    <w:p w:rsidR="007947A8" w:rsidRPr="00790E0D" w:rsidRDefault="007947A8" w:rsidP="0019190D">
      <w:pPr>
        <w:pStyle w:val="Bullet2G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une vérification de la conformité du type agréé</w:t>
      </w:r>
      <w:r w:rsidR="00024BD2">
        <w:rPr>
          <w:rFonts w:eastAsia="SimSun"/>
          <w:lang w:val="fr-FR" w:eastAsia="zh-CN"/>
        </w:rPr>
        <w:t> ;</w:t>
      </w:r>
    </w:p>
    <w:p w:rsidR="007947A8" w:rsidRPr="00790E0D" w:rsidRDefault="007947A8" w:rsidP="0019190D">
      <w:pPr>
        <w:pStyle w:val="Bullet2G"/>
        <w:rPr>
          <w:rFonts w:eastAsia="SimSun"/>
          <w:bCs/>
          <w:lang w:val="fr-FR" w:eastAsia="zh-CN"/>
        </w:rPr>
      </w:pPr>
      <w:r w:rsidRPr="00790E0D">
        <w:rPr>
          <w:rFonts w:eastAsia="SimSun"/>
          <w:lang w:val="fr-FR" w:eastAsia="zh-CN"/>
        </w:rPr>
        <w:t>une vérification des caractéristiques de construction</w:t>
      </w:r>
      <w:r w:rsidRPr="008E6CA1">
        <w:rPr>
          <w:rStyle w:val="Appelnotedebasdep"/>
          <w:rFonts w:eastAsia="SimSun"/>
        </w:rPr>
        <w:footnoteReference w:customMarkFollows="1" w:id="4"/>
        <w:t>9</w:t>
      </w:r>
      <w:r w:rsidR="00024BD2">
        <w:rPr>
          <w:rFonts w:eastAsia="SimSun"/>
          <w:iCs/>
          <w:lang w:val="fr-FR" w:eastAsia="zh-CN"/>
        </w:rPr>
        <w:t> ;</w:t>
      </w:r>
    </w:p>
    <w:p w:rsidR="007947A8" w:rsidRPr="00790E0D" w:rsidRDefault="007947A8" w:rsidP="0019190D">
      <w:pPr>
        <w:pStyle w:val="Bullet2G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un examen de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état intérieur et extérieur</w:t>
      </w:r>
      <w:r w:rsidR="00024BD2">
        <w:rPr>
          <w:rFonts w:eastAsia="SimSun"/>
          <w:lang w:val="fr-FR" w:eastAsia="zh-CN"/>
        </w:rPr>
        <w:t> ;</w:t>
      </w:r>
    </w:p>
    <w:p w:rsidR="0019190D" w:rsidRDefault="007947A8" w:rsidP="0019190D">
      <w:pPr>
        <w:pStyle w:val="Bullet2G"/>
        <w:rPr>
          <w:rFonts w:eastAsia="SimSun"/>
          <w:lang w:val="fr-FR" w:eastAsia="zh-CN"/>
        </w:rPr>
      </w:pPr>
      <w:r w:rsidRPr="0019190D">
        <w:rPr>
          <w:rFonts w:eastAsia="SimSun"/>
          <w:lang w:val="fr-FR" w:eastAsia="zh-CN"/>
        </w:rPr>
        <w:t>une épreuve de pression hydraulique</w:t>
      </w:r>
      <w:r w:rsidRPr="008E6CA1">
        <w:rPr>
          <w:rStyle w:val="Appelnotedebasdep"/>
          <w:rFonts w:eastAsia="SimSun"/>
          <w:lang w:val="fr-FR" w:eastAsia="zh-CN"/>
        </w:rPr>
        <w:footnoteReference w:customMarkFollows="1" w:id="5"/>
        <w:t>10</w:t>
      </w:r>
      <w:r w:rsidRPr="0019190D">
        <w:rPr>
          <w:rFonts w:eastAsia="SimSun"/>
          <w:bCs/>
          <w:lang w:val="fr-FR" w:eastAsia="zh-CN"/>
        </w:rPr>
        <w:t xml:space="preserve"> </w:t>
      </w:r>
      <w:r w:rsidRPr="0019190D">
        <w:rPr>
          <w:rFonts w:eastAsia="SimSun"/>
          <w:lang w:val="fr-FR" w:eastAsia="zh-CN"/>
        </w:rPr>
        <w:t>à la pression d’épreuve indiquée sur la plaque prescrite au 6.8.2.5.1</w:t>
      </w:r>
      <w:r w:rsidR="00024BD2">
        <w:rPr>
          <w:rFonts w:eastAsia="SimSun"/>
          <w:lang w:val="fr-FR" w:eastAsia="zh-CN"/>
        </w:rPr>
        <w:t> ;</w:t>
      </w:r>
      <w:r w:rsidRPr="0019190D">
        <w:rPr>
          <w:rFonts w:eastAsia="SimSun"/>
          <w:lang w:val="fr-FR" w:eastAsia="zh-CN"/>
        </w:rPr>
        <w:t xml:space="preserve"> et</w:t>
      </w:r>
    </w:p>
    <w:p w:rsidR="007947A8" w:rsidRPr="0019190D" w:rsidRDefault="007947A8" w:rsidP="0019190D">
      <w:pPr>
        <w:pStyle w:val="Bullet2G"/>
        <w:rPr>
          <w:rFonts w:eastAsia="SimSun"/>
          <w:lang w:val="fr-FR" w:eastAsia="zh-CN"/>
        </w:rPr>
      </w:pPr>
      <w:r w:rsidRPr="0019190D">
        <w:rPr>
          <w:rFonts w:eastAsia="SimSun"/>
          <w:lang w:val="fr-FR" w:eastAsia="zh-CN"/>
        </w:rPr>
        <w:t>une épreuve d’étanchéité et une vérification du bon fonctionnement de l’équipement.</w:t>
      </w:r>
      <w:r w:rsidR="0019190D">
        <w:rPr>
          <w:rFonts w:eastAsia="SimSun"/>
          <w:lang w:val="fr-FR" w:eastAsia="zh-CN"/>
        </w:rPr>
        <w:t> </w:t>
      </w:r>
      <w:r w:rsidRPr="0019190D">
        <w:rPr>
          <w:rFonts w:eastAsia="SimSun"/>
          <w:lang w:val="fr-FR" w:eastAsia="zh-CN"/>
        </w:rPr>
        <w:t>».</w:t>
      </w:r>
    </w:p>
    <w:p w:rsidR="007947A8" w:rsidRPr="00790E0D" w:rsidRDefault="007947A8" w:rsidP="0019190D">
      <w:pPr>
        <w:pStyle w:val="SingleTxtG"/>
        <w:rPr>
          <w:rFonts w:eastAsia="SimSun"/>
          <w:lang w:val="fr-FR" w:eastAsia="zh-CN"/>
        </w:rPr>
      </w:pPr>
      <w:r w:rsidRPr="0019190D">
        <w:rPr>
          <w:rFonts w:eastAsia="SimSun"/>
          <w:b/>
          <w:lang w:val="fr-FR" w:eastAsia="zh-CN"/>
        </w:rPr>
        <w:t>Question 3</w:t>
      </w:r>
      <w:r w:rsidRPr="00790E0D">
        <w:rPr>
          <w:rFonts w:eastAsia="SimSun"/>
          <w:lang w:val="fr-FR" w:eastAsia="zh-CN"/>
        </w:rPr>
        <w:tab/>
        <w:t>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expression «</w:t>
      </w:r>
      <w:r w:rsidR="00F9268A">
        <w:rPr>
          <w:rFonts w:eastAsia="SimSun"/>
          <w:lang w:val="fr-FR" w:eastAsia="zh-CN"/>
        </w:rPr>
        <w:t> </w:t>
      </w:r>
      <w:r w:rsidRPr="00790E0D">
        <w:rPr>
          <w:rFonts w:eastAsia="SimSun"/>
          <w:lang w:val="fr-FR" w:eastAsia="zh-CN"/>
        </w:rPr>
        <w:t>soit ensemble, soit séparément</w:t>
      </w:r>
      <w:r w:rsidR="00F9268A">
        <w:rPr>
          <w:rFonts w:eastAsia="SimSun"/>
          <w:lang w:val="fr-FR" w:eastAsia="zh-CN"/>
        </w:rPr>
        <w:t> </w:t>
      </w:r>
      <w:r w:rsidRPr="00790E0D">
        <w:rPr>
          <w:rFonts w:eastAsia="SimSun"/>
          <w:lang w:val="fr-FR" w:eastAsia="zh-CN"/>
        </w:rPr>
        <w:t>» est-elle suffisamment claire pour que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on saisisse que la citerne doit être agréée dans son ensemble et que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agrément doit comprendre une évaluation de la convenance de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équipement de service à la citerne</w:t>
      </w:r>
      <w:r w:rsidR="00685D04">
        <w:rPr>
          <w:rFonts w:eastAsia="SimSun"/>
          <w:lang w:val="fr-FR" w:eastAsia="zh-CN"/>
        </w:rPr>
        <w:t> ?</w:t>
      </w:r>
    </w:p>
    <w:p w:rsidR="007947A8" w:rsidRPr="00790E0D" w:rsidRDefault="007947A8" w:rsidP="0019190D">
      <w:pPr>
        <w:pStyle w:val="SingleTxtG"/>
        <w:rPr>
          <w:rFonts w:eastAsia="SimSun"/>
          <w:lang w:val="fr-FR" w:eastAsia="zh-CN"/>
        </w:rPr>
      </w:pPr>
      <w:r w:rsidRPr="0019190D">
        <w:rPr>
          <w:rFonts w:eastAsia="SimSun"/>
          <w:b/>
          <w:lang w:val="fr-FR" w:eastAsia="zh-CN"/>
        </w:rPr>
        <w:t>Question 4</w:t>
      </w:r>
      <w:r w:rsidRPr="00790E0D">
        <w:rPr>
          <w:rFonts w:eastAsia="SimSun"/>
          <w:lang w:val="fr-FR" w:eastAsia="zh-CN"/>
        </w:rPr>
        <w:tab/>
        <w:t>Les prescriptions sont-elles suffisantes pour que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on puisse s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assurer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un contrôle initial séparé satisfaisant en ce qui concerne les équipements de service des citernes</w:t>
      </w:r>
      <w:r w:rsidR="00685D04">
        <w:rPr>
          <w:rFonts w:eastAsia="SimSun"/>
          <w:lang w:val="fr-FR" w:eastAsia="zh-CN"/>
        </w:rPr>
        <w:t> ?</w:t>
      </w:r>
    </w:p>
    <w:p w:rsidR="007947A8" w:rsidRPr="00790E0D" w:rsidRDefault="007947A8" w:rsidP="0019190D">
      <w:pPr>
        <w:pStyle w:val="SingleTxtG"/>
        <w:ind w:firstLine="567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Pour information, le groupe de travail a proposé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ajouter les prescriptions ci-après au 6.2.5.1 du RID/ADR aux fins du contrôle initial des fermetures des récipients à pression</w:t>
      </w:r>
      <w:r w:rsidR="00024BD2">
        <w:rPr>
          <w:rFonts w:eastAsia="SimSun"/>
          <w:lang w:val="fr-FR" w:eastAsia="zh-CN"/>
        </w:rPr>
        <w:t> :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iCs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>«</w:t>
      </w:r>
      <w:r w:rsidR="0019190D">
        <w:rPr>
          <w:rFonts w:eastAsia="SimSun"/>
          <w:iCs/>
          <w:lang w:val="fr-FR" w:eastAsia="zh-CN"/>
        </w:rPr>
        <w:t> </w:t>
      </w:r>
      <w:r w:rsidRPr="00790E0D">
        <w:rPr>
          <w:rFonts w:eastAsia="SimSun"/>
          <w:iCs/>
          <w:lang w:val="fr-FR" w:eastAsia="zh-CN"/>
        </w:rPr>
        <w:t>Sur un échantillon suffisant de fermetures</w:t>
      </w:r>
      <w:r w:rsidR="00024BD2">
        <w:rPr>
          <w:rFonts w:eastAsia="SimSun"/>
          <w:iCs/>
          <w:lang w:val="fr-FR" w:eastAsia="zh-CN"/>
        </w:rPr>
        <w:t> :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>Alinéa k)</w:t>
      </w:r>
      <w:r w:rsidRPr="00790E0D">
        <w:rPr>
          <w:rFonts w:eastAsia="SimSun"/>
          <w:iCs/>
          <w:lang w:val="fr-FR" w:eastAsia="zh-CN"/>
        </w:rPr>
        <w:tab/>
        <w:t>Vérification des matériaux métalliques et non-métalliques</w:t>
      </w:r>
      <w:r w:rsidR="00024BD2">
        <w:rPr>
          <w:rFonts w:eastAsia="SimSun"/>
          <w:iCs/>
          <w:lang w:val="fr-FR" w:eastAsia="zh-CN"/>
        </w:rPr>
        <w:t> ;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 xml:space="preserve">Alinéa </w:t>
      </w:r>
      <w:r w:rsidRPr="00790E0D">
        <w:rPr>
          <w:rFonts w:eastAsia="SimSun"/>
          <w:lang w:val="fr-FR" w:eastAsia="zh-CN"/>
        </w:rPr>
        <w:t>l)</w:t>
      </w:r>
      <w:r w:rsidRPr="00790E0D">
        <w:rPr>
          <w:rFonts w:eastAsia="SimSun"/>
          <w:lang w:val="fr-FR" w:eastAsia="zh-CN"/>
        </w:rPr>
        <w:tab/>
        <w:t>Vérification des dimensions</w:t>
      </w:r>
      <w:r w:rsidR="00024BD2">
        <w:rPr>
          <w:rFonts w:eastAsia="SimSun"/>
          <w:lang w:val="fr-FR" w:eastAsia="zh-CN"/>
        </w:rPr>
        <w:t> ;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>Alinéa m)</w:t>
      </w:r>
      <w:r w:rsidRPr="00790E0D">
        <w:rPr>
          <w:rFonts w:eastAsia="SimSun"/>
          <w:iCs/>
          <w:lang w:val="fr-FR" w:eastAsia="zh-CN"/>
        </w:rPr>
        <w:tab/>
        <w:t>Vérification de la propreté</w:t>
      </w:r>
      <w:r w:rsidR="00024BD2">
        <w:rPr>
          <w:rFonts w:eastAsia="SimSun"/>
          <w:iCs/>
          <w:lang w:val="fr-FR" w:eastAsia="zh-CN"/>
        </w:rPr>
        <w:t> ;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 xml:space="preserve">Alinéa </w:t>
      </w:r>
      <w:r w:rsidRPr="00790E0D">
        <w:rPr>
          <w:rFonts w:eastAsia="SimSun"/>
          <w:lang w:val="fr-FR" w:eastAsia="zh-CN"/>
        </w:rPr>
        <w:t>n)</w:t>
      </w:r>
      <w:r w:rsidRPr="00790E0D">
        <w:rPr>
          <w:rFonts w:eastAsia="SimSun"/>
          <w:lang w:val="fr-FR" w:eastAsia="zh-CN"/>
        </w:rPr>
        <w:tab/>
        <w:t>Inspection de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assemblage complet</w:t>
      </w:r>
      <w:r w:rsidR="00024BD2">
        <w:rPr>
          <w:rFonts w:eastAsia="SimSun"/>
          <w:lang w:val="fr-FR" w:eastAsia="zh-CN"/>
        </w:rPr>
        <w:t> ;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 xml:space="preserve">Alinéa </w:t>
      </w:r>
      <w:r w:rsidRPr="00790E0D">
        <w:rPr>
          <w:rFonts w:eastAsia="SimSun"/>
          <w:lang w:val="fr-FR" w:eastAsia="zh-CN"/>
        </w:rPr>
        <w:t>o)</w:t>
      </w:r>
      <w:r w:rsidRPr="00790E0D">
        <w:rPr>
          <w:rFonts w:eastAsia="SimSun"/>
          <w:lang w:val="fr-FR" w:eastAsia="zh-CN"/>
        </w:rPr>
        <w:tab/>
        <w:t xml:space="preserve">Vérification de la conformité des marques 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iCs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>Pour toutes les fermetures</w:t>
      </w:r>
      <w:r w:rsidR="00024BD2">
        <w:rPr>
          <w:rFonts w:eastAsia="SimSun"/>
          <w:iCs/>
          <w:lang w:val="fr-FR" w:eastAsia="zh-CN"/>
        </w:rPr>
        <w:t> :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iCs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>Alinéa p)</w:t>
      </w:r>
      <w:r w:rsidRPr="00790E0D">
        <w:rPr>
          <w:rFonts w:eastAsia="SimSun"/>
          <w:iCs/>
          <w:lang w:val="fr-FR" w:eastAsia="zh-CN"/>
        </w:rPr>
        <w:tab/>
        <w:t>Épreuve d</w:t>
      </w:r>
      <w:r>
        <w:rPr>
          <w:rFonts w:eastAsia="SimSun"/>
          <w:iCs/>
          <w:lang w:val="fr-FR" w:eastAsia="zh-CN"/>
        </w:rPr>
        <w:t>’</w:t>
      </w:r>
      <w:r w:rsidRPr="00790E0D">
        <w:rPr>
          <w:rFonts w:eastAsia="SimSun"/>
          <w:iCs/>
          <w:lang w:val="fr-FR" w:eastAsia="zh-CN"/>
        </w:rPr>
        <w:t>étanchéité</w:t>
      </w:r>
      <w:r w:rsidR="00024BD2">
        <w:rPr>
          <w:rFonts w:eastAsia="SimSun"/>
          <w:iCs/>
          <w:lang w:val="fr-FR" w:eastAsia="zh-CN"/>
        </w:rPr>
        <w:t> ;</w:t>
      </w:r>
    </w:p>
    <w:p w:rsidR="007947A8" w:rsidRPr="00790E0D" w:rsidRDefault="007947A8" w:rsidP="0019190D">
      <w:pPr>
        <w:pStyle w:val="SingleTxtG"/>
        <w:ind w:left="1701"/>
        <w:rPr>
          <w:rFonts w:eastAsia="SimSun"/>
          <w:iCs/>
          <w:lang w:val="fr-FR" w:eastAsia="zh-CN"/>
        </w:rPr>
      </w:pPr>
      <w:r w:rsidRPr="00790E0D">
        <w:rPr>
          <w:rFonts w:eastAsia="SimSun"/>
          <w:iCs/>
          <w:lang w:val="fr-FR" w:eastAsia="zh-CN"/>
        </w:rPr>
        <w:t>Alinéa q)</w:t>
      </w:r>
      <w:r w:rsidRPr="00790E0D">
        <w:rPr>
          <w:rFonts w:eastAsia="SimSun"/>
          <w:iCs/>
          <w:lang w:val="fr-FR" w:eastAsia="zh-CN"/>
        </w:rPr>
        <w:tab/>
        <w:t>Vérification de la présence de marques.</w:t>
      </w:r>
      <w:r w:rsidR="00F9268A">
        <w:rPr>
          <w:rFonts w:eastAsia="SimSun"/>
          <w:iCs/>
          <w:lang w:val="fr-FR" w:eastAsia="zh-CN"/>
        </w:rPr>
        <w:t> </w:t>
      </w:r>
      <w:r w:rsidRPr="00790E0D">
        <w:rPr>
          <w:rFonts w:eastAsia="SimSun"/>
          <w:iCs/>
          <w:lang w:val="fr-FR" w:eastAsia="zh-CN"/>
        </w:rPr>
        <w:t>».</w:t>
      </w:r>
    </w:p>
    <w:p w:rsidR="007947A8" w:rsidRPr="00790E0D" w:rsidRDefault="007947A8" w:rsidP="0019190D">
      <w:pPr>
        <w:pStyle w:val="H1G"/>
        <w:rPr>
          <w:rFonts w:eastAsia="SimSun"/>
          <w:iCs/>
          <w:lang w:val="fr-FR"/>
        </w:rPr>
      </w:pPr>
      <w:r w:rsidRPr="00790E0D">
        <w:rPr>
          <w:rFonts w:eastAsia="SimSun"/>
          <w:lang w:val="fr-FR"/>
        </w:rPr>
        <w:tab/>
      </w:r>
      <w:r w:rsidRPr="00790E0D">
        <w:rPr>
          <w:rFonts w:eastAsia="SimSun"/>
          <w:lang w:val="fr-FR"/>
        </w:rPr>
        <w:tab/>
        <w:t>Marquage</w:t>
      </w:r>
    </w:p>
    <w:p w:rsidR="007947A8" w:rsidRPr="00790E0D" w:rsidRDefault="007947A8" w:rsidP="0019190D">
      <w:pPr>
        <w:pStyle w:val="ParNoG"/>
        <w:tabs>
          <w:tab w:val="clear" w:pos="1701"/>
        </w:tabs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 xml:space="preserve">Le 6.8.3.5 </w:t>
      </w:r>
      <w:proofErr w:type="gramStart"/>
      <w:r w:rsidRPr="00790E0D">
        <w:rPr>
          <w:rFonts w:eastAsia="SimSun"/>
          <w:lang w:val="fr-FR" w:eastAsia="zh-CN"/>
        </w:rPr>
        <w:t>concerne</w:t>
      </w:r>
      <w:proofErr w:type="gramEnd"/>
      <w:r w:rsidRPr="00790E0D">
        <w:rPr>
          <w:rFonts w:eastAsia="SimSun"/>
          <w:lang w:val="fr-FR" w:eastAsia="zh-CN"/>
        </w:rPr>
        <w:t xml:space="preserve"> exclusivement le marquage de la citerne en tant que produit fini. Actuellement,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agrément de type séparé est limité aux équipements de service pour lesquels des normes sont citées en référence. Or les normes comprennent généralement les prescriptions relatives au marquage.</w:t>
      </w:r>
    </w:p>
    <w:p w:rsidR="007947A8" w:rsidRPr="00790E0D" w:rsidRDefault="007947A8" w:rsidP="0019190D">
      <w:pPr>
        <w:pStyle w:val="SingleTxtG"/>
        <w:rPr>
          <w:rFonts w:eastAsia="SimSun"/>
          <w:lang w:val="fr-FR" w:eastAsia="zh-CN"/>
        </w:rPr>
      </w:pPr>
      <w:r w:rsidRPr="0019190D">
        <w:rPr>
          <w:rFonts w:eastAsia="SimSun"/>
          <w:b/>
          <w:lang w:val="fr-FR" w:eastAsia="zh-CN"/>
        </w:rPr>
        <w:t>Question 5</w:t>
      </w:r>
      <w:r w:rsidRPr="00790E0D">
        <w:rPr>
          <w:rFonts w:eastAsia="SimSun"/>
          <w:lang w:val="fr-FR" w:eastAsia="zh-CN"/>
        </w:rPr>
        <w:tab/>
        <w:t>Est-il nécessaire dans le RID/ADR de spécifier les marques qui doivent être apposées au minimum sur les équipements de service</w:t>
      </w:r>
      <w:r w:rsidR="00685D04">
        <w:rPr>
          <w:rFonts w:eastAsia="SimSun"/>
          <w:lang w:val="fr-FR" w:eastAsia="zh-CN"/>
        </w:rPr>
        <w:t> ?</w:t>
      </w:r>
      <w:r>
        <w:rPr>
          <w:rFonts w:eastAsia="SimSun"/>
          <w:lang w:val="fr-FR" w:eastAsia="zh-CN"/>
        </w:rPr>
        <w:t xml:space="preserve"> </w:t>
      </w:r>
    </w:p>
    <w:p w:rsidR="007947A8" w:rsidRPr="00790E0D" w:rsidRDefault="007947A8" w:rsidP="00EE7306">
      <w:pPr>
        <w:pStyle w:val="SingleTxtG"/>
        <w:rPr>
          <w:rFonts w:eastAsia="SimSun"/>
          <w:i/>
          <w:lang w:val="fr-FR" w:eastAsia="zh-CN"/>
        </w:rPr>
      </w:pPr>
      <w:r w:rsidRPr="0019190D">
        <w:rPr>
          <w:rFonts w:eastAsia="SimSun"/>
          <w:b/>
          <w:i/>
          <w:lang w:val="fr-FR" w:eastAsia="zh-CN"/>
        </w:rPr>
        <w:lastRenderedPageBreak/>
        <w:t>NOTE</w:t>
      </w:r>
      <w:r w:rsidR="00024BD2">
        <w:rPr>
          <w:rFonts w:eastAsia="SimSun"/>
          <w:b/>
          <w:i/>
          <w:lang w:val="fr-FR" w:eastAsia="zh-CN"/>
        </w:rPr>
        <w:t> :</w:t>
      </w:r>
      <w:r w:rsidR="00EE7306">
        <w:rPr>
          <w:rFonts w:eastAsia="SimSun"/>
          <w:i/>
          <w:lang w:val="fr-FR" w:eastAsia="zh-CN"/>
        </w:rPr>
        <w:tab/>
      </w:r>
      <w:r w:rsidRPr="00790E0D">
        <w:rPr>
          <w:rFonts w:eastAsia="SimSun"/>
          <w:i/>
          <w:lang w:val="fr-FR" w:eastAsia="zh-CN"/>
        </w:rPr>
        <w:t>L</w:t>
      </w:r>
      <w:r>
        <w:rPr>
          <w:rFonts w:eastAsia="SimSun"/>
          <w:i/>
          <w:lang w:val="fr-FR" w:eastAsia="zh-CN"/>
        </w:rPr>
        <w:t>’</w:t>
      </w:r>
      <w:r w:rsidRPr="00790E0D">
        <w:rPr>
          <w:rFonts w:eastAsia="SimSun"/>
          <w:i/>
          <w:lang w:val="fr-FR" w:eastAsia="zh-CN"/>
        </w:rPr>
        <w:t>introduction de normes minimales pour le marquage sera plus pressante s</w:t>
      </w:r>
      <w:r>
        <w:rPr>
          <w:rFonts w:eastAsia="SimSun"/>
          <w:i/>
          <w:lang w:val="fr-FR" w:eastAsia="zh-CN"/>
        </w:rPr>
        <w:t>’</w:t>
      </w:r>
      <w:r w:rsidRPr="00790E0D">
        <w:rPr>
          <w:rFonts w:eastAsia="SimSun"/>
          <w:i/>
          <w:lang w:val="fr-FR" w:eastAsia="zh-CN"/>
        </w:rPr>
        <w:t>il est décidé d</w:t>
      </w:r>
      <w:r>
        <w:rPr>
          <w:rFonts w:eastAsia="SimSun"/>
          <w:i/>
          <w:lang w:val="fr-FR" w:eastAsia="zh-CN"/>
        </w:rPr>
        <w:t>’</w:t>
      </w:r>
      <w:r w:rsidRPr="00790E0D">
        <w:rPr>
          <w:rFonts w:eastAsia="SimSun"/>
          <w:i/>
          <w:lang w:val="fr-FR" w:eastAsia="zh-CN"/>
        </w:rPr>
        <w:t>autoriser les agréments de type pour les équipements de service qui n</w:t>
      </w:r>
      <w:r>
        <w:rPr>
          <w:rFonts w:eastAsia="SimSun"/>
          <w:i/>
          <w:lang w:val="fr-FR" w:eastAsia="zh-CN"/>
        </w:rPr>
        <w:t>’</w:t>
      </w:r>
      <w:r w:rsidRPr="00790E0D">
        <w:rPr>
          <w:rFonts w:eastAsia="SimSun"/>
          <w:i/>
          <w:lang w:val="fr-FR" w:eastAsia="zh-CN"/>
        </w:rPr>
        <w:t>ont pas été construits selon des normes.</w:t>
      </w:r>
    </w:p>
    <w:p w:rsidR="007947A8" w:rsidRPr="00790E0D" w:rsidRDefault="007947A8" w:rsidP="00EC3A95">
      <w:pPr>
        <w:pStyle w:val="SingleTxtG"/>
        <w:ind w:firstLine="567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Pour information, le groupe de travail a proposé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ajouter, en ce qui concerne le marquage des fermetures des récipients à pression, les prescriptions ci-après à un nouveau paragraphe du RID/ADR, le 6.2.2.7.11</w:t>
      </w:r>
      <w:r w:rsidR="00024BD2">
        <w:rPr>
          <w:rFonts w:eastAsia="SimSun"/>
          <w:lang w:val="fr-FR" w:eastAsia="zh-CN"/>
        </w:rPr>
        <w:t> :</w:t>
      </w:r>
    </w:p>
    <w:p w:rsidR="007947A8" w:rsidRPr="00790E0D" w:rsidRDefault="007947A8" w:rsidP="00715491">
      <w:pPr>
        <w:pStyle w:val="SingleTxtG"/>
        <w:ind w:left="2835" w:hanging="1134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«</w:t>
      </w:r>
      <w:r w:rsidR="007929EB">
        <w:rPr>
          <w:rFonts w:eastAsia="SimSun"/>
          <w:lang w:val="fr-FR" w:eastAsia="zh-CN"/>
        </w:rPr>
        <w:t> </w:t>
      </w:r>
      <w:r w:rsidRPr="00EC3A95">
        <w:rPr>
          <w:rFonts w:eastAsia="SimSun"/>
          <w:b/>
          <w:lang w:val="fr-FR" w:eastAsia="zh-CN"/>
        </w:rPr>
        <w:t>6.2.2.7.11</w:t>
      </w:r>
      <w:r w:rsidRPr="00EC3A95">
        <w:rPr>
          <w:rFonts w:eastAsia="SimSun"/>
          <w:b/>
          <w:lang w:val="fr-FR" w:eastAsia="zh-CN"/>
        </w:rPr>
        <w:tab/>
        <w:t xml:space="preserve">Marquage des fermetures des récipients à pression rechargeables </w:t>
      </w:r>
      <w:r w:rsidR="00715491" w:rsidRPr="00F82715">
        <w:rPr>
          <w:rFonts w:eastAsia="SimSun"/>
          <w:b/>
          <w:lang w:val="fr-FR" w:eastAsia="zh-CN"/>
        </w:rPr>
        <w:t>“</w:t>
      </w:r>
      <w:r w:rsidRPr="00EC3A95">
        <w:rPr>
          <w:rFonts w:eastAsia="SimSun"/>
          <w:b/>
          <w:lang w:val="fr-FR" w:eastAsia="zh-CN"/>
        </w:rPr>
        <w:t>UN</w:t>
      </w:r>
      <w:r w:rsidR="00715491" w:rsidRPr="00F82715">
        <w:rPr>
          <w:rFonts w:eastAsia="SimSun"/>
          <w:b/>
          <w:lang w:val="fr-FR" w:eastAsia="zh-CN"/>
        </w:rPr>
        <w:t>”</w:t>
      </w:r>
    </w:p>
    <w:p w:rsidR="007947A8" w:rsidRPr="00790E0D" w:rsidRDefault="007947A8" w:rsidP="00715491">
      <w:pPr>
        <w:pStyle w:val="SingleTxtG"/>
        <w:ind w:left="2835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En ce qui concerne les fermetures,</w:t>
      </w:r>
      <w:r w:rsidR="008A2CD4">
        <w:rPr>
          <w:rFonts w:eastAsia="SimSun"/>
          <w:lang w:val="fr-FR" w:eastAsia="zh-CN"/>
        </w:rPr>
        <w:t xml:space="preserve"> les indications permanentes </w:t>
      </w:r>
      <w:proofErr w:type="spellStart"/>
      <w:r w:rsidR="008A2CD4">
        <w:rPr>
          <w:rFonts w:eastAsia="SimSun"/>
          <w:lang w:val="fr-FR" w:eastAsia="zh-CN"/>
        </w:rPr>
        <w:t>ci</w:t>
      </w:r>
      <w:r w:rsidR="008A2CD4">
        <w:rPr>
          <w:rFonts w:eastAsia="SimSun"/>
          <w:lang w:val="fr-FR" w:eastAsia="zh-CN"/>
        </w:rPr>
        <w:noBreakHyphen/>
      </w:r>
      <w:r w:rsidRPr="00790E0D">
        <w:rPr>
          <w:rFonts w:eastAsia="SimSun"/>
          <w:lang w:val="fr-FR" w:eastAsia="zh-CN"/>
        </w:rPr>
        <w:t>après</w:t>
      </w:r>
      <w:proofErr w:type="spellEnd"/>
      <w:r w:rsidRPr="00790E0D">
        <w:rPr>
          <w:rFonts w:eastAsia="SimSun"/>
          <w:lang w:val="fr-FR" w:eastAsia="zh-CN"/>
        </w:rPr>
        <w:t xml:space="preserve"> doivent être appliquées de façon claire et lisible (par poinçonnage, </w:t>
      </w:r>
      <w:proofErr w:type="spellStart"/>
      <w:r w:rsidRPr="00790E0D">
        <w:rPr>
          <w:rFonts w:eastAsia="SimSun"/>
          <w:lang w:val="fr-FR" w:eastAsia="zh-CN"/>
        </w:rPr>
        <w:t>gravage</w:t>
      </w:r>
      <w:proofErr w:type="spellEnd"/>
      <w:r w:rsidRPr="00790E0D">
        <w:rPr>
          <w:rFonts w:eastAsia="SimSun"/>
          <w:lang w:val="fr-FR" w:eastAsia="zh-CN"/>
        </w:rPr>
        <w:t xml:space="preserve"> ou attaque, par exemple)</w:t>
      </w:r>
      <w:r w:rsidR="00024BD2">
        <w:rPr>
          <w:rFonts w:eastAsia="SimSun"/>
          <w:lang w:val="fr-FR" w:eastAsia="zh-CN"/>
        </w:rPr>
        <w:t> :</w:t>
      </w:r>
    </w:p>
    <w:p w:rsidR="007947A8" w:rsidRPr="00790E0D" w:rsidRDefault="00EC3A95" w:rsidP="00715491">
      <w:pPr>
        <w:pStyle w:val="SingleTxtG"/>
        <w:ind w:left="2835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a)</w:t>
      </w:r>
      <w:r>
        <w:rPr>
          <w:rFonts w:eastAsia="SimSun"/>
          <w:lang w:val="fr-FR" w:eastAsia="zh-CN"/>
        </w:rPr>
        <w:tab/>
      </w:r>
      <w:r w:rsidR="007947A8" w:rsidRPr="00790E0D">
        <w:rPr>
          <w:rFonts w:eastAsia="SimSun"/>
          <w:lang w:val="fr-FR" w:eastAsia="zh-CN"/>
        </w:rPr>
        <w:t>Marque d</w:t>
      </w:r>
      <w:r w:rsidR="007947A8">
        <w:rPr>
          <w:rFonts w:eastAsia="SimSun"/>
          <w:lang w:val="fr-FR" w:eastAsia="zh-CN"/>
        </w:rPr>
        <w:t>’</w:t>
      </w:r>
      <w:r w:rsidR="007947A8" w:rsidRPr="00790E0D">
        <w:rPr>
          <w:rFonts w:eastAsia="SimSun"/>
          <w:lang w:val="fr-FR" w:eastAsia="zh-CN"/>
        </w:rPr>
        <w:t>identification du fabricant</w:t>
      </w:r>
      <w:r w:rsidR="00024BD2">
        <w:rPr>
          <w:rFonts w:eastAsia="SimSun"/>
          <w:lang w:val="fr-FR" w:eastAsia="zh-CN"/>
        </w:rPr>
        <w:t> ;</w:t>
      </w:r>
    </w:p>
    <w:p w:rsidR="007947A8" w:rsidRPr="00790E0D" w:rsidRDefault="00EC3A95" w:rsidP="00715491">
      <w:pPr>
        <w:pStyle w:val="SingleTxtG"/>
        <w:ind w:left="2835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b)</w:t>
      </w:r>
      <w:r>
        <w:rPr>
          <w:rFonts w:eastAsia="SimSun"/>
          <w:lang w:val="fr-FR" w:eastAsia="zh-CN"/>
        </w:rPr>
        <w:tab/>
      </w:r>
      <w:r w:rsidR="007947A8" w:rsidRPr="00790E0D">
        <w:rPr>
          <w:rFonts w:eastAsia="SimSun"/>
          <w:lang w:val="fr-FR" w:eastAsia="zh-CN"/>
        </w:rPr>
        <w:t>Norme de conception ou désignation de celle-ci</w:t>
      </w:r>
      <w:r w:rsidR="00024BD2">
        <w:rPr>
          <w:rFonts w:eastAsia="SimSun"/>
          <w:lang w:val="fr-FR" w:eastAsia="zh-CN"/>
        </w:rPr>
        <w:t> ;</w:t>
      </w:r>
    </w:p>
    <w:p w:rsidR="007947A8" w:rsidRPr="00790E0D" w:rsidRDefault="00EC3A95" w:rsidP="00715491">
      <w:pPr>
        <w:pStyle w:val="SingleTxtG"/>
        <w:ind w:left="2835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c)</w:t>
      </w:r>
      <w:r>
        <w:rPr>
          <w:rFonts w:eastAsia="SimSun"/>
          <w:lang w:val="fr-FR" w:eastAsia="zh-CN"/>
        </w:rPr>
        <w:tab/>
      </w:r>
      <w:r w:rsidR="007947A8" w:rsidRPr="00790E0D">
        <w:rPr>
          <w:rFonts w:eastAsia="SimSun"/>
          <w:lang w:val="fr-FR" w:eastAsia="zh-CN"/>
        </w:rPr>
        <w:t>Date de fabrication (année et mois ou année et semaine)</w:t>
      </w:r>
      <w:r w:rsidR="00024BD2">
        <w:rPr>
          <w:rFonts w:eastAsia="SimSun"/>
          <w:lang w:val="fr-FR" w:eastAsia="zh-CN"/>
        </w:rPr>
        <w:t> ;</w:t>
      </w:r>
    </w:p>
    <w:p w:rsidR="007947A8" w:rsidRPr="00790E0D" w:rsidRDefault="00EC3A95" w:rsidP="00EE7306">
      <w:pPr>
        <w:pStyle w:val="SingleTxtG"/>
        <w:ind w:left="3402" w:hanging="567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d)</w:t>
      </w:r>
      <w:r>
        <w:rPr>
          <w:rFonts w:eastAsia="SimSun"/>
          <w:lang w:val="fr-FR" w:eastAsia="zh-CN"/>
        </w:rPr>
        <w:tab/>
      </w:r>
      <w:r w:rsidR="007947A8" w:rsidRPr="00790E0D">
        <w:rPr>
          <w:rFonts w:eastAsia="SimSun"/>
          <w:lang w:val="fr-FR" w:eastAsia="zh-CN"/>
        </w:rPr>
        <w:t>Sceau de l</w:t>
      </w:r>
      <w:r w:rsidR="007947A8">
        <w:rPr>
          <w:rFonts w:eastAsia="SimSun"/>
          <w:lang w:val="fr-FR" w:eastAsia="zh-CN"/>
        </w:rPr>
        <w:t>’</w:t>
      </w:r>
      <w:r w:rsidR="007947A8" w:rsidRPr="00790E0D">
        <w:rPr>
          <w:rFonts w:eastAsia="SimSun"/>
          <w:lang w:val="fr-FR" w:eastAsia="zh-CN"/>
        </w:rPr>
        <w:t>organisme responsable des contrôles et épreuves initiaux, le cas échéant.</w:t>
      </w:r>
    </w:p>
    <w:p w:rsidR="007947A8" w:rsidRDefault="007947A8" w:rsidP="00715491">
      <w:pPr>
        <w:pStyle w:val="SingleTxtG"/>
        <w:ind w:left="2835"/>
        <w:rPr>
          <w:rFonts w:eastAsia="SimSun"/>
          <w:lang w:val="fr-FR" w:eastAsia="zh-CN"/>
        </w:rPr>
      </w:pPr>
      <w:r w:rsidRPr="00790E0D">
        <w:rPr>
          <w:rFonts w:eastAsia="SimSun"/>
          <w:lang w:val="fr-FR" w:eastAsia="zh-CN"/>
        </w:rPr>
        <w:t>La pression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épreuve pour la soupape doit être marquée lorsqu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elle est inférieure à la pression d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épreuve prescrite selon la forme de l</w:t>
      </w:r>
      <w:r>
        <w:rPr>
          <w:rFonts w:eastAsia="SimSun"/>
          <w:lang w:val="fr-FR" w:eastAsia="zh-CN"/>
        </w:rPr>
        <w:t>’</w:t>
      </w:r>
      <w:r w:rsidRPr="00790E0D">
        <w:rPr>
          <w:rFonts w:eastAsia="SimSun"/>
          <w:lang w:val="fr-FR" w:eastAsia="zh-CN"/>
        </w:rPr>
        <w:t>orifice de remplissage.</w:t>
      </w:r>
      <w:r w:rsidR="00EC3A95">
        <w:rPr>
          <w:rFonts w:eastAsia="SimSun"/>
          <w:lang w:val="fr-FR" w:eastAsia="zh-CN"/>
        </w:rPr>
        <w:t> </w:t>
      </w:r>
      <w:r w:rsidRPr="00790E0D">
        <w:rPr>
          <w:rFonts w:eastAsia="SimSun"/>
          <w:lang w:val="fr-FR" w:eastAsia="zh-CN"/>
        </w:rPr>
        <w:t>».</w:t>
      </w:r>
    </w:p>
    <w:p w:rsidR="0019190D" w:rsidRPr="0019190D" w:rsidRDefault="0019190D" w:rsidP="0019190D">
      <w:pPr>
        <w:pStyle w:val="SingleTxtG"/>
        <w:spacing w:before="240" w:after="0"/>
        <w:jc w:val="center"/>
        <w:rPr>
          <w:rFonts w:eastAsia="SimSun"/>
          <w:u w:val="single"/>
          <w:lang w:val="fr-FR" w:eastAsia="zh-CN"/>
        </w:rPr>
      </w:pPr>
      <w:r>
        <w:rPr>
          <w:rFonts w:eastAsia="SimSun"/>
          <w:u w:val="single"/>
          <w:lang w:val="fr-FR" w:eastAsia="zh-CN"/>
        </w:rPr>
        <w:tab/>
      </w:r>
      <w:r>
        <w:rPr>
          <w:rFonts w:eastAsia="SimSun"/>
          <w:u w:val="single"/>
          <w:lang w:val="fr-FR" w:eastAsia="zh-CN"/>
        </w:rPr>
        <w:tab/>
      </w:r>
      <w:r>
        <w:rPr>
          <w:rFonts w:eastAsia="SimSun"/>
          <w:u w:val="single"/>
          <w:lang w:val="fr-FR" w:eastAsia="zh-CN"/>
        </w:rPr>
        <w:tab/>
      </w:r>
    </w:p>
    <w:sectPr w:rsidR="0019190D" w:rsidRPr="0019190D" w:rsidSect="007947A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49" w:rsidRDefault="00B01149" w:rsidP="00F95C08">
      <w:pPr>
        <w:spacing w:line="240" w:lineRule="auto"/>
      </w:pPr>
    </w:p>
  </w:endnote>
  <w:endnote w:type="continuationSeparator" w:id="0">
    <w:p w:rsidR="00B01149" w:rsidRPr="00AC3823" w:rsidRDefault="00B01149" w:rsidP="00AC3823">
      <w:pPr>
        <w:pStyle w:val="Pieddepage"/>
      </w:pPr>
    </w:p>
  </w:endnote>
  <w:endnote w:type="continuationNotice" w:id="1">
    <w:p w:rsidR="00B01149" w:rsidRDefault="00B0114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A8" w:rsidRPr="007947A8" w:rsidRDefault="001B03E7" w:rsidP="007947A8">
    <w:pPr>
      <w:pStyle w:val="Pieddepage"/>
      <w:tabs>
        <w:tab w:val="right" w:pos="9638"/>
      </w:tabs>
    </w:pPr>
    <w:r w:rsidRPr="007947A8">
      <w:rPr>
        <w:b/>
        <w:sz w:val="18"/>
      </w:rPr>
      <w:fldChar w:fldCharType="begin"/>
    </w:r>
    <w:r w:rsidR="007947A8" w:rsidRPr="007947A8">
      <w:rPr>
        <w:b/>
        <w:sz w:val="18"/>
      </w:rPr>
      <w:instrText xml:space="preserve"> PAGE  \* MERGEFORMAT </w:instrText>
    </w:r>
    <w:r w:rsidRPr="007947A8">
      <w:rPr>
        <w:b/>
        <w:sz w:val="18"/>
      </w:rPr>
      <w:fldChar w:fldCharType="separate"/>
    </w:r>
    <w:r w:rsidR="00F82715">
      <w:rPr>
        <w:b/>
        <w:noProof/>
        <w:sz w:val="18"/>
      </w:rPr>
      <w:t>4</w:t>
    </w:r>
    <w:r w:rsidRPr="007947A8">
      <w:rPr>
        <w:b/>
        <w:sz w:val="18"/>
      </w:rPr>
      <w:fldChar w:fldCharType="end"/>
    </w:r>
    <w:r w:rsidR="007947A8">
      <w:rPr>
        <w:b/>
        <w:sz w:val="18"/>
      </w:rPr>
      <w:tab/>
    </w:r>
    <w:r w:rsidR="007947A8">
      <w:t>GE.16-11066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A8" w:rsidRPr="007947A8" w:rsidRDefault="007947A8" w:rsidP="007947A8">
    <w:pPr>
      <w:pStyle w:val="Pieddepage"/>
      <w:tabs>
        <w:tab w:val="right" w:pos="9638"/>
      </w:tabs>
      <w:rPr>
        <w:b/>
        <w:sz w:val="18"/>
      </w:rPr>
    </w:pPr>
    <w:r>
      <w:t>GE.16-11066</w:t>
    </w:r>
    <w:r>
      <w:tab/>
    </w:r>
    <w:r w:rsidR="001B03E7" w:rsidRPr="007947A8">
      <w:rPr>
        <w:b/>
        <w:sz w:val="18"/>
      </w:rPr>
      <w:fldChar w:fldCharType="begin"/>
    </w:r>
    <w:r w:rsidRPr="007947A8">
      <w:rPr>
        <w:b/>
        <w:sz w:val="18"/>
      </w:rPr>
      <w:instrText xml:space="preserve"> PAGE  \* MERGEFORMAT </w:instrText>
    </w:r>
    <w:r w:rsidR="001B03E7" w:rsidRPr="007947A8">
      <w:rPr>
        <w:b/>
        <w:sz w:val="18"/>
      </w:rPr>
      <w:fldChar w:fldCharType="separate"/>
    </w:r>
    <w:r w:rsidR="00F82715">
      <w:rPr>
        <w:b/>
        <w:noProof/>
        <w:sz w:val="18"/>
      </w:rPr>
      <w:t>3</w:t>
    </w:r>
    <w:r w:rsidR="001B03E7" w:rsidRPr="007947A8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7947A8" w:rsidRDefault="007947A8" w:rsidP="007947A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16-11066  (F)    </w:t>
    </w:r>
    <w:r w:rsidR="007929EB">
      <w:rPr>
        <w:sz w:val="20"/>
      </w:rPr>
      <w:t>190716    200716</w:t>
    </w:r>
    <w:r>
      <w:rPr>
        <w:sz w:val="20"/>
      </w:rPr>
      <w:br/>
    </w:r>
    <w:r w:rsidRPr="007947A8">
      <w:rPr>
        <w:rFonts w:ascii="C39T30Lfz" w:hAnsi="C39T30Lfz"/>
        <w:sz w:val="56"/>
      </w:rPr>
      <w:t></w:t>
    </w:r>
    <w:r w:rsidRPr="007947A8">
      <w:rPr>
        <w:rFonts w:ascii="C39T30Lfz" w:hAnsi="C39T30Lfz"/>
        <w:sz w:val="56"/>
      </w:rPr>
      <w:t></w:t>
    </w:r>
    <w:r w:rsidRPr="007947A8">
      <w:rPr>
        <w:rFonts w:ascii="C39T30Lfz" w:hAnsi="C39T30Lfz"/>
        <w:sz w:val="56"/>
      </w:rPr>
      <w:t></w:t>
    </w:r>
    <w:r w:rsidRPr="007947A8">
      <w:rPr>
        <w:rFonts w:ascii="C39T30Lfz" w:hAnsi="C39T30Lfz"/>
        <w:sz w:val="56"/>
      </w:rPr>
      <w:t></w:t>
    </w:r>
    <w:r w:rsidRPr="007947A8">
      <w:rPr>
        <w:rFonts w:ascii="C39T30Lfz" w:hAnsi="C39T30Lfz"/>
        <w:sz w:val="56"/>
      </w:rPr>
      <w:t></w:t>
    </w:r>
    <w:r w:rsidRPr="007947A8">
      <w:rPr>
        <w:rFonts w:ascii="C39T30Lfz" w:hAnsi="C39T30Lfz"/>
        <w:sz w:val="56"/>
      </w:rPr>
      <w:t></w:t>
    </w:r>
    <w:r w:rsidRPr="007947A8">
      <w:rPr>
        <w:rFonts w:ascii="C39T30Lfz" w:hAnsi="C39T30Lfz"/>
        <w:sz w:val="56"/>
      </w:rPr>
      <w:t></w:t>
    </w:r>
    <w:r w:rsidRPr="007947A8">
      <w:rPr>
        <w:rFonts w:ascii="C39T30Lfz" w:hAnsi="C39T30Lfz"/>
        <w:sz w:val="56"/>
      </w:rPr>
      <w:t></w:t>
    </w:r>
    <w:r w:rsidRPr="007947A8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6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49" w:rsidRPr="00AC3823" w:rsidRDefault="00B011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1149" w:rsidRPr="00AC3823" w:rsidRDefault="00B0114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1149" w:rsidRPr="00AC3823" w:rsidRDefault="00B01149">
      <w:pPr>
        <w:spacing w:line="240" w:lineRule="auto"/>
        <w:rPr>
          <w:sz w:val="2"/>
          <w:szCs w:val="2"/>
        </w:rPr>
      </w:pPr>
    </w:p>
  </w:footnote>
  <w:footnote w:id="2">
    <w:p w:rsidR="0019190D" w:rsidRDefault="0019190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A601B9">
        <w:t>Conformément au programme de travail du Comité des transports intérieurs pour 2016-2017 (ECE/TRANS/2016/28/</w:t>
      </w:r>
      <w:proofErr w:type="spellStart"/>
      <w:r w:rsidRPr="00A601B9">
        <w:t>Add</w:t>
      </w:r>
      <w:proofErr w:type="spellEnd"/>
      <w:r w:rsidRPr="00A601B9">
        <w:t>.1 (9.2))</w:t>
      </w:r>
    </w:p>
  </w:footnote>
  <w:footnote w:id="3">
    <w:p w:rsidR="0019190D" w:rsidRDefault="0019190D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E11630">
        <w:t>Distribuée par l’Organisation intergouvernementale pour les transports internationaux ferroviaires (OTIF) sous la cote</w:t>
      </w:r>
      <w:r w:rsidRPr="00002497">
        <w:t xml:space="preserve"> OTIF/RID/RC/2016/21.</w:t>
      </w:r>
    </w:p>
  </w:footnote>
  <w:footnote w:id="4">
    <w:p w:rsidR="007947A8" w:rsidRPr="00002497" w:rsidRDefault="008E6CA1" w:rsidP="008E6CA1">
      <w:pPr>
        <w:pStyle w:val="Notedebasdepage"/>
      </w:pPr>
      <w:r>
        <w:rPr>
          <w:szCs w:val="18"/>
        </w:rPr>
        <w:tab/>
      </w:r>
      <w:r w:rsidR="007947A8" w:rsidRPr="00002497">
        <w:rPr>
          <w:rStyle w:val="Appelnotedebasdep"/>
          <w:szCs w:val="18"/>
        </w:rPr>
        <w:t>9</w:t>
      </w:r>
      <w:r w:rsidR="007947A8" w:rsidRPr="00002497">
        <w:tab/>
      </w:r>
      <w:r w:rsidR="007947A8" w:rsidRPr="005745DD">
        <w:t>La vérification des caractéristiques de construction comprend également pour les réservoirs avec une pression d'é</w:t>
      </w:r>
      <w:r>
        <w:t>preuve minimale de 1 </w:t>
      </w:r>
      <w:proofErr w:type="spellStart"/>
      <w:r>
        <w:t>MPa</w:t>
      </w:r>
      <w:proofErr w:type="spellEnd"/>
      <w:r>
        <w:t xml:space="preserve"> (10 </w:t>
      </w:r>
      <w:r w:rsidR="007947A8" w:rsidRPr="005745DD">
        <w:t xml:space="preserve">bar), un prélèvement d'éprouvettes de </w:t>
      </w:r>
      <w:r w:rsidR="007947A8" w:rsidRPr="008E6CA1">
        <w:rPr>
          <w:spacing w:val="-2"/>
        </w:rPr>
        <w:t>soudure-échantillons</w:t>
      </w:r>
      <w:r w:rsidR="007947A8" w:rsidRPr="005745DD">
        <w:t xml:space="preserve"> de travail, selon 6.8.2.1.23 et selon les épreuves du 6.8.5</w:t>
      </w:r>
      <w:r w:rsidR="007947A8" w:rsidRPr="00002497">
        <w:t>.</w:t>
      </w:r>
    </w:p>
  </w:footnote>
  <w:footnote w:id="5">
    <w:p w:rsidR="007947A8" w:rsidRPr="00002497" w:rsidRDefault="008E6CA1" w:rsidP="008E6CA1">
      <w:pPr>
        <w:pStyle w:val="Notedebasdepage"/>
      </w:pPr>
      <w:r>
        <w:rPr>
          <w:szCs w:val="18"/>
        </w:rPr>
        <w:tab/>
      </w:r>
      <w:r w:rsidR="007947A8" w:rsidRPr="00002497">
        <w:rPr>
          <w:rStyle w:val="Appelnotedebasdep"/>
          <w:szCs w:val="18"/>
        </w:rPr>
        <w:t>10</w:t>
      </w:r>
      <w:r w:rsidR="007947A8" w:rsidRPr="00002497">
        <w:rPr>
          <w:iCs/>
        </w:rPr>
        <w:tab/>
      </w:r>
      <w:r w:rsidR="007947A8" w:rsidRPr="00F27065">
        <w:t xml:space="preserve">Dans les cas particuliers et avec l’accord de </w:t>
      </w:r>
      <w:r w:rsidR="007947A8">
        <w:t xml:space="preserve">l’expert agréé par </w:t>
      </w:r>
      <w:r w:rsidR="007947A8" w:rsidRPr="00F27065">
        <w:t>l’autorité compétente, l’épreuve de pression hydraulique peut être remplacée par une épreuve au moyen d’un autre liquide ou d’un gaz, lorsque cette opération ne présente pas de danger</w:t>
      </w:r>
      <w:r w:rsidR="007947A8" w:rsidRPr="00002497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A8" w:rsidRPr="007947A8" w:rsidRDefault="007947A8">
    <w:pPr>
      <w:pStyle w:val="En-tte"/>
    </w:pPr>
    <w:r>
      <w:t>ECE/TRANS/WP.15/AC.1/2016/21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A8" w:rsidRPr="007947A8" w:rsidRDefault="007947A8" w:rsidP="007947A8">
    <w:pPr>
      <w:pStyle w:val="En-tte"/>
      <w:jc w:val="right"/>
    </w:pPr>
    <w:r>
      <w:t>ECE/TRANS/WP.15/AC.1/2016/21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7C7DD5"/>
    <w:rsid w:val="00017F94"/>
    <w:rsid w:val="00023842"/>
    <w:rsid w:val="00024BD2"/>
    <w:rsid w:val="00026B13"/>
    <w:rsid w:val="000334F9"/>
    <w:rsid w:val="0007796D"/>
    <w:rsid w:val="000B7790"/>
    <w:rsid w:val="000C2622"/>
    <w:rsid w:val="00111F2F"/>
    <w:rsid w:val="0014365E"/>
    <w:rsid w:val="00143C66"/>
    <w:rsid w:val="00176178"/>
    <w:rsid w:val="0019190D"/>
    <w:rsid w:val="001B03E7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85D04"/>
    <w:rsid w:val="006F41C8"/>
    <w:rsid w:val="00715491"/>
    <w:rsid w:val="0071601D"/>
    <w:rsid w:val="007929EB"/>
    <w:rsid w:val="007947A8"/>
    <w:rsid w:val="007A145E"/>
    <w:rsid w:val="007A62E6"/>
    <w:rsid w:val="007C7DD5"/>
    <w:rsid w:val="007F20FA"/>
    <w:rsid w:val="0080684C"/>
    <w:rsid w:val="00871C75"/>
    <w:rsid w:val="008776DC"/>
    <w:rsid w:val="008A2CD4"/>
    <w:rsid w:val="008E6CA1"/>
    <w:rsid w:val="009705C8"/>
    <w:rsid w:val="009C1CF4"/>
    <w:rsid w:val="009F6B74"/>
    <w:rsid w:val="00A30353"/>
    <w:rsid w:val="00A623E8"/>
    <w:rsid w:val="00A84FB1"/>
    <w:rsid w:val="00AC3823"/>
    <w:rsid w:val="00AE323C"/>
    <w:rsid w:val="00AF0CB5"/>
    <w:rsid w:val="00B00181"/>
    <w:rsid w:val="00B00B0D"/>
    <w:rsid w:val="00B01149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C3A95"/>
    <w:rsid w:val="00EE7306"/>
    <w:rsid w:val="00EF2E22"/>
    <w:rsid w:val="00F35BAF"/>
    <w:rsid w:val="00F660DF"/>
    <w:rsid w:val="00F82715"/>
    <w:rsid w:val="00F9268A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,4_GR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,4_GR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ECE/TRANS/WP.15/AC.1/2016/21</vt:lpstr>
    </vt:vector>
  </TitlesOfParts>
  <Company>DCM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ECE/TRANS/WP.15/AC.1/2016/21</dc:title>
  <dc:creator>Christine  CHAUTAGNAT</dc:creator>
  <cp:lastModifiedBy>Maison</cp:lastModifiedBy>
  <cp:revision>2</cp:revision>
  <cp:lastPrinted>2016-07-20T15:56:00Z</cp:lastPrinted>
  <dcterms:created xsi:type="dcterms:W3CDTF">2016-07-21T07:20:00Z</dcterms:created>
  <dcterms:modified xsi:type="dcterms:W3CDTF">2016-07-21T07:20:00Z</dcterms:modified>
</cp:coreProperties>
</file>