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8D4A19">
        <w:trPr>
          <w:cantSplit/>
          <w:trHeight w:hRule="exact" w:val="851"/>
        </w:trPr>
        <w:tc>
          <w:tcPr>
            <w:tcW w:w="1276" w:type="dxa"/>
            <w:tcBorders>
              <w:bottom w:val="single" w:sz="4" w:space="0" w:color="auto"/>
            </w:tcBorders>
            <w:shd w:val="clear" w:color="auto" w:fill="auto"/>
            <w:vAlign w:val="bottom"/>
          </w:tcPr>
          <w:p w:rsidR="00B56E9C" w:rsidRDefault="00B56E9C" w:rsidP="008D4A19">
            <w:pPr>
              <w:spacing w:after="80"/>
            </w:pPr>
          </w:p>
        </w:tc>
        <w:tc>
          <w:tcPr>
            <w:tcW w:w="2268" w:type="dxa"/>
            <w:tcBorders>
              <w:bottom w:val="single" w:sz="4" w:space="0" w:color="auto"/>
            </w:tcBorders>
            <w:shd w:val="clear" w:color="auto" w:fill="auto"/>
            <w:vAlign w:val="bottom"/>
          </w:tcPr>
          <w:p w:rsidR="00B56E9C" w:rsidRPr="008D4A19" w:rsidRDefault="00B56E9C" w:rsidP="008D4A19">
            <w:pPr>
              <w:spacing w:after="80" w:line="300" w:lineRule="exact"/>
              <w:rPr>
                <w:b/>
                <w:sz w:val="24"/>
                <w:szCs w:val="24"/>
              </w:rPr>
            </w:pPr>
            <w:r w:rsidRPr="008D4A19">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1330DE" w:rsidP="008F2EC1">
            <w:pPr>
              <w:suppressAutoHyphens w:val="0"/>
              <w:spacing w:after="20"/>
              <w:jc w:val="right"/>
            </w:pPr>
            <w:r w:rsidRPr="008D4A19">
              <w:rPr>
                <w:sz w:val="40"/>
              </w:rPr>
              <w:t>ECE</w:t>
            </w:r>
            <w:r>
              <w:t>/TRANS/WP.15/201</w:t>
            </w:r>
            <w:r w:rsidR="00DE40E0">
              <w:t>6</w:t>
            </w:r>
            <w:r>
              <w:t>/</w:t>
            </w:r>
            <w:r w:rsidR="008F2EC1">
              <w:t>18</w:t>
            </w:r>
          </w:p>
        </w:tc>
      </w:tr>
      <w:tr w:rsidR="00B56E9C" w:rsidTr="008D4A19">
        <w:trPr>
          <w:cantSplit/>
          <w:trHeight w:hRule="exact" w:val="2835"/>
        </w:trPr>
        <w:tc>
          <w:tcPr>
            <w:tcW w:w="1276" w:type="dxa"/>
            <w:tcBorders>
              <w:top w:val="single" w:sz="4" w:space="0" w:color="auto"/>
              <w:bottom w:val="single" w:sz="12" w:space="0" w:color="auto"/>
            </w:tcBorders>
            <w:shd w:val="clear" w:color="auto" w:fill="auto"/>
          </w:tcPr>
          <w:p w:rsidR="00B56E9C" w:rsidRDefault="00A50DEE" w:rsidP="008D4A19">
            <w:pPr>
              <w:spacing w:before="120"/>
            </w:pPr>
            <w:r>
              <w:rPr>
                <w:noProof/>
                <w:lang w:eastAsia="en-GB"/>
              </w:rPr>
              <w:drawing>
                <wp:inline distT="0" distB="0" distL="0" distR="0">
                  <wp:extent cx="715645" cy="588645"/>
                  <wp:effectExtent l="0" t="0" r="8255" b="190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8D4A19" w:rsidRDefault="00D773DF" w:rsidP="008D4A19">
            <w:pPr>
              <w:spacing w:before="120" w:line="420" w:lineRule="exact"/>
              <w:rPr>
                <w:sz w:val="40"/>
                <w:szCs w:val="40"/>
              </w:rPr>
            </w:pPr>
            <w:r w:rsidRPr="008D4A19">
              <w:rPr>
                <w:b/>
                <w:sz w:val="40"/>
                <w:szCs w:val="40"/>
              </w:rPr>
              <w:t>Economic and Social Council</w:t>
            </w:r>
          </w:p>
        </w:tc>
        <w:tc>
          <w:tcPr>
            <w:tcW w:w="2835" w:type="dxa"/>
            <w:tcBorders>
              <w:top w:val="single" w:sz="4" w:space="0" w:color="auto"/>
              <w:bottom w:val="single" w:sz="12" w:space="0" w:color="auto"/>
            </w:tcBorders>
            <w:shd w:val="clear" w:color="auto" w:fill="auto"/>
          </w:tcPr>
          <w:p w:rsidR="001330DE" w:rsidRDefault="001330DE" w:rsidP="008D4A19">
            <w:pPr>
              <w:suppressAutoHyphens w:val="0"/>
              <w:spacing w:before="240" w:line="240" w:lineRule="exact"/>
            </w:pPr>
            <w:r>
              <w:t>Distr.: General</w:t>
            </w:r>
          </w:p>
          <w:p w:rsidR="001330DE" w:rsidRDefault="00B8688E" w:rsidP="008D4A19">
            <w:pPr>
              <w:suppressAutoHyphens w:val="0"/>
            </w:pPr>
            <w:r>
              <w:t>22</w:t>
            </w:r>
            <w:bookmarkStart w:id="0" w:name="_GoBack"/>
            <w:bookmarkEnd w:id="0"/>
            <w:r w:rsidR="008F2EC1">
              <w:t xml:space="preserve"> August</w:t>
            </w:r>
            <w:r w:rsidR="001330DE">
              <w:t xml:space="preserve"> 201</w:t>
            </w:r>
            <w:r w:rsidR="00DE40E0">
              <w:t>6</w:t>
            </w:r>
          </w:p>
          <w:p w:rsidR="001330DE" w:rsidRDefault="001330DE" w:rsidP="008D4A19">
            <w:pPr>
              <w:suppressAutoHyphens w:val="0"/>
            </w:pPr>
          </w:p>
          <w:p w:rsidR="00B56E9C" w:rsidRDefault="001330DE" w:rsidP="00431164">
            <w:pPr>
              <w:suppressAutoHyphens w:val="0"/>
            </w:pPr>
            <w:r>
              <w:t xml:space="preserve">Original: </w:t>
            </w:r>
            <w:r w:rsidR="00431164">
              <w:t>English</w:t>
            </w:r>
          </w:p>
        </w:tc>
      </w:tr>
    </w:tbl>
    <w:p w:rsidR="001330DE" w:rsidRDefault="001330DE">
      <w:pPr>
        <w:spacing w:before="120"/>
        <w:rPr>
          <w:b/>
          <w:sz w:val="28"/>
          <w:szCs w:val="28"/>
        </w:rPr>
      </w:pPr>
      <w:r>
        <w:rPr>
          <w:b/>
          <w:sz w:val="28"/>
          <w:szCs w:val="28"/>
        </w:rPr>
        <w:t xml:space="preserve">Economic Commission for </w:t>
      </w:r>
      <w:smartTag w:uri="urn:schemas-microsoft-com:office:smarttags" w:element="place">
        <w:r>
          <w:rPr>
            <w:b/>
            <w:sz w:val="28"/>
            <w:szCs w:val="28"/>
          </w:rPr>
          <w:t>Europe</w:t>
        </w:r>
      </w:smartTag>
    </w:p>
    <w:p w:rsidR="001330DE" w:rsidRDefault="001330DE">
      <w:pPr>
        <w:spacing w:before="120"/>
        <w:rPr>
          <w:sz w:val="28"/>
          <w:szCs w:val="28"/>
        </w:rPr>
      </w:pPr>
      <w:r>
        <w:rPr>
          <w:sz w:val="28"/>
          <w:szCs w:val="28"/>
        </w:rPr>
        <w:t>Inland Transport Committee</w:t>
      </w:r>
    </w:p>
    <w:p w:rsidR="001330DE" w:rsidRPr="001330DE" w:rsidRDefault="001330DE">
      <w:pPr>
        <w:spacing w:before="120"/>
        <w:rPr>
          <w:b/>
          <w:sz w:val="24"/>
          <w:szCs w:val="24"/>
        </w:rPr>
      </w:pPr>
      <w:r>
        <w:rPr>
          <w:b/>
          <w:sz w:val="24"/>
          <w:szCs w:val="24"/>
        </w:rPr>
        <w:t xml:space="preserve">Working Party on the Transport </w:t>
      </w:r>
      <w:r w:rsidRPr="001330DE">
        <w:rPr>
          <w:b/>
          <w:sz w:val="24"/>
          <w:szCs w:val="24"/>
        </w:rPr>
        <w:t>of Dangerous Goods</w:t>
      </w:r>
    </w:p>
    <w:p w:rsidR="001330DE" w:rsidRPr="001330DE" w:rsidRDefault="008F2EC1" w:rsidP="001330DE">
      <w:pPr>
        <w:spacing w:before="120"/>
        <w:rPr>
          <w:rFonts w:eastAsia="SimSun"/>
          <w:b/>
        </w:rPr>
      </w:pPr>
      <w:r>
        <w:rPr>
          <w:rFonts w:eastAsia="SimSun"/>
          <w:b/>
        </w:rPr>
        <w:t>101st</w:t>
      </w:r>
      <w:r w:rsidR="00DE40E0">
        <w:rPr>
          <w:rStyle w:val="hps"/>
          <w:rFonts w:ascii="Arial" w:hAnsi="Arial" w:cs="Arial"/>
          <w:color w:val="222222"/>
        </w:rPr>
        <w:t xml:space="preserve"> </w:t>
      </w:r>
      <w:r w:rsidR="001330DE" w:rsidRPr="001330DE">
        <w:rPr>
          <w:rFonts w:eastAsia="SimSun"/>
          <w:b/>
        </w:rPr>
        <w:t xml:space="preserve">session </w:t>
      </w:r>
    </w:p>
    <w:p w:rsidR="001330DE" w:rsidRPr="00BA64A8" w:rsidRDefault="001330DE" w:rsidP="001330DE">
      <w:pPr>
        <w:rPr>
          <w:rFonts w:eastAsia="SimSun"/>
        </w:rPr>
      </w:pPr>
      <w:r w:rsidRPr="00BA64A8">
        <w:rPr>
          <w:rFonts w:eastAsia="SimSun"/>
        </w:rPr>
        <w:t xml:space="preserve">Geneva, </w:t>
      </w:r>
      <w:r w:rsidR="008F2EC1">
        <w:rPr>
          <w:rFonts w:eastAsia="SimSun"/>
        </w:rPr>
        <w:t>8</w:t>
      </w:r>
      <w:r>
        <w:rPr>
          <w:rFonts w:eastAsia="SimSun"/>
        </w:rPr>
        <w:t>–</w:t>
      </w:r>
      <w:r w:rsidR="00DE40E0">
        <w:rPr>
          <w:rFonts w:eastAsia="SimSun"/>
        </w:rPr>
        <w:t>1</w:t>
      </w:r>
      <w:r w:rsidR="008F2EC1">
        <w:rPr>
          <w:rFonts w:eastAsia="SimSun"/>
        </w:rPr>
        <w:t>1</w:t>
      </w:r>
      <w:r w:rsidRPr="00BA64A8">
        <w:rPr>
          <w:rFonts w:eastAsia="SimSun"/>
        </w:rPr>
        <w:t xml:space="preserve"> </w:t>
      </w:r>
      <w:r w:rsidR="008F2EC1">
        <w:rPr>
          <w:rFonts w:eastAsia="SimSun"/>
        </w:rPr>
        <w:t>November</w:t>
      </w:r>
      <w:r w:rsidRPr="00BA64A8">
        <w:rPr>
          <w:rFonts w:eastAsia="SimSun"/>
        </w:rPr>
        <w:t xml:space="preserve"> 201</w:t>
      </w:r>
      <w:r w:rsidR="00DE40E0">
        <w:rPr>
          <w:rFonts w:eastAsia="SimSun"/>
        </w:rPr>
        <w:t>6</w:t>
      </w:r>
      <w:r w:rsidRPr="00BA64A8">
        <w:rPr>
          <w:rFonts w:eastAsia="SimSun"/>
        </w:rPr>
        <w:t xml:space="preserve"> </w:t>
      </w:r>
    </w:p>
    <w:p w:rsidR="00796DF0" w:rsidRDefault="00796DF0" w:rsidP="00796DF0">
      <w:r>
        <w:t xml:space="preserve">Item </w:t>
      </w:r>
      <w:r w:rsidR="008F2EC1">
        <w:t>5</w:t>
      </w:r>
      <w:r>
        <w:t xml:space="preserve"> </w:t>
      </w:r>
      <w:r w:rsidR="0069204F">
        <w:t>(</w:t>
      </w:r>
      <w:r w:rsidR="00EC22F3">
        <w:t>a</w:t>
      </w:r>
      <w:r>
        <w:t>) of the provisional agenda</w:t>
      </w:r>
    </w:p>
    <w:p w:rsidR="00796DF0" w:rsidRPr="003D777F" w:rsidRDefault="00796DF0" w:rsidP="00796DF0">
      <w:pPr>
        <w:rPr>
          <w:b/>
        </w:rPr>
      </w:pPr>
      <w:r w:rsidRPr="003D777F">
        <w:rPr>
          <w:b/>
        </w:rPr>
        <w:t>Proposals for amendments to Annexes A and B of ADR:</w:t>
      </w:r>
    </w:p>
    <w:p w:rsidR="00AF2944" w:rsidRPr="003D777F" w:rsidRDefault="008F2EC1" w:rsidP="00796DF0">
      <w:pPr>
        <w:rPr>
          <w:b/>
        </w:rPr>
      </w:pPr>
      <w:proofErr w:type="gramStart"/>
      <w:r>
        <w:rPr>
          <w:b/>
        </w:rPr>
        <w:t>construction</w:t>
      </w:r>
      <w:proofErr w:type="gramEnd"/>
      <w:r>
        <w:rPr>
          <w:b/>
        </w:rPr>
        <w:t xml:space="preserve"> and approval of vehicles</w:t>
      </w:r>
    </w:p>
    <w:p w:rsidR="008F2EC1" w:rsidRDefault="00AF2944" w:rsidP="008F2EC1">
      <w:pPr>
        <w:pStyle w:val="HChG"/>
      </w:pPr>
      <w:r>
        <w:tab/>
      </w:r>
      <w:r>
        <w:tab/>
      </w:r>
      <w:r w:rsidR="008F2EC1" w:rsidRPr="00F96999">
        <w:t>Remark on certificate of approval of EX/III vehicles intended for carriage of Class 1 substances in tanks</w:t>
      </w:r>
    </w:p>
    <w:p w:rsidR="008F2EC1" w:rsidRDefault="008F2EC1" w:rsidP="008F2EC1">
      <w:pPr>
        <w:pStyle w:val="H1G"/>
      </w:pPr>
      <w:r>
        <w:tab/>
      </w:r>
      <w:r>
        <w:tab/>
      </w:r>
      <w:r w:rsidRPr="00A66E8A">
        <w:t xml:space="preserve">Transmitted by the </w:t>
      </w:r>
      <w:r>
        <w:t>Government of the Netherlands</w:t>
      </w:r>
      <w:r w:rsidRPr="00EF17D9">
        <w:rPr>
          <w:rStyle w:val="FootnoteReference"/>
          <w:b w:val="0"/>
          <w:bCs/>
        </w:rPr>
        <w:footnoteReference w:id="2"/>
      </w:r>
    </w:p>
    <w:tbl>
      <w:tblPr>
        <w:tblStyle w:val="TableGrid10"/>
        <w:tblW w:w="0" w:type="auto"/>
        <w:jc w:val="center"/>
        <w:tblCellMar>
          <w:left w:w="0" w:type="dxa"/>
          <w:right w:w="0" w:type="dxa"/>
        </w:tblCellMar>
        <w:tblLook w:val="01E0" w:firstRow="1" w:lastRow="1" w:firstColumn="1" w:lastColumn="1" w:noHBand="0" w:noVBand="0"/>
      </w:tblPr>
      <w:tblGrid>
        <w:gridCol w:w="9637"/>
      </w:tblGrid>
      <w:tr w:rsidR="004B4FDF" w:rsidRPr="00DD26F2" w:rsidTr="00EA64E7">
        <w:trPr>
          <w:jc w:val="center"/>
        </w:trPr>
        <w:tc>
          <w:tcPr>
            <w:tcW w:w="9637" w:type="dxa"/>
            <w:tcBorders>
              <w:bottom w:val="nil"/>
            </w:tcBorders>
          </w:tcPr>
          <w:p w:rsidR="004B4FDF" w:rsidRPr="00DD26F2" w:rsidRDefault="004B4FDF" w:rsidP="00EA64E7">
            <w:pPr>
              <w:tabs>
                <w:tab w:val="left" w:pos="255"/>
              </w:tabs>
              <w:suppressAutoHyphens w:val="0"/>
              <w:spacing w:before="240" w:after="120"/>
              <w:rPr>
                <w:sz w:val="24"/>
              </w:rPr>
            </w:pPr>
            <w:r w:rsidRPr="00DD26F2">
              <w:tab/>
            </w:r>
            <w:r w:rsidRPr="00DD26F2">
              <w:rPr>
                <w:i/>
                <w:sz w:val="24"/>
              </w:rPr>
              <w:t>Summary</w:t>
            </w:r>
            <w:r>
              <w:rPr>
                <w:i/>
                <w:sz w:val="24"/>
              </w:rPr>
              <w:t xml:space="preserve"> </w:t>
            </w:r>
          </w:p>
        </w:tc>
      </w:tr>
      <w:tr w:rsidR="004B4FDF" w:rsidRPr="00DD26F2" w:rsidTr="00EA64E7">
        <w:trPr>
          <w:jc w:val="center"/>
        </w:trPr>
        <w:tc>
          <w:tcPr>
            <w:tcW w:w="9637" w:type="dxa"/>
            <w:tcBorders>
              <w:top w:val="nil"/>
              <w:bottom w:val="nil"/>
            </w:tcBorders>
            <w:shd w:val="clear" w:color="auto" w:fill="auto"/>
          </w:tcPr>
          <w:p w:rsidR="004B4FDF" w:rsidRPr="00DD26F2" w:rsidRDefault="004B4FDF" w:rsidP="004B4FDF">
            <w:pPr>
              <w:spacing w:before="120" w:after="120"/>
              <w:ind w:left="3402" w:right="1134" w:hanging="2268"/>
              <w:jc w:val="both"/>
              <w:rPr>
                <w:color w:val="6699FF"/>
              </w:rPr>
            </w:pPr>
            <w:r w:rsidRPr="00DD26F2">
              <w:rPr>
                <w:b/>
                <w:szCs w:val="22"/>
              </w:rPr>
              <w:t>Executive summary</w:t>
            </w:r>
            <w:r w:rsidRPr="00DD26F2">
              <w:rPr>
                <w:szCs w:val="22"/>
              </w:rPr>
              <w:t>:</w:t>
            </w:r>
            <w:r w:rsidRPr="00DD26F2">
              <w:rPr>
                <w:szCs w:val="22"/>
              </w:rPr>
              <w:tab/>
            </w:r>
            <w:r w:rsidRPr="00F96999">
              <w:rPr>
                <w:szCs w:val="22"/>
              </w:rPr>
              <w:t>To indicate the conformity of vehicles with the regulations in 9.7.9 a remark on the certificate of approval is proposed.</w:t>
            </w:r>
          </w:p>
        </w:tc>
      </w:tr>
      <w:tr w:rsidR="004B4FDF" w:rsidRPr="00DD26F2" w:rsidTr="00EA64E7">
        <w:trPr>
          <w:jc w:val="center"/>
        </w:trPr>
        <w:tc>
          <w:tcPr>
            <w:tcW w:w="9637" w:type="dxa"/>
            <w:tcBorders>
              <w:top w:val="nil"/>
              <w:bottom w:val="nil"/>
            </w:tcBorders>
            <w:shd w:val="clear" w:color="auto" w:fill="auto"/>
          </w:tcPr>
          <w:p w:rsidR="004B4FDF" w:rsidRPr="00DD26F2" w:rsidRDefault="004B4FDF" w:rsidP="004B4FDF">
            <w:pPr>
              <w:spacing w:before="120" w:after="120"/>
              <w:ind w:left="3402" w:right="1134" w:hanging="2268"/>
              <w:jc w:val="both"/>
              <w:rPr>
                <w:color w:val="6699FF"/>
                <w:szCs w:val="22"/>
              </w:rPr>
            </w:pPr>
            <w:r w:rsidRPr="00DD26F2">
              <w:rPr>
                <w:b/>
                <w:szCs w:val="22"/>
              </w:rPr>
              <w:t>Action to be taken</w:t>
            </w:r>
            <w:r w:rsidRPr="00DD26F2">
              <w:rPr>
                <w:szCs w:val="22"/>
              </w:rPr>
              <w:t>:</w:t>
            </w:r>
            <w:r w:rsidRPr="00DD26F2">
              <w:rPr>
                <w:szCs w:val="22"/>
              </w:rPr>
              <w:tab/>
            </w:r>
            <w:r w:rsidRPr="00F96999">
              <w:t>Add a new last sentence to 9.1.3.3.</w:t>
            </w:r>
          </w:p>
        </w:tc>
      </w:tr>
      <w:tr w:rsidR="004B4FDF" w:rsidRPr="00DD26F2" w:rsidTr="00EA64E7">
        <w:trPr>
          <w:jc w:val="center"/>
        </w:trPr>
        <w:tc>
          <w:tcPr>
            <w:tcW w:w="9637" w:type="dxa"/>
            <w:tcBorders>
              <w:top w:val="nil"/>
              <w:bottom w:val="nil"/>
            </w:tcBorders>
            <w:shd w:val="clear" w:color="auto" w:fill="auto"/>
          </w:tcPr>
          <w:p w:rsidR="004B4FDF" w:rsidRPr="00DD26F2" w:rsidRDefault="004B4FDF" w:rsidP="004B4FDF">
            <w:pPr>
              <w:spacing w:before="120" w:after="120"/>
              <w:ind w:left="3402" w:right="1134" w:hanging="2268"/>
              <w:jc w:val="both"/>
              <w:rPr>
                <w:b/>
                <w:szCs w:val="22"/>
              </w:rPr>
            </w:pPr>
            <w:r>
              <w:rPr>
                <w:b/>
                <w:szCs w:val="22"/>
              </w:rPr>
              <w:t>Background documents</w:t>
            </w:r>
            <w:r w:rsidRPr="002C5C36">
              <w:rPr>
                <w:bCs/>
                <w:szCs w:val="22"/>
              </w:rPr>
              <w:t>:</w:t>
            </w:r>
            <w:r>
              <w:rPr>
                <w:b/>
                <w:szCs w:val="22"/>
              </w:rPr>
              <w:tab/>
            </w:r>
            <w:r w:rsidRPr="00F96999">
              <w:rPr>
                <w:szCs w:val="22"/>
              </w:rPr>
              <w:t>ECE/TRANS/WP.15/217 paragraph</w:t>
            </w:r>
            <w:r w:rsidR="0069204F">
              <w:rPr>
                <w:szCs w:val="22"/>
              </w:rPr>
              <w:t>s</w:t>
            </w:r>
            <w:r w:rsidRPr="00F96999">
              <w:rPr>
                <w:szCs w:val="22"/>
              </w:rPr>
              <w:t xml:space="preserve"> 17 and 18 and ECE/TRANS/WP.15/226 paragraphs 30 to 33.</w:t>
            </w:r>
          </w:p>
        </w:tc>
      </w:tr>
      <w:tr w:rsidR="004B4FDF" w:rsidRPr="00DD26F2" w:rsidTr="00EA64E7">
        <w:trPr>
          <w:jc w:val="center"/>
        </w:trPr>
        <w:tc>
          <w:tcPr>
            <w:tcW w:w="9637" w:type="dxa"/>
            <w:tcBorders>
              <w:top w:val="nil"/>
            </w:tcBorders>
          </w:tcPr>
          <w:p w:rsidR="004B4FDF" w:rsidRPr="00DD26F2" w:rsidRDefault="004B4FDF" w:rsidP="00EA64E7">
            <w:pPr>
              <w:suppressAutoHyphens w:val="0"/>
            </w:pPr>
            <w:r w:rsidRPr="00DD26F2">
              <w:rPr>
                <w:color w:val="6699FF"/>
              </w:rPr>
              <w:tab/>
            </w:r>
            <w:r w:rsidRPr="00DD26F2">
              <w:rPr>
                <w:color w:val="6699FF"/>
              </w:rPr>
              <w:tab/>
            </w:r>
            <w:r w:rsidRPr="00DD26F2">
              <w:rPr>
                <w:color w:val="6699FF"/>
              </w:rPr>
              <w:tab/>
            </w:r>
            <w:r w:rsidRPr="00DD26F2">
              <w:rPr>
                <w:color w:val="6699FF"/>
              </w:rPr>
              <w:tab/>
            </w:r>
            <w:r w:rsidRPr="00DD26F2">
              <w:rPr>
                <w:color w:val="6699FF"/>
              </w:rPr>
              <w:tab/>
            </w:r>
          </w:p>
        </w:tc>
      </w:tr>
    </w:tbl>
    <w:p w:rsidR="008F2EC1" w:rsidRPr="00F96999" w:rsidRDefault="008F2EC1" w:rsidP="008F2EC1">
      <w:pPr>
        <w:pStyle w:val="HChG"/>
        <w:rPr>
          <w:rFonts w:eastAsiaTheme="minorEastAsia"/>
          <w:lang w:eastAsia="zh-CN"/>
        </w:rPr>
      </w:pPr>
      <w:r>
        <w:rPr>
          <w:rFonts w:eastAsiaTheme="minorEastAsia"/>
          <w:lang w:eastAsia="zh-CN"/>
        </w:rPr>
        <w:tab/>
      </w:r>
      <w:r>
        <w:rPr>
          <w:rFonts w:eastAsiaTheme="minorEastAsia"/>
          <w:lang w:eastAsia="zh-CN"/>
        </w:rPr>
        <w:tab/>
        <w:t>Introduction</w:t>
      </w:r>
    </w:p>
    <w:p w:rsidR="008F2EC1" w:rsidRPr="00E06F15" w:rsidRDefault="008F2EC1" w:rsidP="008F2EC1">
      <w:pPr>
        <w:suppressAutoHyphens w:val="0"/>
        <w:spacing w:after="200" w:line="276" w:lineRule="auto"/>
        <w:ind w:left="1134" w:right="1134"/>
        <w:jc w:val="both"/>
        <w:rPr>
          <w:rFonts w:eastAsiaTheme="minorEastAsia"/>
          <w:lang w:eastAsia="zh-CN"/>
        </w:rPr>
      </w:pPr>
      <w:r>
        <w:rPr>
          <w:rFonts w:eastAsiaTheme="minorEastAsia"/>
          <w:lang w:eastAsia="zh-CN"/>
        </w:rPr>
        <w:t>1.</w:t>
      </w:r>
      <w:r>
        <w:rPr>
          <w:rFonts w:eastAsiaTheme="minorEastAsia"/>
          <w:lang w:eastAsia="zh-CN"/>
        </w:rPr>
        <w:tab/>
      </w:r>
      <w:r w:rsidRPr="00E06F15">
        <w:rPr>
          <w:rFonts w:eastAsiaTheme="minorEastAsia"/>
          <w:lang w:eastAsia="zh-CN"/>
        </w:rPr>
        <w:t xml:space="preserve">The option to carry explosive substances in tanks was introduced in ADR 2013. EX/III vehicles intended for carriage of explosive substances in tanks have to comply with the additional requirements of 9.7.9. </w:t>
      </w:r>
    </w:p>
    <w:p w:rsidR="008F2EC1" w:rsidRPr="00F96999" w:rsidRDefault="008F2EC1" w:rsidP="008F2EC1">
      <w:pPr>
        <w:suppressAutoHyphens w:val="0"/>
        <w:spacing w:after="200" w:line="276" w:lineRule="auto"/>
        <w:ind w:left="1134" w:right="1134"/>
        <w:jc w:val="both"/>
        <w:rPr>
          <w:rFonts w:eastAsiaTheme="minorEastAsia"/>
          <w:sz w:val="22"/>
          <w:szCs w:val="22"/>
          <w:lang w:eastAsia="zh-CN"/>
        </w:rPr>
      </w:pPr>
      <w:r>
        <w:rPr>
          <w:rFonts w:eastAsiaTheme="minorEastAsia"/>
          <w:lang w:eastAsia="zh-CN"/>
        </w:rPr>
        <w:lastRenderedPageBreak/>
        <w:t>2.</w:t>
      </w:r>
      <w:r>
        <w:rPr>
          <w:rFonts w:eastAsiaTheme="minorEastAsia"/>
          <w:lang w:eastAsia="zh-CN"/>
        </w:rPr>
        <w:tab/>
      </w:r>
      <w:r w:rsidRPr="00E06F15">
        <w:rPr>
          <w:rFonts w:eastAsiaTheme="minorEastAsia"/>
          <w:lang w:eastAsia="zh-CN"/>
        </w:rPr>
        <w:t>It is difficult to check if an EX/III vehicle is suitable for carriage of explosive substances in tanks by the authorities during road side inspections</w:t>
      </w:r>
      <w:r>
        <w:rPr>
          <w:rFonts w:eastAsiaTheme="minorEastAsia"/>
          <w:color w:val="000000"/>
          <w:sz w:val="22"/>
          <w:szCs w:val="22"/>
          <w:lang w:val="en-US" w:eastAsia="zh-CN"/>
        </w:rPr>
        <w:t xml:space="preserve">. </w:t>
      </w:r>
    </w:p>
    <w:p w:rsidR="008F2EC1" w:rsidRPr="00F96999" w:rsidRDefault="008F2EC1" w:rsidP="008F2EC1">
      <w:pPr>
        <w:pStyle w:val="SingleTxtG"/>
        <w:rPr>
          <w:rFonts w:eastAsiaTheme="minorEastAsia"/>
          <w:lang w:eastAsia="zh-CN"/>
        </w:rPr>
      </w:pPr>
      <w:r>
        <w:rPr>
          <w:rFonts w:eastAsiaTheme="minorEastAsia"/>
          <w:lang w:eastAsia="zh-CN"/>
        </w:rPr>
        <w:t>3.</w:t>
      </w:r>
      <w:r>
        <w:rPr>
          <w:rFonts w:eastAsiaTheme="minorEastAsia"/>
          <w:lang w:eastAsia="zh-CN"/>
        </w:rPr>
        <w:tab/>
      </w:r>
      <w:r w:rsidRPr="00F96999">
        <w:rPr>
          <w:rFonts w:eastAsiaTheme="minorEastAsia"/>
          <w:lang w:eastAsia="zh-CN"/>
        </w:rPr>
        <w:t>It is proposed to add a paragraph to 9.1.3.3 for additional wording under No</w:t>
      </w:r>
      <w:r>
        <w:rPr>
          <w:rFonts w:eastAsiaTheme="minorEastAsia"/>
          <w:lang w:eastAsia="zh-CN"/>
        </w:rPr>
        <w:t>.</w:t>
      </w:r>
      <w:r w:rsidRPr="00F96999">
        <w:rPr>
          <w:rFonts w:eastAsiaTheme="minorEastAsia"/>
          <w:lang w:eastAsia="zh-CN"/>
        </w:rPr>
        <w:t xml:space="preserve"> 11 of the certificate of approval. </w:t>
      </w:r>
    </w:p>
    <w:p w:rsidR="008F2EC1" w:rsidRPr="00F96999" w:rsidRDefault="008F2EC1" w:rsidP="0069204F">
      <w:pPr>
        <w:pStyle w:val="HChG"/>
        <w:spacing w:before="240" w:after="120"/>
        <w:rPr>
          <w:rFonts w:eastAsiaTheme="minorEastAsia"/>
          <w:lang w:eastAsia="zh-CN"/>
        </w:rPr>
      </w:pPr>
      <w:r>
        <w:rPr>
          <w:rFonts w:eastAsiaTheme="minorEastAsia"/>
          <w:lang w:eastAsia="zh-CN"/>
        </w:rPr>
        <w:tab/>
      </w:r>
      <w:r>
        <w:rPr>
          <w:rFonts w:eastAsiaTheme="minorEastAsia"/>
          <w:lang w:eastAsia="zh-CN"/>
        </w:rPr>
        <w:tab/>
        <w:t>Proposal</w:t>
      </w:r>
      <w:r w:rsidR="0069204F">
        <w:rPr>
          <w:rFonts w:eastAsiaTheme="minorEastAsia"/>
          <w:lang w:eastAsia="zh-CN"/>
        </w:rPr>
        <w:t>s</w:t>
      </w:r>
    </w:p>
    <w:p w:rsidR="008F2EC1" w:rsidRPr="00F96999" w:rsidRDefault="008F2EC1" w:rsidP="0069204F">
      <w:pPr>
        <w:pStyle w:val="H1G"/>
        <w:spacing w:before="240" w:after="120"/>
        <w:rPr>
          <w:rFonts w:eastAsiaTheme="minorEastAsia"/>
          <w:lang w:eastAsia="zh-CN"/>
        </w:rPr>
      </w:pPr>
      <w:r>
        <w:rPr>
          <w:rFonts w:eastAsiaTheme="minorEastAsia"/>
          <w:lang w:eastAsia="zh-CN"/>
        </w:rPr>
        <w:tab/>
      </w:r>
      <w:r>
        <w:rPr>
          <w:rFonts w:eastAsiaTheme="minorEastAsia"/>
          <w:lang w:eastAsia="zh-CN"/>
        </w:rPr>
        <w:tab/>
        <w:t>Proposal 1</w:t>
      </w:r>
    </w:p>
    <w:p w:rsidR="008F2EC1" w:rsidRPr="00F96999" w:rsidRDefault="008F2EC1" w:rsidP="008F2EC1">
      <w:pPr>
        <w:pStyle w:val="SingleTxtG"/>
        <w:rPr>
          <w:rFonts w:eastAsiaTheme="minorEastAsia"/>
          <w:lang w:eastAsia="zh-CN"/>
        </w:rPr>
      </w:pPr>
      <w:r>
        <w:rPr>
          <w:rFonts w:eastAsiaTheme="minorEastAsia"/>
          <w:lang w:eastAsia="zh-CN"/>
        </w:rPr>
        <w:t>4.</w:t>
      </w:r>
      <w:r>
        <w:rPr>
          <w:rFonts w:eastAsiaTheme="minorEastAsia"/>
          <w:lang w:eastAsia="zh-CN"/>
        </w:rPr>
        <w:tab/>
      </w:r>
      <w:r w:rsidRPr="00F96999">
        <w:rPr>
          <w:rFonts w:eastAsiaTheme="minorEastAsia"/>
          <w:lang w:eastAsia="zh-CN"/>
        </w:rPr>
        <w:t>Introduce a new paragraph at the end of 9.1.3.3 to read:</w:t>
      </w:r>
    </w:p>
    <w:p w:rsidR="008F2EC1" w:rsidRPr="0069204F" w:rsidRDefault="0069204F" w:rsidP="008F2EC1">
      <w:pPr>
        <w:suppressAutoHyphens w:val="0"/>
        <w:spacing w:after="200" w:line="276" w:lineRule="auto"/>
        <w:ind w:left="1134" w:right="1134"/>
        <w:jc w:val="both"/>
        <w:rPr>
          <w:rFonts w:eastAsiaTheme="minorEastAsia"/>
          <w:lang w:eastAsia="zh-CN"/>
        </w:rPr>
      </w:pPr>
      <w:r w:rsidRPr="0069204F">
        <w:rPr>
          <w:rFonts w:eastAsiaTheme="minorEastAsia"/>
          <w:lang w:eastAsia="zh-CN"/>
        </w:rPr>
        <w:t>“</w:t>
      </w:r>
      <w:r w:rsidR="008F2EC1" w:rsidRPr="0069204F">
        <w:rPr>
          <w:rFonts w:eastAsiaTheme="minorEastAsia"/>
          <w:lang w:eastAsia="zh-CN"/>
        </w:rPr>
        <w:t>The certificate for EX/III vehicles intended for the carriage of explosive substances in tanks in compliance with the requirements of 9.7.9 shall bear the following remark under No. 11. “</w:t>
      </w:r>
      <w:proofErr w:type="gramStart"/>
      <w:r w:rsidR="008F2EC1" w:rsidRPr="0069204F">
        <w:rPr>
          <w:rFonts w:eastAsiaTheme="minorEastAsia"/>
          <w:lang w:eastAsia="zh-CN"/>
        </w:rPr>
        <w:t>Vehicle in compliance with 9.7.9 of ADR for the carriage of explosive substances in tanks.”</w:t>
      </w:r>
      <w:r w:rsidRPr="0069204F">
        <w:rPr>
          <w:rFonts w:eastAsiaTheme="minorEastAsia"/>
          <w:lang w:eastAsia="zh-CN"/>
        </w:rPr>
        <w:t>”.</w:t>
      </w:r>
      <w:proofErr w:type="gramEnd"/>
    </w:p>
    <w:p w:rsidR="008F2EC1" w:rsidRPr="00F96999" w:rsidRDefault="008F2EC1" w:rsidP="0069204F">
      <w:pPr>
        <w:pStyle w:val="H1G"/>
        <w:spacing w:before="240" w:after="120"/>
        <w:rPr>
          <w:rFonts w:eastAsiaTheme="minorEastAsia"/>
          <w:lang w:eastAsia="zh-CN"/>
        </w:rPr>
      </w:pPr>
      <w:r>
        <w:rPr>
          <w:rFonts w:eastAsiaTheme="minorEastAsia"/>
          <w:lang w:eastAsia="zh-CN"/>
        </w:rPr>
        <w:tab/>
      </w:r>
      <w:r>
        <w:rPr>
          <w:rFonts w:eastAsiaTheme="minorEastAsia"/>
          <w:lang w:eastAsia="zh-CN"/>
        </w:rPr>
        <w:tab/>
        <w:t>Proposal 2</w:t>
      </w:r>
    </w:p>
    <w:p w:rsidR="008F2EC1" w:rsidRPr="00F96999" w:rsidRDefault="008F2EC1" w:rsidP="008F2EC1">
      <w:pPr>
        <w:pStyle w:val="SingleTxtG"/>
        <w:rPr>
          <w:rFonts w:eastAsiaTheme="minorEastAsia"/>
          <w:lang w:eastAsia="zh-CN"/>
        </w:rPr>
      </w:pPr>
      <w:r>
        <w:rPr>
          <w:rFonts w:eastAsiaTheme="minorEastAsia"/>
          <w:lang w:eastAsia="zh-CN"/>
        </w:rPr>
        <w:t>5.</w:t>
      </w:r>
      <w:r>
        <w:rPr>
          <w:rFonts w:eastAsiaTheme="minorEastAsia"/>
          <w:lang w:eastAsia="zh-CN"/>
        </w:rPr>
        <w:tab/>
      </w:r>
      <w:r w:rsidRPr="00F96999">
        <w:rPr>
          <w:rFonts w:eastAsiaTheme="minorEastAsia"/>
          <w:lang w:eastAsia="zh-CN"/>
        </w:rPr>
        <w:t>Introduce a new transitional measure in 1.6.5 to read:</w:t>
      </w:r>
    </w:p>
    <w:p w:rsidR="008F2EC1" w:rsidRPr="0069204F" w:rsidRDefault="0069204F" w:rsidP="008F2EC1">
      <w:pPr>
        <w:suppressAutoHyphens w:val="0"/>
        <w:spacing w:after="200" w:line="276" w:lineRule="auto"/>
        <w:ind w:left="2268" w:right="1134" w:hanging="1134"/>
        <w:jc w:val="both"/>
        <w:rPr>
          <w:rFonts w:eastAsiaTheme="minorEastAsia"/>
          <w:lang w:eastAsia="zh-CN"/>
        </w:rPr>
      </w:pPr>
      <w:r>
        <w:rPr>
          <w:rFonts w:eastAsiaTheme="minorEastAsia"/>
          <w:lang w:eastAsia="zh-CN"/>
        </w:rPr>
        <w:t>“</w:t>
      </w:r>
      <w:r w:rsidR="008F2EC1" w:rsidRPr="0069204F">
        <w:rPr>
          <w:rFonts w:eastAsiaTheme="minorEastAsia"/>
          <w:lang w:eastAsia="zh-CN"/>
        </w:rPr>
        <w:t xml:space="preserve">1.6.5. </w:t>
      </w:r>
      <w:proofErr w:type="spellStart"/>
      <w:proofErr w:type="gramStart"/>
      <w:r w:rsidR="008F2EC1" w:rsidRPr="0069204F">
        <w:rPr>
          <w:rFonts w:eastAsiaTheme="minorEastAsia"/>
          <w:lang w:eastAsia="zh-CN"/>
        </w:rPr>
        <w:t>xy</w:t>
      </w:r>
      <w:proofErr w:type="spellEnd"/>
      <w:proofErr w:type="gramEnd"/>
      <w:r w:rsidR="008F2EC1" w:rsidRPr="0069204F">
        <w:rPr>
          <w:rFonts w:eastAsiaTheme="minorEastAsia"/>
          <w:lang w:eastAsia="zh-CN"/>
        </w:rPr>
        <w:tab/>
        <w:t>Certificates of approval for EX/III vehicles intended for the carriage of explosive substances in tanks in compliance with the requirements of 9.1.3.3 applicable up to 31 December 2018 issued before 1 July 2019 not containing the remark concerning the compliance with 9.7.9 may continue to be used until the next periodi</w:t>
      </w:r>
      <w:r>
        <w:rPr>
          <w:rFonts w:eastAsiaTheme="minorEastAsia"/>
          <w:lang w:eastAsia="zh-CN"/>
        </w:rPr>
        <w:t>c inspection of the vehicle.”.</w:t>
      </w:r>
    </w:p>
    <w:p w:rsidR="008F2EC1" w:rsidRPr="00F96999" w:rsidRDefault="008F2EC1" w:rsidP="008F2EC1">
      <w:pPr>
        <w:pStyle w:val="HChG"/>
        <w:rPr>
          <w:rFonts w:eastAsiaTheme="minorEastAsia"/>
          <w:lang w:eastAsia="zh-CN"/>
        </w:rPr>
      </w:pPr>
      <w:r>
        <w:rPr>
          <w:rFonts w:eastAsiaTheme="minorEastAsia"/>
          <w:lang w:eastAsia="zh-CN"/>
        </w:rPr>
        <w:tab/>
      </w:r>
      <w:r>
        <w:rPr>
          <w:rFonts w:eastAsiaTheme="minorEastAsia"/>
          <w:lang w:eastAsia="zh-CN"/>
        </w:rPr>
        <w:tab/>
        <w:t>Justification</w:t>
      </w:r>
    </w:p>
    <w:p w:rsidR="008F2EC1" w:rsidRPr="008F2EC1" w:rsidRDefault="008F2EC1" w:rsidP="0069204F">
      <w:pPr>
        <w:suppressAutoHyphens w:val="0"/>
        <w:spacing w:after="200" w:line="276" w:lineRule="auto"/>
        <w:ind w:left="1134" w:right="1134"/>
        <w:rPr>
          <w:rFonts w:eastAsiaTheme="minorEastAsia"/>
          <w:lang w:eastAsia="zh-CN"/>
        </w:rPr>
      </w:pPr>
      <w:r>
        <w:rPr>
          <w:rFonts w:eastAsiaTheme="minorEastAsia"/>
          <w:lang w:eastAsia="zh-CN"/>
        </w:rPr>
        <w:t>6.</w:t>
      </w:r>
      <w:r>
        <w:rPr>
          <w:rFonts w:eastAsiaTheme="minorEastAsia"/>
          <w:lang w:eastAsia="zh-CN"/>
        </w:rPr>
        <w:tab/>
      </w:r>
      <w:r w:rsidRPr="008F2EC1">
        <w:rPr>
          <w:rFonts w:eastAsiaTheme="minorEastAsia"/>
          <w:lang w:eastAsia="zh-CN"/>
        </w:rPr>
        <w:t xml:space="preserve">Although the proposed wording was included in the last up-date of the “Guidelines for completing the certificate of approval according to ADR” available on the UNECE website [see </w:t>
      </w:r>
      <w:hyperlink r:id="rId10" w:history="1">
        <w:r w:rsidRPr="008F2EC1">
          <w:rPr>
            <w:rStyle w:val="Hyperlink"/>
            <w:rFonts w:eastAsiaTheme="minorEastAsia"/>
            <w:lang w:eastAsia="zh-CN"/>
          </w:rPr>
          <w:t>http://www.unece.org/fileadmin/DAM/trans/danger/publi/adr/guidelines/Guidelines_for_completing_the_certificate_of_approval.pdf</w:t>
        </w:r>
      </w:hyperlink>
      <w:r w:rsidRPr="008F2EC1">
        <w:rPr>
          <w:rFonts w:eastAsiaTheme="minorEastAsia"/>
          <w:lang w:eastAsia="zh-CN"/>
        </w:rPr>
        <w:t xml:space="preserve"> ] , it should be noted that the guidelines are not binding. To provide certainty to the control authority that a vehicle may carry explosive substances in tanks the remark need to be included in the regulation itself. The wording of this proposal is identical to earlier adopted wording for the “Guidelines”.</w:t>
      </w:r>
    </w:p>
    <w:p w:rsidR="008F2EC1" w:rsidRPr="00F96999" w:rsidRDefault="008F2EC1" w:rsidP="008F2EC1">
      <w:pPr>
        <w:suppressAutoHyphens w:val="0"/>
        <w:spacing w:after="200" w:line="276" w:lineRule="auto"/>
        <w:ind w:left="1134" w:right="1134"/>
        <w:jc w:val="both"/>
        <w:rPr>
          <w:rFonts w:eastAsiaTheme="minorEastAsia"/>
          <w:sz w:val="22"/>
          <w:szCs w:val="22"/>
          <w:lang w:eastAsia="zh-CN"/>
        </w:rPr>
      </w:pPr>
      <w:r>
        <w:rPr>
          <w:rFonts w:eastAsiaTheme="minorEastAsia"/>
          <w:lang w:eastAsia="zh-CN"/>
        </w:rPr>
        <w:t>7.</w:t>
      </w:r>
      <w:r>
        <w:rPr>
          <w:rFonts w:eastAsiaTheme="minorEastAsia"/>
          <w:lang w:eastAsia="zh-CN"/>
        </w:rPr>
        <w:tab/>
      </w:r>
      <w:r w:rsidRPr="008F2EC1">
        <w:rPr>
          <w:rFonts w:eastAsiaTheme="minorEastAsia"/>
          <w:lang w:eastAsia="zh-CN"/>
        </w:rPr>
        <w:t>Because the new wording is only applicable to EX/III vehicles for carriage explosive substances in tanks and not to EX/III vehicles for carriage explosive substances in packages the burden of amending/changing certificates of approval will be limited</w:t>
      </w:r>
      <w:r w:rsidRPr="00F96999">
        <w:rPr>
          <w:rFonts w:eastAsiaTheme="minorEastAsia"/>
          <w:sz w:val="22"/>
          <w:szCs w:val="22"/>
          <w:lang w:eastAsia="zh-CN"/>
        </w:rPr>
        <w:t xml:space="preserve">. </w:t>
      </w:r>
    </w:p>
    <w:p w:rsidR="008F2EC1" w:rsidRDefault="008F2EC1" w:rsidP="008F2EC1">
      <w:pPr>
        <w:suppressAutoHyphens w:val="0"/>
        <w:spacing w:after="200" w:line="276" w:lineRule="auto"/>
        <w:ind w:left="1134" w:right="1134"/>
        <w:jc w:val="both"/>
        <w:rPr>
          <w:rFonts w:eastAsiaTheme="minorEastAsia"/>
          <w:lang w:eastAsia="zh-CN"/>
        </w:rPr>
      </w:pPr>
      <w:r>
        <w:rPr>
          <w:rFonts w:eastAsiaTheme="minorEastAsia"/>
          <w:lang w:eastAsia="zh-CN"/>
        </w:rPr>
        <w:t>8.</w:t>
      </w:r>
      <w:r>
        <w:rPr>
          <w:rFonts w:eastAsiaTheme="minorEastAsia"/>
          <w:lang w:eastAsia="zh-CN"/>
        </w:rPr>
        <w:tab/>
      </w:r>
      <w:r w:rsidRPr="008F2EC1">
        <w:rPr>
          <w:rFonts w:eastAsiaTheme="minorEastAsia"/>
          <w:lang w:eastAsia="zh-CN"/>
        </w:rPr>
        <w:t xml:space="preserve">It may be discussed that for tank vehicles the proposed wording is superfluous because authorization for carriage is already given under No 10 of the certificate. In this particular under No 10 in 10.2, second box the allowance for carriage of UN 0331 will be named as this entry has a (+) after the tank code, it may be concluded that automatically compliance with 9.7.9. However to remove any doubt and to limit complications it is proposed for all vehicles, including tank vehicles, to have the remark on the certificate of approval.   </w:t>
      </w:r>
    </w:p>
    <w:p w:rsidR="00AE1867" w:rsidRPr="009B7FFB" w:rsidRDefault="00AE1867" w:rsidP="00AE1867">
      <w:pPr>
        <w:spacing w:before="240"/>
        <w:ind w:left="1134" w:right="1134"/>
        <w:jc w:val="center"/>
        <w:rPr>
          <w:u w:val="single"/>
        </w:rPr>
      </w:pPr>
      <w:r>
        <w:rPr>
          <w:u w:val="single"/>
        </w:rPr>
        <w:tab/>
      </w:r>
      <w:r>
        <w:rPr>
          <w:u w:val="single"/>
        </w:rPr>
        <w:tab/>
      </w:r>
      <w:r>
        <w:rPr>
          <w:u w:val="single"/>
        </w:rPr>
        <w:tab/>
      </w:r>
    </w:p>
    <w:p w:rsidR="008F2EC1" w:rsidRPr="008F2EC1" w:rsidRDefault="008F2EC1" w:rsidP="008F2EC1">
      <w:pPr>
        <w:suppressAutoHyphens w:val="0"/>
        <w:spacing w:after="200" w:line="276" w:lineRule="auto"/>
        <w:ind w:left="1134" w:right="1134"/>
        <w:jc w:val="both"/>
        <w:rPr>
          <w:rFonts w:eastAsiaTheme="minorEastAsia"/>
          <w:lang w:eastAsia="zh-CN"/>
        </w:rPr>
      </w:pPr>
    </w:p>
    <w:sectPr w:rsidR="008F2EC1" w:rsidRPr="008F2EC1" w:rsidSect="001330DE">
      <w:headerReference w:type="even" r:id="rId11"/>
      <w:headerReference w:type="default" r:id="rId12"/>
      <w:footerReference w:type="even" r:id="rId13"/>
      <w:footerReference w:type="defaul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CF0" w:rsidRDefault="008A0CF0"/>
  </w:endnote>
  <w:endnote w:type="continuationSeparator" w:id="0">
    <w:p w:rsidR="008A0CF0" w:rsidRDefault="008A0CF0"/>
  </w:endnote>
  <w:endnote w:type="continuationNotice" w:id="1">
    <w:p w:rsidR="008A0CF0" w:rsidRDefault="008A0C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8E4" w:rsidRPr="001330DE" w:rsidRDefault="009F4D09" w:rsidP="001330DE">
    <w:pPr>
      <w:pStyle w:val="Footer"/>
      <w:tabs>
        <w:tab w:val="right" w:pos="9598"/>
      </w:tabs>
    </w:pPr>
    <w:r w:rsidRPr="001330DE">
      <w:rPr>
        <w:b/>
        <w:sz w:val="18"/>
      </w:rPr>
      <w:fldChar w:fldCharType="begin"/>
    </w:r>
    <w:r w:rsidR="00C468E4" w:rsidRPr="001330DE">
      <w:rPr>
        <w:b/>
        <w:sz w:val="18"/>
      </w:rPr>
      <w:instrText xml:space="preserve"> PAGE  \* MERGEFORMAT </w:instrText>
    </w:r>
    <w:r w:rsidRPr="001330DE">
      <w:rPr>
        <w:b/>
        <w:sz w:val="18"/>
      </w:rPr>
      <w:fldChar w:fldCharType="separate"/>
    </w:r>
    <w:r w:rsidR="00B8688E">
      <w:rPr>
        <w:b/>
        <w:noProof/>
        <w:sz w:val="18"/>
      </w:rPr>
      <w:t>2</w:t>
    </w:r>
    <w:r w:rsidRPr="001330DE">
      <w:rPr>
        <w:b/>
        <w:sz w:val="18"/>
      </w:rPr>
      <w:fldChar w:fldCharType="end"/>
    </w:r>
    <w:r w:rsidR="00C468E4">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8E4" w:rsidRPr="001330DE" w:rsidRDefault="00C468E4" w:rsidP="001330DE">
    <w:pPr>
      <w:pStyle w:val="Footer"/>
      <w:tabs>
        <w:tab w:val="right" w:pos="9598"/>
      </w:tabs>
      <w:rPr>
        <w:b/>
        <w:sz w:val="18"/>
      </w:rPr>
    </w:pPr>
    <w:r>
      <w:t>GE.14-20747</w:t>
    </w:r>
    <w:r>
      <w:tab/>
    </w:r>
    <w:r w:rsidR="009F4D09" w:rsidRPr="001330DE">
      <w:rPr>
        <w:b/>
        <w:sz w:val="18"/>
      </w:rPr>
      <w:fldChar w:fldCharType="begin"/>
    </w:r>
    <w:r w:rsidRPr="001330DE">
      <w:rPr>
        <w:b/>
        <w:sz w:val="18"/>
      </w:rPr>
      <w:instrText xml:space="preserve"> PAGE  \* MERGEFORMAT </w:instrText>
    </w:r>
    <w:r w:rsidR="009F4D09" w:rsidRPr="001330DE">
      <w:rPr>
        <w:b/>
        <w:sz w:val="18"/>
      </w:rPr>
      <w:fldChar w:fldCharType="separate"/>
    </w:r>
    <w:r w:rsidR="00B8688E">
      <w:rPr>
        <w:b/>
        <w:noProof/>
        <w:sz w:val="18"/>
      </w:rPr>
      <w:t>3</w:t>
    </w:r>
    <w:r w:rsidR="009F4D09" w:rsidRPr="001330DE">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CF0" w:rsidRPr="000B175B" w:rsidRDefault="008A0CF0" w:rsidP="000B175B">
      <w:pPr>
        <w:tabs>
          <w:tab w:val="right" w:pos="2155"/>
        </w:tabs>
        <w:spacing w:after="80"/>
        <w:ind w:left="680"/>
        <w:rPr>
          <w:u w:val="single"/>
        </w:rPr>
      </w:pPr>
      <w:r>
        <w:rPr>
          <w:u w:val="single"/>
        </w:rPr>
        <w:tab/>
      </w:r>
    </w:p>
  </w:footnote>
  <w:footnote w:type="continuationSeparator" w:id="0">
    <w:p w:rsidR="008A0CF0" w:rsidRPr="00FC68B7" w:rsidRDefault="008A0CF0" w:rsidP="00FC68B7">
      <w:pPr>
        <w:tabs>
          <w:tab w:val="left" w:pos="2155"/>
        </w:tabs>
        <w:spacing w:after="80"/>
        <w:ind w:left="680"/>
        <w:rPr>
          <w:u w:val="single"/>
        </w:rPr>
      </w:pPr>
      <w:r>
        <w:rPr>
          <w:u w:val="single"/>
        </w:rPr>
        <w:tab/>
      </w:r>
    </w:p>
  </w:footnote>
  <w:footnote w:type="continuationNotice" w:id="1">
    <w:p w:rsidR="008A0CF0" w:rsidRDefault="008A0CF0"/>
  </w:footnote>
  <w:footnote w:id="2">
    <w:p w:rsidR="008F2EC1" w:rsidRDefault="008F2EC1" w:rsidP="008F2EC1">
      <w:pPr>
        <w:pStyle w:val="FootnoteText"/>
        <w:tabs>
          <w:tab w:val="clear" w:pos="1021"/>
        </w:tabs>
        <w:ind w:right="1260" w:hanging="567"/>
        <w:jc w:val="both"/>
      </w:pPr>
      <w:r>
        <w:tab/>
      </w:r>
      <w:r w:rsidRPr="00F6632B">
        <w:rPr>
          <w:rStyle w:val="FootnoteReference"/>
        </w:rPr>
        <w:footnoteRef/>
      </w:r>
      <w:r w:rsidRPr="00E06F15">
        <w:rPr>
          <w:color w:val="000000"/>
          <w:sz w:val="20"/>
        </w:rPr>
        <w:t xml:space="preserve"> </w:t>
      </w:r>
      <w:proofErr w:type="gramStart"/>
      <w:r>
        <w:rPr>
          <w:color w:val="000000"/>
          <w:sz w:val="20"/>
        </w:rPr>
        <w:t>In accordance with the programme of work of the Inland Transport Committee for 2016-2017, (ECE/TRANS/2016/28/Add.1 (9.1)).</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8E4" w:rsidRPr="001330DE" w:rsidRDefault="00C468E4" w:rsidP="001330DE">
    <w:pPr>
      <w:pStyle w:val="Header"/>
    </w:pPr>
    <w:r w:rsidRPr="001330DE">
      <w:t>ECE/TRANS/WP.15/201</w:t>
    </w:r>
    <w:r>
      <w:t>6</w:t>
    </w:r>
    <w:r w:rsidRPr="001330DE">
      <w:t>/</w:t>
    </w:r>
    <w:r w:rsidR="008F2EC1">
      <w:t>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8E4" w:rsidRPr="001330DE" w:rsidRDefault="00C468E4" w:rsidP="001330DE">
    <w:pPr>
      <w:pStyle w:val="Header"/>
      <w:jc w:val="right"/>
    </w:pPr>
    <w:r w:rsidRPr="001330DE">
      <w:t>ECE/TRANS/WP.15/201</w:t>
    </w:r>
    <w:r>
      <w:t>6</w:t>
    </w:r>
    <w:r w:rsidRPr="001330DE">
      <w:t>/</w:t>
    </w:r>
    <w:r w:rsidR="008F2EC1">
      <w:t>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E829FD"/>
    <w:multiLevelType w:val="hybridMultilevel"/>
    <w:tmpl w:val="6BC86016"/>
    <w:lvl w:ilvl="0" w:tplc="FAE4B376">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5">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6CE00DA7"/>
    <w:multiLevelType w:val="hybridMultilevel"/>
    <w:tmpl w:val="50D20AFE"/>
    <w:lvl w:ilvl="0" w:tplc="4A0C2BD6">
      <w:start w:val="1"/>
      <w:numFmt w:val="bullet"/>
      <w:lvlText w:val=""/>
      <w:lvlJc w:val="left"/>
      <w:pPr>
        <w:ind w:left="1854" w:hanging="360"/>
      </w:pPr>
      <w:rPr>
        <w:rFonts w:ascii="Symbol" w:hAnsi="Symbol" w:hint="default"/>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abstractNum w:abstractNumId="18">
    <w:nsid w:val="6D505E5D"/>
    <w:multiLevelType w:val="hybridMultilevel"/>
    <w:tmpl w:val="519C5D72"/>
    <w:lvl w:ilvl="0" w:tplc="8C4849AC">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9">
    <w:nsid w:val="6E2854E8"/>
    <w:multiLevelType w:val="hybridMultilevel"/>
    <w:tmpl w:val="38E87356"/>
    <w:lvl w:ilvl="0" w:tplc="100C0001">
      <w:start w:val="1"/>
      <w:numFmt w:val="bullet"/>
      <w:lvlText w:val=""/>
      <w:lvlJc w:val="left"/>
      <w:pPr>
        <w:ind w:left="1854" w:hanging="360"/>
      </w:pPr>
      <w:rPr>
        <w:rFonts w:ascii="Symbol" w:hAnsi="Symbol" w:hint="default"/>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3"/>
  </w:num>
  <w:num w:numId="13">
    <w:abstractNumId w:val="10"/>
  </w:num>
  <w:num w:numId="14">
    <w:abstractNumId w:val="16"/>
  </w:num>
  <w:num w:numId="15">
    <w:abstractNumId w:val="12"/>
  </w:num>
  <w:num w:numId="16">
    <w:abstractNumId w:val="11"/>
  </w:num>
  <w:num w:numId="17">
    <w:abstractNumId w:val="18"/>
  </w:num>
  <w:num w:numId="18">
    <w:abstractNumId w:val="14"/>
  </w:num>
  <w:num w:numId="19">
    <w:abstractNumId w:val="19"/>
  </w:num>
  <w:num w:numId="20">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771"/>
    <w:rsid w:val="000120B1"/>
    <w:rsid w:val="00046B1F"/>
    <w:rsid w:val="00050F6B"/>
    <w:rsid w:val="00057E97"/>
    <w:rsid w:val="00072C8C"/>
    <w:rsid w:val="000733B5"/>
    <w:rsid w:val="00081815"/>
    <w:rsid w:val="00083C51"/>
    <w:rsid w:val="00085A33"/>
    <w:rsid w:val="000931C0"/>
    <w:rsid w:val="000B0595"/>
    <w:rsid w:val="000B175B"/>
    <w:rsid w:val="000B3A0F"/>
    <w:rsid w:val="000B4EF7"/>
    <w:rsid w:val="000C2C03"/>
    <w:rsid w:val="000C2D2E"/>
    <w:rsid w:val="000C45FE"/>
    <w:rsid w:val="000E0415"/>
    <w:rsid w:val="001103AA"/>
    <w:rsid w:val="0011666B"/>
    <w:rsid w:val="00126A57"/>
    <w:rsid w:val="001330DE"/>
    <w:rsid w:val="00145622"/>
    <w:rsid w:val="00165F3A"/>
    <w:rsid w:val="001B054C"/>
    <w:rsid w:val="001B4B04"/>
    <w:rsid w:val="001C6663"/>
    <w:rsid w:val="001C7895"/>
    <w:rsid w:val="001D0C8C"/>
    <w:rsid w:val="001D1419"/>
    <w:rsid w:val="001D26DF"/>
    <w:rsid w:val="001D3A03"/>
    <w:rsid w:val="001E4771"/>
    <w:rsid w:val="001E59E0"/>
    <w:rsid w:val="001E7B67"/>
    <w:rsid w:val="001F6AFB"/>
    <w:rsid w:val="00202DA8"/>
    <w:rsid w:val="00207720"/>
    <w:rsid w:val="00211E0B"/>
    <w:rsid w:val="0021665B"/>
    <w:rsid w:val="00250738"/>
    <w:rsid w:val="00267F5F"/>
    <w:rsid w:val="00286B4D"/>
    <w:rsid w:val="002D4643"/>
    <w:rsid w:val="002F175C"/>
    <w:rsid w:val="00302E18"/>
    <w:rsid w:val="003229D8"/>
    <w:rsid w:val="00352709"/>
    <w:rsid w:val="003639E8"/>
    <w:rsid w:val="00364574"/>
    <w:rsid w:val="00371178"/>
    <w:rsid w:val="0038358B"/>
    <w:rsid w:val="003A6810"/>
    <w:rsid w:val="003A6B33"/>
    <w:rsid w:val="003C2CC4"/>
    <w:rsid w:val="003C6D1D"/>
    <w:rsid w:val="003D4B23"/>
    <w:rsid w:val="003E0029"/>
    <w:rsid w:val="00410C89"/>
    <w:rsid w:val="00422E03"/>
    <w:rsid w:val="00426B9B"/>
    <w:rsid w:val="00431164"/>
    <w:rsid w:val="004325CB"/>
    <w:rsid w:val="00432E7C"/>
    <w:rsid w:val="00442A83"/>
    <w:rsid w:val="0045495B"/>
    <w:rsid w:val="0048397A"/>
    <w:rsid w:val="004B4FDF"/>
    <w:rsid w:val="004C2461"/>
    <w:rsid w:val="004C7462"/>
    <w:rsid w:val="004E77B2"/>
    <w:rsid w:val="00504B2D"/>
    <w:rsid w:val="0052136D"/>
    <w:rsid w:val="00522B58"/>
    <w:rsid w:val="0052699B"/>
    <w:rsid w:val="0052775E"/>
    <w:rsid w:val="005420F2"/>
    <w:rsid w:val="005628B6"/>
    <w:rsid w:val="005666AA"/>
    <w:rsid w:val="005B3DB3"/>
    <w:rsid w:val="005B4E13"/>
    <w:rsid w:val="005E2EBD"/>
    <w:rsid w:val="005F7B75"/>
    <w:rsid w:val="006001EE"/>
    <w:rsid w:val="00603CB2"/>
    <w:rsid w:val="00605042"/>
    <w:rsid w:val="00611FC4"/>
    <w:rsid w:val="006176FB"/>
    <w:rsid w:val="00640B26"/>
    <w:rsid w:val="00644E68"/>
    <w:rsid w:val="00652D0A"/>
    <w:rsid w:val="006623D5"/>
    <w:rsid w:val="00662BB6"/>
    <w:rsid w:val="00673794"/>
    <w:rsid w:val="00684C21"/>
    <w:rsid w:val="0069204F"/>
    <w:rsid w:val="00696D0A"/>
    <w:rsid w:val="006A2530"/>
    <w:rsid w:val="006C3589"/>
    <w:rsid w:val="006D266F"/>
    <w:rsid w:val="006D37AF"/>
    <w:rsid w:val="006D51D0"/>
    <w:rsid w:val="006E564B"/>
    <w:rsid w:val="006E7191"/>
    <w:rsid w:val="00703577"/>
    <w:rsid w:val="00705894"/>
    <w:rsid w:val="0072632A"/>
    <w:rsid w:val="007327D5"/>
    <w:rsid w:val="007629C8"/>
    <w:rsid w:val="0077047D"/>
    <w:rsid w:val="00796DF0"/>
    <w:rsid w:val="007A3C5F"/>
    <w:rsid w:val="007B6BA5"/>
    <w:rsid w:val="007C3390"/>
    <w:rsid w:val="007C4F4B"/>
    <w:rsid w:val="007E01E9"/>
    <w:rsid w:val="007E63F3"/>
    <w:rsid w:val="007F6611"/>
    <w:rsid w:val="00811920"/>
    <w:rsid w:val="00815AD0"/>
    <w:rsid w:val="008242D7"/>
    <w:rsid w:val="008257B1"/>
    <w:rsid w:val="00830A44"/>
    <w:rsid w:val="00843767"/>
    <w:rsid w:val="008679D9"/>
    <w:rsid w:val="008878DE"/>
    <w:rsid w:val="008979B1"/>
    <w:rsid w:val="008A0CF0"/>
    <w:rsid w:val="008A6B25"/>
    <w:rsid w:val="008A6C4F"/>
    <w:rsid w:val="008B2335"/>
    <w:rsid w:val="008C048F"/>
    <w:rsid w:val="008D4A19"/>
    <w:rsid w:val="008E0678"/>
    <w:rsid w:val="008E45B1"/>
    <w:rsid w:val="008F2EC1"/>
    <w:rsid w:val="009223CA"/>
    <w:rsid w:val="00940F93"/>
    <w:rsid w:val="009471BA"/>
    <w:rsid w:val="00947FDE"/>
    <w:rsid w:val="009760F3"/>
    <w:rsid w:val="009A0E8D"/>
    <w:rsid w:val="009B26E7"/>
    <w:rsid w:val="009B7FFB"/>
    <w:rsid w:val="009F4D09"/>
    <w:rsid w:val="00A00A3F"/>
    <w:rsid w:val="00A01489"/>
    <w:rsid w:val="00A20F04"/>
    <w:rsid w:val="00A3026E"/>
    <w:rsid w:val="00A338F1"/>
    <w:rsid w:val="00A50DEE"/>
    <w:rsid w:val="00A72F22"/>
    <w:rsid w:val="00A7360F"/>
    <w:rsid w:val="00A748A6"/>
    <w:rsid w:val="00A769F4"/>
    <w:rsid w:val="00A776B4"/>
    <w:rsid w:val="00A94361"/>
    <w:rsid w:val="00AA1DC9"/>
    <w:rsid w:val="00AA293C"/>
    <w:rsid w:val="00AE1867"/>
    <w:rsid w:val="00AF2944"/>
    <w:rsid w:val="00B30179"/>
    <w:rsid w:val="00B31E80"/>
    <w:rsid w:val="00B421C1"/>
    <w:rsid w:val="00B54192"/>
    <w:rsid w:val="00B55C71"/>
    <w:rsid w:val="00B56E4A"/>
    <w:rsid w:val="00B56E9C"/>
    <w:rsid w:val="00B64B1F"/>
    <w:rsid w:val="00B6553F"/>
    <w:rsid w:val="00B77D05"/>
    <w:rsid w:val="00B81206"/>
    <w:rsid w:val="00B81E12"/>
    <w:rsid w:val="00B8688E"/>
    <w:rsid w:val="00B9042E"/>
    <w:rsid w:val="00BC3FA0"/>
    <w:rsid w:val="00BC74E9"/>
    <w:rsid w:val="00BD186E"/>
    <w:rsid w:val="00BE0515"/>
    <w:rsid w:val="00BF68A8"/>
    <w:rsid w:val="00C0563C"/>
    <w:rsid w:val="00C11A03"/>
    <w:rsid w:val="00C22C0C"/>
    <w:rsid w:val="00C2670C"/>
    <w:rsid w:val="00C4527F"/>
    <w:rsid w:val="00C463DD"/>
    <w:rsid w:val="00C468E4"/>
    <w:rsid w:val="00C4724C"/>
    <w:rsid w:val="00C629A0"/>
    <w:rsid w:val="00C64629"/>
    <w:rsid w:val="00C745C3"/>
    <w:rsid w:val="00C86220"/>
    <w:rsid w:val="00CB3E03"/>
    <w:rsid w:val="00CE0C77"/>
    <w:rsid w:val="00CE4A8F"/>
    <w:rsid w:val="00CF49FD"/>
    <w:rsid w:val="00D02AF5"/>
    <w:rsid w:val="00D12E31"/>
    <w:rsid w:val="00D2031B"/>
    <w:rsid w:val="00D25FE2"/>
    <w:rsid w:val="00D43252"/>
    <w:rsid w:val="00D47EEA"/>
    <w:rsid w:val="00D6286A"/>
    <w:rsid w:val="00D773DF"/>
    <w:rsid w:val="00D77865"/>
    <w:rsid w:val="00D94296"/>
    <w:rsid w:val="00D95303"/>
    <w:rsid w:val="00D978C6"/>
    <w:rsid w:val="00DA3C1C"/>
    <w:rsid w:val="00DD0A3E"/>
    <w:rsid w:val="00DE40E0"/>
    <w:rsid w:val="00E046DF"/>
    <w:rsid w:val="00E121AE"/>
    <w:rsid w:val="00E27346"/>
    <w:rsid w:val="00E71BC8"/>
    <w:rsid w:val="00E7260F"/>
    <w:rsid w:val="00E73F5D"/>
    <w:rsid w:val="00E77E4E"/>
    <w:rsid w:val="00E96630"/>
    <w:rsid w:val="00EC22F3"/>
    <w:rsid w:val="00ED41D7"/>
    <w:rsid w:val="00ED7A2A"/>
    <w:rsid w:val="00EF1D7F"/>
    <w:rsid w:val="00F13FB9"/>
    <w:rsid w:val="00F31E5F"/>
    <w:rsid w:val="00F44B02"/>
    <w:rsid w:val="00F6100A"/>
    <w:rsid w:val="00F90BD0"/>
    <w:rsid w:val="00F93781"/>
    <w:rsid w:val="00FB613B"/>
    <w:rsid w:val="00FC68B7"/>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5_GR"/>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FootnoteTextChar">
    <w:name w:val="Footnote Text Char"/>
    <w:aliases w:val="5_G Char,5_GR Char"/>
    <w:link w:val="FootnoteText"/>
    <w:rsid w:val="003A6B33"/>
    <w:rPr>
      <w:sz w:val="18"/>
      <w:lang w:eastAsia="en-US"/>
    </w:rPr>
  </w:style>
  <w:style w:type="character" w:customStyle="1" w:styleId="SingleTxtGChar">
    <w:name w:val="_ Single Txt_G Char"/>
    <w:link w:val="SingleTxtG"/>
    <w:rsid w:val="003A6B33"/>
    <w:rPr>
      <w:lang w:eastAsia="en-US"/>
    </w:rPr>
  </w:style>
  <w:style w:type="paragraph" w:styleId="BalloonText">
    <w:name w:val="Balloon Text"/>
    <w:basedOn w:val="Normal"/>
    <w:link w:val="BalloonTextChar"/>
    <w:rsid w:val="0021665B"/>
    <w:pPr>
      <w:spacing w:line="240" w:lineRule="auto"/>
    </w:pPr>
    <w:rPr>
      <w:rFonts w:ascii="Tahoma" w:hAnsi="Tahoma" w:cs="Tahoma"/>
      <w:sz w:val="16"/>
      <w:szCs w:val="16"/>
    </w:rPr>
  </w:style>
  <w:style w:type="character" w:customStyle="1" w:styleId="BalloonTextChar">
    <w:name w:val="Balloon Text Char"/>
    <w:link w:val="BalloonText"/>
    <w:rsid w:val="0021665B"/>
    <w:rPr>
      <w:rFonts w:ascii="Tahoma" w:hAnsi="Tahoma" w:cs="Tahoma"/>
      <w:sz w:val="16"/>
      <w:szCs w:val="16"/>
      <w:lang w:eastAsia="en-US"/>
    </w:rPr>
  </w:style>
  <w:style w:type="character" w:customStyle="1" w:styleId="hps">
    <w:name w:val="hps"/>
    <w:basedOn w:val="DefaultParagraphFont"/>
    <w:rsid w:val="00DE40E0"/>
  </w:style>
  <w:style w:type="paragraph" w:customStyle="1" w:styleId="SingleTxt">
    <w:name w:val="__Single Txt"/>
    <w:basedOn w:val="Normal"/>
    <w:rsid w:val="00696D0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lang w:eastAsia="zh-CN"/>
    </w:rPr>
  </w:style>
  <w:style w:type="character" w:customStyle="1" w:styleId="HChGChar">
    <w:name w:val="_ H _Ch_G Char"/>
    <w:link w:val="HChG"/>
    <w:rsid w:val="00696D0A"/>
    <w:rPr>
      <w:b/>
      <w:sz w:val="28"/>
      <w:lang w:eastAsia="en-US"/>
    </w:rPr>
  </w:style>
  <w:style w:type="character" w:customStyle="1" w:styleId="SingleTxtGCar">
    <w:name w:val="_ Single Txt_G Car"/>
    <w:rsid w:val="009B7FFB"/>
    <w:rPr>
      <w:lang w:val="en-GB" w:eastAsia="en-US"/>
    </w:rPr>
  </w:style>
  <w:style w:type="character" w:customStyle="1" w:styleId="H1GChar">
    <w:name w:val="_ H_1_G Char"/>
    <w:link w:val="H1G"/>
    <w:rsid w:val="009B7FFB"/>
    <w:rPr>
      <w:b/>
      <w:sz w:val="24"/>
      <w:lang w:eastAsia="en-US"/>
    </w:rPr>
  </w:style>
  <w:style w:type="table" w:customStyle="1" w:styleId="TableGrid10">
    <w:name w:val="Table Grid1"/>
    <w:basedOn w:val="TableNormal"/>
    <w:next w:val="TableGrid"/>
    <w:semiHidden/>
    <w:rsid w:val="008F2EC1"/>
    <w:pPr>
      <w:suppressAutoHyphens/>
      <w:spacing w:line="240" w:lineRule="atLeast"/>
    </w:pPr>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5_GR"/>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FootnoteTextChar">
    <w:name w:val="Footnote Text Char"/>
    <w:aliases w:val="5_G Char,5_GR Char"/>
    <w:link w:val="FootnoteText"/>
    <w:rsid w:val="003A6B33"/>
    <w:rPr>
      <w:sz w:val="18"/>
      <w:lang w:eastAsia="en-US"/>
    </w:rPr>
  </w:style>
  <w:style w:type="character" w:customStyle="1" w:styleId="SingleTxtGChar">
    <w:name w:val="_ Single Txt_G Char"/>
    <w:link w:val="SingleTxtG"/>
    <w:rsid w:val="003A6B33"/>
    <w:rPr>
      <w:lang w:eastAsia="en-US"/>
    </w:rPr>
  </w:style>
  <w:style w:type="paragraph" w:styleId="BalloonText">
    <w:name w:val="Balloon Text"/>
    <w:basedOn w:val="Normal"/>
    <w:link w:val="BalloonTextChar"/>
    <w:rsid w:val="0021665B"/>
    <w:pPr>
      <w:spacing w:line="240" w:lineRule="auto"/>
    </w:pPr>
    <w:rPr>
      <w:rFonts w:ascii="Tahoma" w:hAnsi="Tahoma" w:cs="Tahoma"/>
      <w:sz w:val="16"/>
      <w:szCs w:val="16"/>
    </w:rPr>
  </w:style>
  <w:style w:type="character" w:customStyle="1" w:styleId="BalloonTextChar">
    <w:name w:val="Balloon Text Char"/>
    <w:link w:val="BalloonText"/>
    <w:rsid w:val="0021665B"/>
    <w:rPr>
      <w:rFonts w:ascii="Tahoma" w:hAnsi="Tahoma" w:cs="Tahoma"/>
      <w:sz w:val="16"/>
      <w:szCs w:val="16"/>
      <w:lang w:eastAsia="en-US"/>
    </w:rPr>
  </w:style>
  <w:style w:type="character" w:customStyle="1" w:styleId="hps">
    <w:name w:val="hps"/>
    <w:basedOn w:val="DefaultParagraphFont"/>
    <w:rsid w:val="00DE40E0"/>
  </w:style>
  <w:style w:type="paragraph" w:customStyle="1" w:styleId="SingleTxt">
    <w:name w:val="__Single Txt"/>
    <w:basedOn w:val="Normal"/>
    <w:rsid w:val="00696D0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lang w:eastAsia="zh-CN"/>
    </w:rPr>
  </w:style>
  <w:style w:type="character" w:customStyle="1" w:styleId="HChGChar">
    <w:name w:val="_ H _Ch_G Char"/>
    <w:link w:val="HChG"/>
    <w:rsid w:val="00696D0A"/>
    <w:rPr>
      <w:b/>
      <w:sz w:val="28"/>
      <w:lang w:eastAsia="en-US"/>
    </w:rPr>
  </w:style>
  <w:style w:type="character" w:customStyle="1" w:styleId="SingleTxtGCar">
    <w:name w:val="_ Single Txt_G Car"/>
    <w:rsid w:val="009B7FFB"/>
    <w:rPr>
      <w:lang w:val="en-GB" w:eastAsia="en-US"/>
    </w:rPr>
  </w:style>
  <w:style w:type="character" w:customStyle="1" w:styleId="H1GChar">
    <w:name w:val="_ H_1_G Char"/>
    <w:link w:val="H1G"/>
    <w:rsid w:val="009B7FFB"/>
    <w:rPr>
      <w:b/>
      <w:sz w:val="24"/>
      <w:lang w:eastAsia="en-US"/>
    </w:rPr>
  </w:style>
  <w:style w:type="table" w:customStyle="1" w:styleId="TableGrid10">
    <w:name w:val="Table Grid1"/>
    <w:basedOn w:val="TableNormal"/>
    <w:next w:val="TableGrid"/>
    <w:semiHidden/>
    <w:rsid w:val="008F2EC1"/>
    <w:pPr>
      <w:suppressAutoHyphens/>
      <w:spacing w:line="240" w:lineRule="atLeast"/>
    </w:pPr>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nece.org/fileadmin/DAM/trans/danger/publi/adr/guidelines/Guidelines_for_completing_the_certificate_of_approval.pdf"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04C6E-BC42-4161-88DD-D6FC9038B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1420747</vt:lpstr>
    </vt:vector>
  </TitlesOfParts>
  <Company>CSD</Company>
  <LinksUpToDate>false</LinksUpToDate>
  <CharactersWithSpaces>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1420747</dc:title>
  <dc:creator>pae</dc:creator>
  <cp:keywords>ECE/TRANS/WP.15/2014/1</cp:keywords>
  <dc:description>final</dc:description>
  <cp:lastModifiedBy>barrio-champeau</cp:lastModifiedBy>
  <cp:revision>4</cp:revision>
  <cp:lastPrinted>2016-08-22T11:12:00Z</cp:lastPrinted>
  <dcterms:created xsi:type="dcterms:W3CDTF">2016-08-19T07:47:00Z</dcterms:created>
  <dcterms:modified xsi:type="dcterms:W3CDTF">2016-08-22T11:13:00Z</dcterms:modified>
</cp:coreProperties>
</file>