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CE7F37">
            <w:pPr>
              <w:suppressAutoHyphens w:val="0"/>
              <w:spacing w:after="20"/>
              <w:jc w:val="right"/>
            </w:pPr>
            <w:r w:rsidRPr="008D4A19">
              <w:rPr>
                <w:sz w:val="40"/>
              </w:rPr>
              <w:t>ECE</w:t>
            </w:r>
            <w:r>
              <w:t>/TRANS/WP.15/201</w:t>
            </w:r>
            <w:r w:rsidR="00DE40E0">
              <w:t>6</w:t>
            </w:r>
            <w:r>
              <w:t>/</w:t>
            </w:r>
            <w:r w:rsidR="00AC251B">
              <w:t>1</w:t>
            </w:r>
            <w:r w:rsidR="00CE7F37">
              <w:t>7</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14:anchorId="61E58746" wp14:editId="3D836347">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1F572E" w:rsidP="008D4A19">
            <w:pPr>
              <w:suppressAutoHyphens w:val="0"/>
            </w:pPr>
            <w:r>
              <w:t>22</w:t>
            </w:r>
            <w:r w:rsidR="001330DE">
              <w:t xml:space="preserve"> </w:t>
            </w:r>
            <w:r w:rsidR="00FF0F08">
              <w:t>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Economic Commission for Europe</w:t>
      </w:r>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F563C7" w:rsidP="001330DE">
      <w:pPr>
        <w:spacing w:before="120"/>
        <w:rPr>
          <w:rFonts w:eastAsia="SimSun"/>
          <w:b/>
        </w:rPr>
      </w:pPr>
      <w:r>
        <w:rPr>
          <w:rFonts w:eastAsia="SimSun"/>
          <w:b/>
        </w:rPr>
        <w:t>101</w:t>
      </w:r>
      <w:r w:rsidR="00AF3B69" w:rsidRPr="00AF3B69">
        <w:rPr>
          <w:rFonts w:eastAsia="SimSun"/>
          <w:b/>
          <w:vertAlign w:val="superscript"/>
        </w:rPr>
        <w:t>st</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8</w:t>
      </w:r>
      <w:r>
        <w:rPr>
          <w:rFonts w:eastAsia="SimSun"/>
        </w:rPr>
        <w:t>–</w:t>
      </w:r>
      <w:r w:rsidR="00F563C7">
        <w:rPr>
          <w:rFonts w:eastAsia="SimSun"/>
        </w:rPr>
        <w:t>11</w:t>
      </w:r>
      <w:r w:rsidRPr="00BA64A8">
        <w:rPr>
          <w:rFonts w:eastAsia="SimSun"/>
        </w:rPr>
        <w:t xml:space="preserve"> </w:t>
      </w:r>
      <w:r w:rsidR="00F563C7">
        <w:rPr>
          <w:rFonts w:eastAsia="SimSun"/>
        </w:rPr>
        <w:t>November</w:t>
      </w:r>
      <w:r w:rsidRPr="00BA64A8">
        <w:rPr>
          <w:rFonts w:eastAsia="SimSun"/>
        </w:rPr>
        <w:t xml:space="preserve"> 201</w:t>
      </w:r>
      <w:r w:rsidR="00DE40E0">
        <w:rPr>
          <w:rFonts w:eastAsia="SimSun"/>
        </w:rPr>
        <w:t>6</w:t>
      </w:r>
      <w:r w:rsidRPr="00BA64A8">
        <w:rPr>
          <w:rFonts w:eastAsia="SimSun"/>
        </w:rPr>
        <w:t xml:space="preserve"> </w:t>
      </w:r>
    </w:p>
    <w:p w:rsidR="00AF2944" w:rsidRDefault="00AF2944" w:rsidP="00AF2944">
      <w:r w:rsidRPr="00306B2B">
        <w:t xml:space="preserve">Item </w:t>
      </w:r>
      <w:r w:rsidR="00306B2B" w:rsidRPr="00306B2B">
        <w:t>5</w:t>
      </w:r>
      <w:r w:rsidR="003B1A93" w:rsidRPr="00306B2B">
        <w:t>(</w:t>
      </w:r>
      <w:r w:rsidRPr="00306B2B">
        <w:t>b)</w:t>
      </w:r>
      <w:r>
        <w:t xml:space="preserve"> of the provisional agenda</w:t>
      </w:r>
    </w:p>
    <w:p w:rsidR="00AF2944" w:rsidRPr="003D777F" w:rsidRDefault="00AF2944" w:rsidP="00AF2944">
      <w:pPr>
        <w:rPr>
          <w:b/>
        </w:rPr>
      </w:pPr>
      <w:r w:rsidRPr="003D777F">
        <w:rPr>
          <w:b/>
        </w:rPr>
        <w:t>Proposals for amendments to Annexes A and B of ADR:</w:t>
      </w:r>
    </w:p>
    <w:p w:rsidR="00AF2944" w:rsidRPr="003D777F" w:rsidRDefault="00306B2B" w:rsidP="00AF2944">
      <w:pPr>
        <w:rPr>
          <w:b/>
        </w:rPr>
      </w:pPr>
      <w:r>
        <w:rPr>
          <w:b/>
        </w:rPr>
        <w:t>m</w:t>
      </w:r>
      <w:r w:rsidR="00AF2944" w:rsidRPr="003D777F">
        <w:rPr>
          <w:b/>
        </w:rPr>
        <w:t>iscellaneous proposals</w:t>
      </w:r>
    </w:p>
    <w:p w:rsidR="003B1A93" w:rsidRPr="00511A7F" w:rsidRDefault="00AF2944" w:rsidP="003B1A93">
      <w:pPr>
        <w:pStyle w:val="HChG"/>
      </w:pPr>
      <w:r>
        <w:tab/>
      </w:r>
      <w:r>
        <w:tab/>
      </w:r>
      <w:bookmarkStart w:id="0" w:name="OLE_LINK3"/>
      <w:bookmarkStart w:id="1" w:name="OLE_LINK4"/>
      <w:bookmarkStart w:id="2" w:name="_GoBack"/>
      <w:r w:rsidR="00F563C7">
        <w:t>5.4.1.1.1(f) and carriage in accordance with 1.1.3.6</w:t>
      </w:r>
      <w:bookmarkEnd w:id="0"/>
      <w:bookmarkEnd w:id="1"/>
      <w:bookmarkEnd w:id="2"/>
    </w:p>
    <w:p w:rsidR="003B1A93" w:rsidRPr="00FF0F08" w:rsidRDefault="00706E4B" w:rsidP="002C2F08">
      <w:pPr>
        <w:pStyle w:val="H1G"/>
        <w:spacing w:before="240" w:after="120"/>
        <w:rPr>
          <w:color w:val="FF0000"/>
        </w:rPr>
      </w:pPr>
      <w:r>
        <w:tab/>
      </w:r>
      <w:r>
        <w:tab/>
        <w:t>Transmitted by the</w:t>
      </w:r>
      <w:r w:rsidRPr="00706E4B">
        <w:t xml:space="preserve"> International Road Transport Union (IRU)</w:t>
      </w:r>
      <w:r w:rsidR="00741BCC">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3B1A93" w:rsidRPr="00E62341" w:rsidTr="00E41980">
        <w:trPr>
          <w:jc w:val="center"/>
        </w:trPr>
        <w:tc>
          <w:tcPr>
            <w:tcW w:w="9637" w:type="dxa"/>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41980">
        <w:trPr>
          <w:jc w:val="center"/>
        </w:trPr>
        <w:tc>
          <w:tcPr>
            <w:tcW w:w="9637" w:type="dxa"/>
            <w:shd w:val="clear" w:color="auto" w:fill="auto"/>
          </w:tcPr>
          <w:p w:rsidR="003B1A93" w:rsidRPr="00870293" w:rsidRDefault="003B1A93" w:rsidP="00C41CF8">
            <w:pPr>
              <w:pStyle w:val="SingleTxtG"/>
              <w:tabs>
                <w:tab w:val="left" w:pos="3260"/>
                <w:tab w:val="left" w:pos="9355"/>
              </w:tabs>
              <w:ind w:left="3260" w:hanging="2126"/>
              <w:rPr>
                <w:iCs/>
                <w:szCs w:val="22"/>
              </w:rPr>
            </w:pPr>
            <w:r w:rsidRPr="00E62341">
              <w:rPr>
                <w:b/>
                <w:szCs w:val="22"/>
              </w:rPr>
              <w:t>Executive summary</w:t>
            </w:r>
            <w:r w:rsidRPr="00E62341">
              <w:rPr>
                <w:szCs w:val="22"/>
              </w:rPr>
              <w:t>:</w:t>
            </w:r>
            <w:r w:rsidRPr="00E62341">
              <w:rPr>
                <w:szCs w:val="22"/>
              </w:rPr>
              <w:tab/>
            </w:r>
            <w:r w:rsidR="00DA3908">
              <w:rPr>
                <w:bCs/>
                <w:szCs w:val="22"/>
              </w:rPr>
              <w:t>IRU support</w:t>
            </w:r>
            <w:r w:rsidR="00E41980">
              <w:rPr>
                <w:bCs/>
                <w:szCs w:val="22"/>
              </w:rPr>
              <w:t>s</w:t>
            </w:r>
            <w:r w:rsidR="00DA3908">
              <w:rPr>
                <w:bCs/>
                <w:szCs w:val="22"/>
              </w:rPr>
              <w:t xml:space="preserve"> and recommend</w:t>
            </w:r>
            <w:r w:rsidR="00E41980">
              <w:rPr>
                <w:bCs/>
                <w:szCs w:val="22"/>
              </w:rPr>
              <w:t>s</w:t>
            </w:r>
            <w:r w:rsidR="00DA3908">
              <w:rPr>
                <w:bCs/>
                <w:szCs w:val="22"/>
              </w:rPr>
              <w:t xml:space="preserve"> all Contracting Parties to adopt the </w:t>
            </w:r>
            <w:r w:rsidR="00706E4B" w:rsidRPr="00706E4B">
              <w:rPr>
                <w:iCs/>
                <w:szCs w:val="22"/>
              </w:rPr>
              <w:t>Swedish official documen</w:t>
            </w:r>
            <w:r w:rsidR="00706E4B">
              <w:rPr>
                <w:iCs/>
                <w:szCs w:val="22"/>
              </w:rPr>
              <w:t>t</w:t>
            </w:r>
            <w:r w:rsidR="00DA3908">
              <w:rPr>
                <w:iCs/>
                <w:szCs w:val="22"/>
              </w:rPr>
              <w:t xml:space="preserve"> </w:t>
            </w:r>
            <w:r w:rsidR="00DA3908" w:rsidRPr="00DA3908">
              <w:rPr>
                <w:iCs/>
                <w:szCs w:val="22"/>
              </w:rPr>
              <w:t>ECE/TRANS/WP.15/</w:t>
            </w:r>
            <w:r w:rsidR="005808BD">
              <w:rPr>
                <w:iCs/>
                <w:szCs w:val="22"/>
              </w:rPr>
              <w:t>2016/10</w:t>
            </w:r>
            <w:r w:rsidR="00870293">
              <w:rPr>
                <w:iCs/>
                <w:szCs w:val="22"/>
              </w:rPr>
              <w:t>, specifying</w:t>
            </w:r>
            <w:r w:rsidR="00706E4B">
              <w:rPr>
                <w:iCs/>
                <w:szCs w:val="22"/>
              </w:rPr>
              <w:t xml:space="preserve"> that having </w:t>
            </w:r>
            <w:r w:rsidR="00706E4B" w:rsidRPr="00706E4B">
              <w:rPr>
                <w:iCs/>
              </w:rPr>
              <w:t>the calculated value specified in the transport document would be useful for all participants involved in a transport operation when 1.1.3.6 is applied.</w:t>
            </w:r>
          </w:p>
        </w:tc>
      </w:tr>
      <w:tr w:rsidR="003B1A93" w:rsidRPr="00E62341" w:rsidTr="00E41980">
        <w:trPr>
          <w:jc w:val="center"/>
        </w:trPr>
        <w:tc>
          <w:tcPr>
            <w:tcW w:w="9637" w:type="dxa"/>
            <w:shd w:val="clear" w:color="auto" w:fill="auto"/>
          </w:tcPr>
          <w:p w:rsidR="003B1A93" w:rsidRPr="00E62341" w:rsidRDefault="003B1A93" w:rsidP="004D4D44">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rsidR="00A54B32">
              <w:t>Amend relevant parts of 1.1.3.6 and 5.4.1.1.1(f).</w:t>
            </w:r>
          </w:p>
        </w:tc>
      </w:tr>
      <w:tr w:rsidR="003B1A93" w:rsidRPr="00E62341" w:rsidTr="00E41980">
        <w:trPr>
          <w:jc w:val="center"/>
        </w:trPr>
        <w:tc>
          <w:tcPr>
            <w:tcW w:w="9637" w:type="dxa"/>
            <w:shd w:val="clear" w:color="auto" w:fill="auto"/>
          </w:tcPr>
          <w:p w:rsidR="003B1A93" w:rsidRDefault="003B1A93" w:rsidP="00706E4B">
            <w:pPr>
              <w:pStyle w:val="SingleTxtG"/>
              <w:tabs>
                <w:tab w:val="left" w:pos="3260"/>
              </w:tabs>
              <w:spacing w:after="0"/>
              <w:ind w:left="3260" w:hanging="2126"/>
              <w:jc w:val="left"/>
            </w:pPr>
            <w:r w:rsidRPr="00E62341">
              <w:rPr>
                <w:rFonts w:eastAsia="Arial"/>
                <w:b/>
              </w:rPr>
              <w:t>Reference document</w:t>
            </w:r>
            <w:r w:rsidRPr="00E62341">
              <w:rPr>
                <w:rFonts w:eastAsia="Arial"/>
              </w:rPr>
              <w:t>:</w:t>
            </w:r>
            <w:r w:rsidRPr="00E62341">
              <w:rPr>
                <w:rFonts w:eastAsia="Arial"/>
              </w:rPr>
              <w:tab/>
            </w:r>
            <w:r w:rsidR="00A54B32">
              <w:rPr>
                <w:lang w:eastAsia="fr-FR"/>
              </w:rPr>
              <w:t>ECE/TRANS/WP.15</w:t>
            </w:r>
            <w:r>
              <w:rPr>
                <w:lang w:eastAsia="fr-FR"/>
              </w:rPr>
              <w:t>/</w:t>
            </w:r>
            <w:r w:rsidRPr="00B232D3">
              <w:rPr>
                <w:lang w:eastAsia="fr-FR"/>
              </w:rPr>
              <w:t>2015/</w:t>
            </w:r>
            <w:r w:rsidR="00F30062">
              <w:rPr>
                <w:lang w:eastAsia="fr-FR"/>
              </w:rPr>
              <w:t>14</w:t>
            </w:r>
            <w:r w:rsidR="00A54B32">
              <w:rPr>
                <w:lang w:eastAsia="fr-FR"/>
              </w:rPr>
              <w:t xml:space="preserve"> (IRU)</w:t>
            </w:r>
            <w:r w:rsidR="003C0D40">
              <w:rPr>
                <w:lang w:eastAsia="fr-FR"/>
              </w:rPr>
              <w:br/>
            </w:r>
            <w:r w:rsidR="008A22A3">
              <w:rPr>
                <w:lang w:eastAsia="fr-FR"/>
              </w:rPr>
              <w:t xml:space="preserve">Informal document </w:t>
            </w:r>
            <w:r w:rsidR="003C0D40">
              <w:rPr>
                <w:lang w:eastAsia="fr-FR"/>
              </w:rPr>
              <w:t xml:space="preserve">INF.10 (CEFIC) from the </w:t>
            </w:r>
            <w:r w:rsidR="008A22A3">
              <w:rPr>
                <w:lang w:eastAsia="fr-FR"/>
              </w:rPr>
              <w:t>ninety-ninth</w:t>
            </w:r>
            <w:r w:rsidR="003C0D40">
              <w:rPr>
                <w:lang w:eastAsia="fr-FR"/>
              </w:rPr>
              <w:t xml:space="preserve"> session of WP.15</w:t>
            </w:r>
            <w:r w:rsidR="00A54B32">
              <w:rPr>
                <w:lang w:eastAsia="fr-FR"/>
              </w:rPr>
              <w:br/>
            </w:r>
            <w:r w:rsidR="003C0D40">
              <w:rPr>
                <w:lang w:eastAsia="fr-FR"/>
              </w:rPr>
              <w:t xml:space="preserve">ECE/TRANS/WP.15/230, Report from the </w:t>
            </w:r>
            <w:r w:rsidR="008A22A3">
              <w:rPr>
                <w:lang w:eastAsia="fr-FR"/>
              </w:rPr>
              <w:t>ninety-ninth</w:t>
            </w:r>
            <w:r w:rsidR="003C0D40">
              <w:rPr>
                <w:lang w:eastAsia="fr-FR"/>
              </w:rPr>
              <w:t xml:space="preserve"> session of WP.15 </w:t>
            </w:r>
            <w:r w:rsidR="00A54B32">
              <w:br/>
            </w:r>
            <w:r w:rsidR="008A22A3">
              <w:t>ECE/TR</w:t>
            </w:r>
            <w:r w:rsidR="003C0D40">
              <w:t>ANS/WP.15/2016/3 (IRU)</w:t>
            </w:r>
            <w:r w:rsidR="003C0D40">
              <w:br/>
            </w:r>
            <w:r w:rsidR="008A22A3">
              <w:t xml:space="preserve">Informal document </w:t>
            </w:r>
            <w:r w:rsidR="00A54B32">
              <w:t>INF.24 (Sweden) from the 100</w:t>
            </w:r>
            <w:r w:rsidR="00A54B32" w:rsidRPr="00A54B32">
              <w:rPr>
                <w:vertAlign w:val="superscript"/>
              </w:rPr>
              <w:t>th</w:t>
            </w:r>
            <w:r w:rsidR="00A54B32">
              <w:t xml:space="preserve"> session</w:t>
            </w:r>
            <w:r w:rsidR="003C0D40">
              <w:t xml:space="preserve"> of WP.15</w:t>
            </w:r>
            <w:r w:rsidR="00A54B32">
              <w:br/>
              <w:t xml:space="preserve">ECE/TRANS/WP.15/233, Report </w:t>
            </w:r>
            <w:r w:rsidR="003C0D40">
              <w:t>from the 100</w:t>
            </w:r>
            <w:r w:rsidR="003C0D40" w:rsidRPr="003C0D40">
              <w:rPr>
                <w:vertAlign w:val="superscript"/>
              </w:rPr>
              <w:t>th</w:t>
            </w:r>
            <w:r w:rsidR="003C0D40">
              <w:t xml:space="preserve"> session of WP.15</w:t>
            </w:r>
          </w:p>
          <w:p w:rsidR="00706E4B" w:rsidRPr="00E132FB" w:rsidRDefault="005808BD" w:rsidP="00706E4B">
            <w:pPr>
              <w:pStyle w:val="SingleTxtG"/>
              <w:tabs>
                <w:tab w:val="left" w:pos="3260"/>
              </w:tabs>
              <w:spacing w:after="0"/>
              <w:ind w:left="3260"/>
              <w:jc w:val="left"/>
            </w:pPr>
            <w:r>
              <w:t>ECE/TRANS/WP.15/2016/10</w:t>
            </w:r>
            <w:r w:rsidR="00706E4B" w:rsidRPr="00706E4B">
              <w:t xml:space="preserve"> (Sweden)</w:t>
            </w:r>
          </w:p>
        </w:tc>
      </w:tr>
      <w:tr w:rsidR="00CE7F37" w:rsidRPr="00E62341" w:rsidTr="00E41980">
        <w:trPr>
          <w:jc w:val="center"/>
        </w:trPr>
        <w:tc>
          <w:tcPr>
            <w:tcW w:w="9637" w:type="dxa"/>
            <w:shd w:val="clear" w:color="auto" w:fill="auto"/>
          </w:tcPr>
          <w:p w:rsidR="00CE7F37" w:rsidRPr="00E62341" w:rsidRDefault="00CE7F37" w:rsidP="00706E4B">
            <w:pPr>
              <w:pStyle w:val="SingleTxtG"/>
              <w:tabs>
                <w:tab w:val="left" w:pos="3260"/>
              </w:tabs>
              <w:spacing w:after="0"/>
              <w:ind w:left="3260" w:hanging="2126"/>
              <w:jc w:val="left"/>
              <w:rPr>
                <w:rFonts w:eastAsia="Arial"/>
                <w:b/>
              </w:rPr>
            </w:pPr>
          </w:p>
        </w:tc>
      </w:tr>
    </w:tbl>
    <w:p w:rsidR="007A5056" w:rsidRDefault="003B1A93" w:rsidP="00BA062A">
      <w:pPr>
        <w:pStyle w:val="HChG"/>
        <w:spacing w:before="120"/>
      </w:pPr>
      <w:r>
        <w:tab/>
      </w:r>
      <w:r>
        <w:tab/>
      </w:r>
    </w:p>
    <w:p w:rsidR="006E0F9B" w:rsidRPr="00F50D40" w:rsidRDefault="007A5056" w:rsidP="00FF0F08">
      <w:pPr>
        <w:pStyle w:val="HChG"/>
        <w:rPr>
          <w:rFonts w:eastAsiaTheme="minorHAnsi"/>
        </w:rPr>
      </w:pPr>
      <w:r>
        <w:br w:type="page"/>
      </w:r>
      <w:r w:rsidR="00FF0F08">
        <w:lastRenderedPageBreak/>
        <w:tab/>
      </w:r>
      <w:r w:rsidR="00FF0F08">
        <w:tab/>
      </w:r>
      <w:r w:rsidR="00DA3908">
        <w:rPr>
          <w:rFonts w:eastAsiaTheme="minorHAnsi"/>
        </w:rPr>
        <w:t>Background</w:t>
      </w:r>
    </w:p>
    <w:p w:rsidR="00870293" w:rsidRDefault="00FF0F08" w:rsidP="00FF0F08">
      <w:pPr>
        <w:pStyle w:val="SingleTxtG"/>
        <w:rPr>
          <w:lang w:val="en-US"/>
        </w:rPr>
      </w:pPr>
      <w:r>
        <w:rPr>
          <w:lang w:val="en-US"/>
        </w:rPr>
        <w:t>1.</w:t>
      </w:r>
      <w:r>
        <w:rPr>
          <w:lang w:val="en-US"/>
        </w:rPr>
        <w:tab/>
      </w:r>
      <w:r w:rsidR="00DA3908" w:rsidRPr="00870293">
        <w:rPr>
          <w:lang w:val="en-US"/>
        </w:rPr>
        <w:t xml:space="preserve">As a reminder, the interpretation of sub-section 5.4.1.1.1(f) poses problems for transport companies whose drivers are not familiar with the ADR. </w:t>
      </w:r>
    </w:p>
    <w:p w:rsidR="00870293" w:rsidRPr="00870293" w:rsidRDefault="00FF0F08" w:rsidP="00FF0F08">
      <w:pPr>
        <w:pStyle w:val="SingleTxtG"/>
        <w:rPr>
          <w:rFonts w:eastAsiaTheme="minorHAnsi"/>
        </w:rPr>
      </w:pPr>
      <w:r>
        <w:rPr>
          <w:rFonts w:eastAsiaTheme="minorHAnsi"/>
        </w:rPr>
        <w:t>2.</w:t>
      </w:r>
      <w:r>
        <w:rPr>
          <w:rFonts w:eastAsiaTheme="minorHAnsi"/>
        </w:rPr>
        <w:tab/>
      </w:r>
      <w:r w:rsidR="00DA3908" w:rsidRPr="00870293">
        <w:rPr>
          <w:rFonts w:eastAsiaTheme="minorHAnsi"/>
        </w:rPr>
        <w:t xml:space="preserve">ADR sub-section 5.4.1.1 does not specify </w:t>
      </w:r>
      <w:r w:rsidR="00DA3908" w:rsidRPr="00870293">
        <w:rPr>
          <w:rFonts w:eastAsiaTheme="minorHAnsi"/>
          <w:lang w:val="en-US"/>
        </w:rPr>
        <w:t xml:space="preserve">the calculated values </w:t>
      </w:r>
      <w:r w:rsidR="00DA3908" w:rsidRPr="00870293">
        <w:rPr>
          <w:rFonts w:eastAsiaTheme="minorHAnsi"/>
        </w:rPr>
        <w:t>required to determine the maximum quantity as per sub-section 1.1.3.6. In theory, t</w:t>
      </w:r>
      <w:r w:rsidR="00DA3908" w:rsidRPr="00870293">
        <w:rPr>
          <w:rFonts w:eastAsiaTheme="minorHAnsi"/>
          <w:lang w:val="en-US"/>
        </w:rPr>
        <w:t>his implies that drivers must know all of the calculations according to the transport category for each type of dangerous good.</w:t>
      </w:r>
    </w:p>
    <w:p w:rsidR="00870293" w:rsidRDefault="00FF0F08" w:rsidP="00FF0F08">
      <w:pPr>
        <w:pStyle w:val="SingleTxtG"/>
        <w:rPr>
          <w:rFonts w:eastAsiaTheme="minorHAnsi"/>
        </w:rPr>
      </w:pPr>
      <w:r>
        <w:rPr>
          <w:rFonts w:eastAsiaTheme="minorHAnsi"/>
        </w:rPr>
        <w:t>3.</w:t>
      </w:r>
      <w:r>
        <w:rPr>
          <w:rFonts w:eastAsiaTheme="minorHAnsi"/>
        </w:rPr>
        <w:tab/>
      </w:r>
      <w:r w:rsidR="00DA3908" w:rsidRPr="00870293">
        <w:rPr>
          <w:rFonts w:eastAsiaTheme="minorHAnsi"/>
        </w:rPr>
        <w:t>Drivers performing such deliveries on a daily basis may well be in breach of the rules, as they generally do not have the ADR regulations and are hence unable to calculate the values (in calculated values) as per 1.1.3.6.</w:t>
      </w:r>
    </w:p>
    <w:p w:rsidR="00870293" w:rsidRPr="00870293" w:rsidRDefault="00FF0F08" w:rsidP="00FF0F08">
      <w:pPr>
        <w:pStyle w:val="SingleTxtG"/>
        <w:rPr>
          <w:rFonts w:eastAsiaTheme="minorHAnsi"/>
        </w:rPr>
      </w:pPr>
      <w:r>
        <w:rPr>
          <w:rFonts w:eastAsiaTheme="minorHAnsi"/>
        </w:rPr>
        <w:t>4.</w:t>
      </w:r>
      <w:r>
        <w:rPr>
          <w:rFonts w:eastAsiaTheme="minorHAnsi"/>
        </w:rPr>
        <w:tab/>
      </w:r>
      <w:r w:rsidR="00DA3908" w:rsidRPr="00870293">
        <w:rPr>
          <w:rFonts w:eastAsiaTheme="minorHAnsi"/>
        </w:rPr>
        <w:t>The total quantity of dangerous goods for each transport category and the sum of these calculated values shall be indicated in the transport document in accordance with 1.1.3.6.3.</w:t>
      </w:r>
    </w:p>
    <w:p w:rsidR="00DA3908" w:rsidRPr="00870293" w:rsidRDefault="00FF0F08" w:rsidP="00FF0F08">
      <w:pPr>
        <w:pStyle w:val="SingleTxtG"/>
        <w:rPr>
          <w:rFonts w:eastAsiaTheme="minorHAnsi"/>
        </w:rPr>
      </w:pPr>
      <w:r>
        <w:rPr>
          <w:rFonts w:eastAsiaTheme="minorHAnsi"/>
        </w:rPr>
        <w:t>5.</w:t>
      </w:r>
      <w:r>
        <w:rPr>
          <w:rFonts w:eastAsiaTheme="minorHAnsi"/>
        </w:rPr>
        <w:tab/>
      </w:r>
      <w:r w:rsidR="00DA3908" w:rsidRPr="00870293">
        <w:rPr>
          <w:rFonts w:eastAsiaTheme="minorHAnsi"/>
        </w:rPr>
        <w:t>The Swedish Delegation, who supported our initiative at</w:t>
      </w:r>
      <w:r w:rsidR="0004243B">
        <w:rPr>
          <w:rFonts w:eastAsiaTheme="minorHAnsi"/>
        </w:rPr>
        <w:t xml:space="preserve"> the</w:t>
      </w:r>
      <w:r w:rsidR="00DA3908" w:rsidRPr="00870293">
        <w:rPr>
          <w:rFonts w:eastAsiaTheme="minorHAnsi"/>
        </w:rPr>
        <w:t xml:space="preserve"> </w:t>
      </w:r>
      <w:r w:rsidR="00C41CF8">
        <w:rPr>
          <w:rFonts w:eastAsiaTheme="minorHAnsi"/>
        </w:rPr>
        <w:t>a</w:t>
      </w:r>
      <w:r w:rsidR="00DA3908" w:rsidRPr="00870293">
        <w:rPr>
          <w:rFonts w:eastAsiaTheme="minorHAnsi"/>
        </w:rPr>
        <w:t xml:space="preserve"> previous meeting, has submitted an official document, indicating that during the discussions with Contracting Parties, it was expressed that having the calculated value specified in the transport document would be useful for all participants involved in a transport operation when 1.1.3.6 is applied.</w:t>
      </w:r>
    </w:p>
    <w:p w:rsidR="006E0F9B" w:rsidRPr="00A63064" w:rsidRDefault="00FF0F08" w:rsidP="00FF0F08">
      <w:pPr>
        <w:pStyle w:val="H1G"/>
        <w:rPr>
          <w:rFonts w:eastAsiaTheme="minorHAnsi"/>
        </w:rPr>
      </w:pPr>
      <w:r>
        <w:rPr>
          <w:rFonts w:eastAsiaTheme="minorHAnsi"/>
        </w:rPr>
        <w:tab/>
      </w:r>
      <w:r>
        <w:rPr>
          <w:rFonts w:eastAsiaTheme="minorHAnsi"/>
        </w:rPr>
        <w:tab/>
      </w:r>
      <w:r w:rsidR="00DA3908">
        <w:rPr>
          <w:rFonts w:eastAsiaTheme="minorHAnsi"/>
        </w:rPr>
        <w:t xml:space="preserve">Observations and support to </w:t>
      </w:r>
      <w:r w:rsidR="00DA12C2">
        <w:rPr>
          <w:rFonts w:eastAsiaTheme="minorHAnsi"/>
        </w:rPr>
        <w:t>ECE/TRANS/WP.15/2016/10</w:t>
      </w:r>
      <w:r w:rsidR="00DA3908" w:rsidRPr="00DA3908">
        <w:rPr>
          <w:rFonts w:eastAsiaTheme="minorHAnsi"/>
        </w:rPr>
        <w:t xml:space="preserve"> (Sweden)</w:t>
      </w:r>
    </w:p>
    <w:p w:rsidR="00870293" w:rsidRDefault="00FF0F08" w:rsidP="00FF0F08">
      <w:pPr>
        <w:pStyle w:val="SingleTxtG"/>
        <w:rPr>
          <w:rFonts w:eastAsiaTheme="minorHAnsi"/>
        </w:rPr>
      </w:pPr>
      <w:r>
        <w:rPr>
          <w:rFonts w:eastAsiaTheme="minorHAnsi"/>
        </w:rPr>
        <w:t>6.</w:t>
      </w:r>
      <w:r>
        <w:rPr>
          <w:rFonts w:eastAsiaTheme="minorHAnsi"/>
        </w:rPr>
        <w:tab/>
      </w:r>
      <w:r w:rsidR="00DA3908" w:rsidRPr="00870293">
        <w:rPr>
          <w:rFonts w:eastAsiaTheme="minorHAnsi"/>
        </w:rPr>
        <w:t>As stated during the last meeting of the WP.15, the above-mentioned proposal presented by Sweden was agreed in principle by contracting parties.</w:t>
      </w:r>
    </w:p>
    <w:p w:rsidR="00870293" w:rsidRDefault="00FF0F08" w:rsidP="00FF0F08">
      <w:pPr>
        <w:pStyle w:val="SingleTxtG"/>
        <w:rPr>
          <w:rFonts w:eastAsiaTheme="minorHAnsi"/>
        </w:rPr>
      </w:pPr>
      <w:r>
        <w:rPr>
          <w:rFonts w:eastAsiaTheme="minorHAnsi"/>
        </w:rPr>
        <w:t>7.</w:t>
      </w:r>
      <w:r>
        <w:rPr>
          <w:rFonts w:eastAsiaTheme="minorHAnsi"/>
        </w:rPr>
        <w:tab/>
      </w:r>
      <w:r w:rsidR="00DA3908" w:rsidRPr="00870293">
        <w:rPr>
          <w:rFonts w:eastAsiaTheme="minorHAnsi"/>
        </w:rPr>
        <w:t xml:space="preserve">IRU supports the draft proposal 3 made by Sweden to simplify sub-section 1.1.3.6.4. </w:t>
      </w:r>
    </w:p>
    <w:p w:rsidR="00870293" w:rsidRDefault="00FF0F08" w:rsidP="00FF0F08">
      <w:pPr>
        <w:pStyle w:val="SingleTxtG"/>
        <w:rPr>
          <w:rFonts w:eastAsiaTheme="minorHAnsi"/>
        </w:rPr>
      </w:pPr>
      <w:r>
        <w:rPr>
          <w:rFonts w:eastAsiaTheme="minorHAnsi"/>
        </w:rPr>
        <w:t>8.</w:t>
      </w:r>
      <w:r>
        <w:rPr>
          <w:rFonts w:eastAsiaTheme="minorHAnsi"/>
        </w:rPr>
        <w:tab/>
      </w:r>
      <w:r w:rsidR="00DA3908" w:rsidRPr="00870293">
        <w:rPr>
          <w:rFonts w:eastAsiaTheme="minorHAnsi"/>
        </w:rPr>
        <w:t>The amendment makes clear that the value should always be indicated in the transport document and covers all dangerous goods, whether they belong to different transport categories or to the same.</w:t>
      </w:r>
    </w:p>
    <w:p w:rsidR="00870293" w:rsidRDefault="00FF0F08" w:rsidP="00FF0F08">
      <w:pPr>
        <w:pStyle w:val="SingleTxtG"/>
        <w:rPr>
          <w:rFonts w:eastAsiaTheme="minorHAnsi"/>
        </w:rPr>
      </w:pPr>
      <w:r>
        <w:rPr>
          <w:rFonts w:eastAsiaTheme="minorHAnsi"/>
        </w:rPr>
        <w:t>9.</w:t>
      </w:r>
      <w:r>
        <w:rPr>
          <w:rFonts w:eastAsiaTheme="minorHAnsi"/>
        </w:rPr>
        <w:tab/>
      </w:r>
      <w:r w:rsidR="00DA3908" w:rsidRPr="00870293">
        <w:rPr>
          <w:rFonts w:eastAsiaTheme="minorHAnsi"/>
        </w:rPr>
        <w:t>At the end of the section, the amendment before “1000” to add “a calculated value” clarifies the information in the transport document when consignors/carriers avail of 1.1.3.6.</w:t>
      </w:r>
    </w:p>
    <w:p w:rsidR="00870293" w:rsidRDefault="00FF0F08" w:rsidP="00FF0F08">
      <w:pPr>
        <w:pStyle w:val="SingleTxtG"/>
        <w:rPr>
          <w:rFonts w:eastAsiaTheme="minorHAnsi"/>
        </w:rPr>
      </w:pPr>
      <w:r>
        <w:rPr>
          <w:rFonts w:eastAsiaTheme="minorHAnsi"/>
        </w:rPr>
        <w:t>10.</w:t>
      </w:r>
      <w:r>
        <w:rPr>
          <w:rFonts w:eastAsiaTheme="minorHAnsi"/>
        </w:rPr>
        <w:tab/>
      </w:r>
      <w:r w:rsidR="00DA3908" w:rsidRPr="00870293">
        <w:rPr>
          <w:rFonts w:eastAsiaTheme="minorHAnsi"/>
        </w:rPr>
        <w:t xml:space="preserve">IRU welcome the </w:t>
      </w:r>
      <w:r w:rsidR="0004243B">
        <w:rPr>
          <w:rFonts w:eastAsiaTheme="minorHAnsi"/>
        </w:rPr>
        <w:t xml:space="preserve">draft </w:t>
      </w:r>
      <w:r w:rsidR="00DA3908" w:rsidRPr="00870293">
        <w:rPr>
          <w:rFonts w:eastAsiaTheme="minorHAnsi"/>
        </w:rPr>
        <w:t xml:space="preserve">proposal 4, to amend Note 1 of sub-section 5.4.1.1.1(f) to add after the total quantity “and the calculated value”; the driver will be able to assess the values for the maximum quantity and will avoid </w:t>
      </w:r>
      <w:r w:rsidR="00C41CF8" w:rsidRPr="00870293">
        <w:rPr>
          <w:rFonts w:eastAsiaTheme="minorHAnsi"/>
        </w:rPr>
        <w:t>expo</w:t>
      </w:r>
      <w:r w:rsidR="00C41CF8">
        <w:rPr>
          <w:rFonts w:eastAsiaTheme="minorHAnsi"/>
        </w:rPr>
        <w:t xml:space="preserve">sing </w:t>
      </w:r>
      <w:r w:rsidR="00870293">
        <w:rPr>
          <w:rFonts w:eastAsiaTheme="minorHAnsi"/>
        </w:rPr>
        <w:t>himself/herself to sanctions</w:t>
      </w:r>
      <w:r w:rsidR="00DA3908" w:rsidRPr="00870293">
        <w:rPr>
          <w:rFonts w:eastAsiaTheme="minorHAnsi"/>
        </w:rPr>
        <w:t>.</w:t>
      </w:r>
    </w:p>
    <w:p w:rsidR="00E41980" w:rsidRDefault="00FF0F08" w:rsidP="00FF0F08">
      <w:pPr>
        <w:pStyle w:val="SingleTxtG"/>
        <w:rPr>
          <w:rFonts w:eastAsiaTheme="minorHAnsi"/>
        </w:rPr>
      </w:pPr>
      <w:r>
        <w:rPr>
          <w:rFonts w:eastAsiaTheme="minorHAnsi"/>
        </w:rPr>
        <w:t>11.</w:t>
      </w:r>
      <w:r>
        <w:rPr>
          <w:rFonts w:eastAsiaTheme="minorHAnsi"/>
        </w:rPr>
        <w:tab/>
      </w:r>
      <w:r w:rsidR="00DA3908" w:rsidRPr="00870293">
        <w:rPr>
          <w:rFonts w:eastAsiaTheme="minorHAnsi"/>
        </w:rPr>
        <w:t>For all proposed amendments concerning proposals 1, 2 and 5, it would clearly improve the text and therefore</w:t>
      </w:r>
      <w:r w:rsidR="00C41CF8">
        <w:rPr>
          <w:rFonts w:eastAsiaTheme="minorHAnsi"/>
        </w:rPr>
        <w:t>,</w:t>
      </w:r>
      <w:r w:rsidR="00DA3908" w:rsidRPr="00870293">
        <w:rPr>
          <w:rFonts w:eastAsiaTheme="minorHAnsi"/>
        </w:rPr>
        <w:t xml:space="preserve"> transport safety, avoiding any confusion in the interpretation of texts and the calculation of the exemption and facilitate the application of sub-sections 1.1.3.6 and 5.4.1.1.1(f).</w:t>
      </w:r>
    </w:p>
    <w:p w:rsidR="00E41980" w:rsidRPr="00E41980" w:rsidRDefault="00FF0F08" w:rsidP="00FF0F08">
      <w:pPr>
        <w:pStyle w:val="HChG"/>
        <w:rPr>
          <w:rFonts w:eastAsiaTheme="minorHAnsi"/>
        </w:rPr>
      </w:pPr>
      <w:r>
        <w:rPr>
          <w:rFonts w:eastAsiaTheme="minorHAnsi"/>
        </w:rPr>
        <w:tab/>
      </w:r>
      <w:r>
        <w:rPr>
          <w:rFonts w:eastAsiaTheme="minorHAnsi"/>
        </w:rPr>
        <w:tab/>
      </w:r>
      <w:r w:rsidR="00E41980" w:rsidRPr="00E41980">
        <w:rPr>
          <w:rFonts w:eastAsiaTheme="minorHAnsi"/>
        </w:rPr>
        <w:t>Justification</w:t>
      </w:r>
    </w:p>
    <w:p w:rsidR="00E41980" w:rsidRPr="00FA74C4" w:rsidRDefault="00E41980" w:rsidP="00FF0F08">
      <w:pPr>
        <w:pStyle w:val="SingleTxtG"/>
      </w:pPr>
      <w:r w:rsidRPr="00FA74C4">
        <w:t>Safety:</w:t>
      </w:r>
      <w:r w:rsidR="00623599">
        <w:tab/>
      </w:r>
      <w:r w:rsidR="00623599">
        <w:tab/>
      </w:r>
      <w:r w:rsidRPr="00FA74C4">
        <w:rPr>
          <w:b/>
        </w:rPr>
        <w:t xml:space="preserve"> </w:t>
      </w:r>
      <w:r w:rsidRPr="00FA74C4">
        <w:t>Clear text improves transport safety.</w:t>
      </w:r>
    </w:p>
    <w:p w:rsidR="00E41980" w:rsidRPr="00FA74C4" w:rsidRDefault="00E41980" w:rsidP="00FF0F08">
      <w:pPr>
        <w:pStyle w:val="SingleTxtG"/>
        <w:rPr>
          <w:b/>
        </w:rPr>
      </w:pPr>
      <w:r w:rsidRPr="00FA74C4">
        <w:t xml:space="preserve">Feasibility: </w:t>
      </w:r>
      <w:r w:rsidR="00623599">
        <w:tab/>
      </w:r>
      <w:r w:rsidRPr="00A867C2">
        <w:t>Avoids any confusion in the interpretation of texts.</w:t>
      </w:r>
    </w:p>
    <w:p w:rsidR="00E41980" w:rsidRDefault="00E41980" w:rsidP="00FF0F08">
      <w:pPr>
        <w:pStyle w:val="SingleTxtG"/>
      </w:pPr>
      <w:proofErr w:type="gramStart"/>
      <w:r w:rsidRPr="00A867C2">
        <w:t xml:space="preserve">Facilitates the application of </w:t>
      </w:r>
      <w:r>
        <w:t xml:space="preserve">sub-sections 1.1.3.6 and </w:t>
      </w:r>
      <w:r w:rsidRPr="00A867C2">
        <w:t>5.4.1.1.1</w:t>
      </w:r>
      <w:r>
        <w:t>(f)</w:t>
      </w:r>
      <w:r w:rsidRPr="00A867C2">
        <w:t>.</w:t>
      </w:r>
      <w:proofErr w:type="gramEnd"/>
    </w:p>
    <w:p w:rsidR="00FF0F08" w:rsidRPr="00FF0F08" w:rsidRDefault="00FF0F08" w:rsidP="00FF0F08">
      <w:pPr>
        <w:pStyle w:val="SingleTxtG"/>
        <w:spacing w:before="240" w:after="0"/>
        <w:jc w:val="center"/>
        <w:rPr>
          <w:u w:val="single"/>
        </w:rPr>
      </w:pPr>
      <w:r>
        <w:rPr>
          <w:u w:val="single"/>
        </w:rPr>
        <w:tab/>
      </w:r>
      <w:r>
        <w:rPr>
          <w:u w:val="single"/>
        </w:rPr>
        <w:tab/>
      </w:r>
      <w:r>
        <w:rPr>
          <w:u w:val="single"/>
        </w:rPr>
        <w:tab/>
      </w:r>
    </w:p>
    <w:sectPr w:rsidR="00FF0F08" w:rsidRPr="00FF0F08" w:rsidSect="008A7ACD">
      <w:headerReference w:type="even" r:id="rId10"/>
      <w:headerReference w:type="default" r:id="rId11"/>
      <w:footerReference w:type="even" r:id="rId12"/>
      <w:footerReference w:type="default" r:id="rId13"/>
      <w:endnotePr>
        <w:numFmt w:val="decimal"/>
      </w:endnotePr>
      <w:type w:val="continuous"/>
      <w:pgSz w:w="11907" w:h="16840" w:code="9"/>
      <w:pgMar w:top="1701" w:right="1134" w:bottom="85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58" w:rsidRDefault="00555858"/>
  </w:endnote>
  <w:endnote w:type="continuationSeparator" w:id="0">
    <w:p w:rsidR="00555858" w:rsidRDefault="00555858"/>
  </w:endnote>
  <w:endnote w:type="continuationNotice" w:id="1">
    <w:p w:rsidR="00555858" w:rsidRDefault="0055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AF3B69" w:rsidP="001330DE">
    <w:pPr>
      <w:pStyle w:val="Footer"/>
      <w:tabs>
        <w:tab w:val="right" w:pos="9598"/>
      </w:tabs>
    </w:pPr>
    <w:r w:rsidRPr="001330DE">
      <w:rPr>
        <w:b/>
        <w:sz w:val="18"/>
      </w:rPr>
      <w:fldChar w:fldCharType="begin"/>
    </w:r>
    <w:r w:rsidR="00C468E4" w:rsidRPr="001330DE">
      <w:rPr>
        <w:b/>
        <w:sz w:val="18"/>
      </w:rPr>
      <w:instrText xml:space="preserve"> PAGE  \* MERGEFORMAT </w:instrText>
    </w:r>
    <w:r w:rsidRPr="001330DE">
      <w:rPr>
        <w:b/>
        <w:sz w:val="18"/>
      </w:rPr>
      <w:fldChar w:fldCharType="separate"/>
    </w:r>
    <w:r w:rsidR="001F572E">
      <w:rPr>
        <w:b/>
        <w:noProof/>
        <w:sz w:val="18"/>
      </w:rPr>
      <w:t>2</w:t>
    </w:r>
    <w:r w:rsidRPr="001330DE">
      <w:rPr>
        <w:b/>
        <w:sz w:val="18"/>
      </w:rPr>
      <w:fldChar w:fldCharType="end"/>
    </w:r>
    <w:r w:rsidR="00C468E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ab/>
    </w:r>
    <w:r w:rsidR="00AF3B69" w:rsidRPr="001330DE">
      <w:rPr>
        <w:b/>
        <w:sz w:val="18"/>
      </w:rPr>
      <w:fldChar w:fldCharType="begin"/>
    </w:r>
    <w:r w:rsidRPr="001330DE">
      <w:rPr>
        <w:b/>
        <w:sz w:val="18"/>
      </w:rPr>
      <w:instrText xml:space="preserve"> PAGE  \* MERGEFORMAT </w:instrText>
    </w:r>
    <w:r w:rsidR="00AF3B69" w:rsidRPr="001330DE">
      <w:rPr>
        <w:b/>
        <w:sz w:val="18"/>
      </w:rPr>
      <w:fldChar w:fldCharType="separate"/>
    </w:r>
    <w:r w:rsidR="00FF0F08">
      <w:rPr>
        <w:b/>
        <w:noProof/>
        <w:sz w:val="18"/>
      </w:rPr>
      <w:t>3</w:t>
    </w:r>
    <w:r w:rsidR="00AF3B69"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58" w:rsidRPr="000B175B" w:rsidRDefault="00555858" w:rsidP="000B175B">
      <w:pPr>
        <w:tabs>
          <w:tab w:val="right" w:pos="2155"/>
        </w:tabs>
        <w:spacing w:after="80"/>
        <w:ind w:left="680"/>
        <w:rPr>
          <w:u w:val="single"/>
        </w:rPr>
      </w:pPr>
      <w:r>
        <w:rPr>
          <w:u w:val="single"/>
        </w:rPr>
        <w:tab/>
      </w:r>
    </w:p>
  </w:footnote>
  <w:footnote w:type="continuationSeparator" w:id="0">
    <w:p w:rsidR="00555858" w:rsidRPr="00FC68B7" w:rsidRDefault="00555858" w:rsidP="00FC68B7">
      <w:pPr>
        <w:tabs>
          <w:tab w:val="left" w:pos="2155"/>
        </w:tabs>
        <w:spacing w:after="80"/>
        <w:ind w:left="680"/>
        <w:rPr>
          <w:u w:val="single"/>
        </w:rPr>
      </w:pPr>
      <w:r>
        <w:rPr>
          <w:u w:val="single"/>
        </w:rPr>
        <w:tab/>
      </w:r>
    </w:p>
  </w:footnote>
  <w:footnote w:type="continuationNotice" w:id="1">
    <w:p w:rsidR="00555858" w:rsidRDefault="00555858"/>
  </w:footnote>
  <w:footnote w:id="2">
    <w:p w:rsidR="00741BCC" w:rsidRPr="00741BCC" w:rsidRDefault="00741BCC">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AC251B">
      <w:t>1</w:t>
    </w:r>
    <w:r w:rsidR="00CE7F3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rsidR="003B1A9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3B3120"/>
    <w:multiLevelType w:val="hybridMultilevel"/>
    <w:tmpl w:val="4AF88A68"/>
    <w:lvl w:ilvl="0" w:tplc="E1449E38">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21AF0"/>
    <w:multiLevelType w:val="hybridMultilevel"/>
    <w:tmpl w:val="165411BA"/>
    <w:lvl w:ilvl="0" w:tplc="F056A52C">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1">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9"/>
  </w:num>
  <w:num w:numId="15">
    <w:abstractNumId w:val="12"/>
  </w:num>
  <w:num w:numId="16">
    <w:abstractNumId w:val="11"/>
  </w:num>
  <w:num w:numId="17">
    <w:abstractNumId w:val="21"/>
  </w:num>
  <w:num w:numId="18">
    <w:abstractNumId w:val="16"/>
  </w:num>
  <w:num w:numId="19">
    <w:abstractNumId w:val="22"/>
  </w:num>
  <w:num w:numId="20">
    <w:abstractNumId w:val="20"/>
  </w:num>
  <w:num w:numId="21">
    <w:abstractNumId w:val="14"/>
  </w:num>
  <w:num w:numId="22">
    <w:abstractNumId w:val="15"/>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329FF"/>
    <w:rsid w:val="0004243B"/>
    <w:rsid w:val="00046B1F"/>
    <w:rsid w:val="00050F6B"/>
    <w:rsid w:val="00053178"/>
    <w:rsid w:val="00057E97"/>
    <w:rsid w:val="00072888"/>
    <w:rsid w:val="00072C8C"/>
    <w:rsid w:val="000733B5"/>
    <w:rsid w:val="00081815"/>
    <w:rsid w:val="00083C51"/>
    <w:rsid w:val="00085A33"/>
    <w:rsid w:val="0009185F"/>
    <w:rsid w:val="000931C0"/>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572E"/>
    <w:rsid w:val="001F6AFB"/>
    <w:rsid w:val="00202DA8"/>
    <w:rsid w:val="00207720"/>
    <w:rsid w:val="00211E0B"/>
    <w:rsid w:val="0021665B"/>
    <w:rsid w:val="00236DAD"/>
    <w:rsid w:val="00250738"/>
    <w:rsid w:val="00267F5F"/>
    <w:rsid w:val="00286B4D"/>
    <w:rsid w:val="002879BE"/>
    <w:rsid w:val="00290814"/>
    <w:rsid w:val="002C2F08"/>
    <w:rsid w:val="002D4643"/>
    <w:rsid w:val="002E49A7"/>
    <w:rsid w:val="002F175C"/>
    <w:rsid w:val="00302E18"/>
    <w:rsid w:val="00306B2B"/>
    <w:rsid w:val="00312263"/>
    <w:rsid w:val="003229D8"/>
    <w:rsid w:val="00332DF3"/>
    <w:rsid w:val="00352709"/>
    <w:rsid w:val="003639E8"/>
    <w:rsid w:val="00364574"/>
    <w:rsid w:val="00371178"/>
    <w:rsid w:val="0038358B"/>
    <w:rsid w:val="00387DA8"/>
    <w:rsid w:val="003A6810"/>
    <w:rsid w:val="003A6B33"/>
    <w:rsid w:val="003B1A93"/>
    <w:rsid w:val="003C0D40"/>
    <w:rsid w:val="003C2CC4"/>
    <w:rsid w:val="003C6D1D"/>
    <w:rsid w:val="003D4B23"/>
    <w:rsid w:val="003E0029"/>
    <w:rsid w:val="003E7B5F"/>
    <w:rsid w:val="00410C89"/>
    <w:rsid w:val="00422E03"/>
    <w:rsid w:val="00426B9B"/>
    <w:rsid w:val="00431164"/>
    <w:rsid w:val="004325CB"/>
    <w:rsid w:val="00432E7C"/>
    <w:rsid w:val="00440193"/>
    <w:rsid w:val="00442A83"/>
    <w:rsid w:val="00443EA9"/>
    <w:rsid w:val="0045495B"/>
    <w:rsid w:val="004826B8"/>
    <w:rsid w:val="0048397A"/>
    <w:rsid w:val="004C2461"/>
    <w:rsid w:val="004C7462"/>
    <w:rsid w:val="004D4D44"/>
    <w:rsid w:val="004E77B2"/>
    <w:rsid w:val="004F71E2"/>
    <w:rsid w:val="00504B2D"/>
    <w:rsid w:val="0052136D"/>
    <w:rsid w:val="00522B58"/>
    <w:rsid w:val="0052699B"/>
    <w:rsid w:val="0052775E"/>
    <w:rsid w:val="005420F2"/>
    <w:rsid w:val="00555858"/>
    <w:rsid w:val="005628B6"/>
    <w:rsid w:val="005666AA"/>
    <w:rsid w:val="005808BD"/>
    <w:rsid w:val="00597B22"/>
    <w:rsid w:val="005A3CE6"/>
    <w:rsid w:val="005A75C4"/>
    <w:rsid w:val="005B3DB3"/>
    <w:rsid w:val="005B4E13"/>
    <w:rsid w:val="005E2EBD"/>
    <w:rsid w:val="005F7B75"/>
    <w:rsid w:val="006001EE"/>
    <w:rsid w:val="00600F71"/>
    <w:rsid w:val="00603CB2"/>
    <w:rsid w:val="00604FD7"/>
    <w:rsid w:val="00605042"/>
    <w:rsid w:val="00607DA4"/>
    <w:rsid w:val="00611FC4"/>
    <w:rsid w:val="006176FB"/>
    <w:rsid w:val="00623599"/>
    <w:rsid w:val="00637C68"/>
    <w:rsid w:val="00640B26"/>
    <w:rsid w:val="00644E68"/>
    <w:rsid w:val="00652D0A"/>
    <w:rsid w:val="006623D5"/>
    <w:rsid w:val="00662BB6"/>
    <w:rsid w:val="006815F2"/>
    <w:rsid w:val="00684C21"/>
    <w:rsid w:val="006919E4"/>
    <w:rsid w:val="00696D0A"/>
    <w:rsid w:val="00697B84"/>
    <w:rsid w:val="006A2530"/>
    <w:rsid w:val="006C3589"/>
    <w:rsid w:val="006C7D40"/>
    <w:rsid w:val="006D266F"/>
    <w:rsid w:val="006D37AF"/>
    <w:rsid w:val="006D4870"/>
    <w:rsid w:val="006D51D0"/>
    <w:rsid w:val="006E0F9B"/>
    <w:rsid w:val="006E564B"/>
    <w:rsid w:val="006E7191"/>
    <w:rsid w:val="006F22D7"/>
    <w:rsid w:val="006F7854"/>
    <w:rsid w:val="00703577"/>
    <w:rsid w:val="00705894"/>
    <w:rsid w:val="00706E4B"/>
    <w:rsid w:val="0072632A"/>
    <w:rsid w:val="007327D5"/>
    <w:rsid w:val="00735B31"/>
    <w:rsid w:val="00741BCC"/>
    <w:rsid w:val="007629C8"/>
    <w:rsid w:val="0077047D"/>
    <w:rsid w:val="007937D0"/>
    <w:rsid w:val="00793BB3"/>
    <w:rsid w:val="007A3C5F"/>
    <w:rsid w:val="007A5056"/>
    <w:rsid w:val="007B01E5"/>
    <w:rsid w:val="007B6BA5"/>
    <w:rsid w:val="007C3390"/>
    <w:rsid w:val="007C4F4B"/>
    <w:rsid w:val="007E01E9"/>
    <w:rsid w:val="007E63F3"/>
    <w:rsid w:val="007F6611"/>
    <w:rsid w:val="00811920"/>
    <w:rsid w:val="00815AD0"/>
    <w:rsid w:val="008242D7"/>
    <w:rsid w:val="008257B1"/>
    <w:rsid w:val="00830A44"/>
    <w:rsid w:val="00843767"/>
    <w:rsid w:val="00852DC9"/>
    <w:rsid w:val="008679D9"/>
    <w:rsid w:val="00870293"/>
    <w:rsid w:val="008878DE"/>
    <w:rsid w:val="008979B1"/>
    <w:rsid w:val="008A22A3"/>
    <w:rsid w:val="008A32C7"/>
    <w:rsid w:val="008A6B25"/>
    <w:rsid w:val="008A6C4F"/>
    <w:rsid w:val="008A79A0"/>
    <w:rsid w:val="008A7ACD"/>
    <w:rsid w:val="008B2335"/>
    <w:rsid w:val="008C048F"/>
    <w:rsid w:val="008C2B69"/>
    <w:rsid w:val="008D4A19"/>
    <w:rsid w:val="008E0678"/>
    <w:rsid w:val="008F0240"/>
    <w:rsid w:val="00905BFB"/>
    <w:rsid w:val="009223CA"/>
    <w:rsid w:val="00940F93"/>
    <w:rsid w:val="009471BA"/>
    <w:rsid w:val="0096764A"/>
    <w:rsid w:val="00967825"/>
    <w:rsid w:val="009760F3"/>
    <w:rsid w:val="009A0E8D"/>
    <w:rsid w:val="009B26E7"/>
    <w:rsid w:val="009C00CE"/>
    <w:rsid w:val="009C126A"/>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C251B"/>
    <w:rsid w:val="00AF2746"/>
    <w:rsid w:val="00AF2944"/>
    <w:rsid w:val="00AF3B69"/>
    <w:rsid w:val="00B1166F"/>
    <w:rsid w:val="00B30179"/>
    <w:rsid w:val="00B31E80"/>
    <w:rsid w:val="00B421C1"/>
    <w:rsid w:val="00B54192"/>
    <w:rsid w:val="00B55C71"/>
    <w:rsid w:val="00B56E4A"/>
    <w:rsid w:val="00B56E9C"/>
    <w:rsid w:val="00B64B1F"/>
    <w:rsid w:val="00B6553F"/>
    <w:rsid w:val="00B70630"/>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7336"/>
    <w:rsid w:val="00C41CF8"/>
    <w:rsid w:val="00C4527F"/>
    <w:rsid w:val="00C463DD"/>
    <w:rsid w:val="00C468E4"/>
    <w:rsid w:val="00C4724C"/>
    <w:rsid w:val="00C629A0"/>
    <w:rsid w:val="00C64629"/>
    <w:rsid w:val="00C745C3"/>
    <w:rsid w:val="00C86220"/>
    <w:rsid w:val="00CB3E03"/>
    <w:rsid w:val="00CC0B95"/>
    <w:rsid w:val="00CC7B82"/>
    <w:rsid w:val="00CE0C77"/>
    <w:rsid w:val="00CE4A8F"/>
    <w:rsid w:val="00CE7F37"/>
    <w:rsid w:val="00CF49FD"/>
    <w:rsid w:val="00D02AF5"/>
    <w:rsid w:val="00D07DB9"/>
    <w:rsid w:val="00D2031B"/>
    <w:rsid w:val="00D25FE2"/>
    <w:rsid w:val="00D43252"/>
    <w:rsid w:val="00D47EEA"/>
    <w:rsid w:val="00D6286A"/>
    <w:rsid w:val="00D773DF"/>
    <w:rsid w:val="00D77865"/>
    <w:rsid w:val="00D82D01"/>
    <w:rsid w:val="00D94296"/>
    <w:rsid w:val="00D95303"/>
    <w:rsid w:val="00D97123"/>
    <w:rsid w:val="00D978C6"/>
    <w:rsid w:val="00DA12C2"/>
    <w:rsid w:val="00DA3908"/>
    <w:rsid w:val="00DA3C1C"/>
    <w:rsid w:val="00DA4986"/>
    <w:rsid w:val="00DB5E7F"/>
    <w:rsid w:val="00DD0A3E"/>
    <w:rsid w:val="00DE40E0"/>
    <w:rsid w:val="00DE7E52"/>
    <w:rsid w:val="00DF05DE"/>
    <w:rsid w:val="00E046DF"/>
    <w:rsid w:val="00E132FB"/>
    <w:rsid w:val="00E2335F"/>
    <w:rsid w:val="00E27346"/>
    <w:rsid w:val="00E359A5"/>
    <w:rsid w:val="00E41980"/>
    <w:rsid w:val="00E557A2"/>
    <w:rsid w:val="00E71BC8"/>
    <w:rsid w:val="00E7260F"/>
    <w:rsid w:val="00E73F5D"/>
    <w:rsid w:val="00E77E4E"/>
    <w:rsid w:val="00E96630"/>
    <w:rsid w:val="00EA324D"/>
    <w:rsid w:val="00EB701E"/>
    <w:rsid w:val="00EC012D"/>
    <w:rsid w:val="00ED41D7"/>
    <w:rsid w:val="00ED7A2A"/>
    <w:rsid w:val="00EE05DF"/>
    <w:rsid w:val="00EE2B2E"/>
    <w:rsid w:val="00EF1D7F"/>
    <w:rsid w:val="00F13FB9"/>
    <w:rsid w:val="00F30062"/>
    <w:rsid w:val="00F31E5F"/>
    <w:rsid w:val="00F44B02"/>
    <w:rsid w:val="00F563C7"/>
    <w:rsid w:val="00F6100A"/>
    <w:rsid w:val="00F90BD0"/>
    <w:rsid w:val="00F93781"/>
    <w:rsid w:val="00FB613B"/>
    <w:rsid w:val="00FC68B7"/>
    <w:rsid w:val="00FE106A"/>
    <w:rsid w:val="00FF0F08"/>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64FC-C12F-4F12-BFED-63CDBF7F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8</cp:revision>
  <cp:lastPrinted>2016-08-22T10:51:00Z</cp:lastPrinted>
  <dcterms:created xsi:type="dcterms:W3CDTF">2016-08-17T09:21:00Z</dcterms:created>
  <dcterms:modified xsi:type="dcterms:W3CDTF">2016-08-22T10:51:00Z</dcterms:modified>
</cp:coreProperties>
</file>