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4" w:rsidRPr="00127223" w:rsidRDefault="00157A84" w:rsidP="00157A84">
      <w:pPr>
        <w:spacing w:line="60" w:lineRule="exact"/>
        <w:rPr>
          <w:color w:val="010000"/>
          <w:sz w:val="6"/>
        </w:rPr>
        <w:sectPr w:rsidR="00157A84" w:rsidRPr="00127223" w:rsidSect="00157A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27223" w:rsidRPr="0047428C" w:rsidRDefault="00127223" w:rsidP="001272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27223">
        <w:lastRenderedPageBreak/>
        <w:t>Европейская экономическая комиссия</w:t>
      </w:r>
    </w:p>
    <w:p w:rsidR="00127223" w:rsidRPr="0047428C" w:rsidRDefault="00127223" w:rsidP="00127223">
      <w:pPr>
        <w:spacing w:line="120" w:lineRule="exact"/>
        <w:rPr>
          <w:sz w:val="10"/>
        </w:rPr>
      </w:pPr>
    </w:p>
    <w:p w:rsidR="00127223" w:rsidRPr="0047428C" w:rsidRDefault="00127223" w:rsidP="001272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127223">
        <w:rPr>
          <w:b w:val="0"/>
          <w:bCs/>
        </w:rPr>
        <w:t>Комитет по внутреннему транспорту</w:t>
      </w:r>
    </w:p>
    <w:p w:rsidR="00127223" w:rsidRPr="0047428C" w:rsidRDefault="00127223" w:rsidP="00127223">
      <w:pPr>
        <w:spacing w:line="120" w:lineRule="exact"/>
        <w:rPr>
          <w:sz w:val="10"/>
        </w:rPr>
      </w:pPr>
    </w:p>
    <w:p w:rsidR="00127223" w:rsidRPr="0047428C" w:rsidRDefault="00127223" w:rsidP="0012722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27223">
        <w:t>Рабочая группа по перевозкам опасных грузов</w:t>
      </w:r>
    </w:p>
    <w:p w:rsidR="00127223" w:rsidRPr="0047428C" w:rsidRDefault="00127223" w:rsidP="00127223">
      <w:pPr>
        <w:spacing w:line="120" w:lineRule="exact"/>
        <w:rPr>
          <w:sz w:val="10"/>
        </w:rPr>
      </w:pPr>
    </w:p>
    <w:p w:rsidR="00127223" w:rsidRPr="00127223" w:rsidRDefault="00127223" w:rsidP="001272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27223">
        <w:t>100-я сессия</w:t>
      </w:r>
    </w:p>
    <w:p w:rsidR="00127223" w:rsidRPr="00127223" w:rsidRDefault="00127223" w:rsidP="00127223">
      <w:r w:rsidRPr="00127223">
        <w:t>Женева, 9–13 мая 2016 года</w:t>
      </w:r>
    </w:p>
    <w:p w:rsidR="00127223" w:rsidRPr="00127223" w:rsidRDefault="00127223" w:rsidP="00127223">
      <w:r w:rsidRPr="00127223">
        <w:t xml:space="preserve">Пункт 6 </w:t>
      </w:r>
      <w:r w:rsidRPr="00127223">
        <w:rPr>
          <w:lang w:val="en-GB"/>
        </w:rPr>
        <w:t>b</w:t>
      </w:r>
      <w:r w:rsidRPr="00127223">
        <w:t>) предварительной повестки дня</w:t>
      </w:r>
    </w:p>
    <w:p w:rsidR="00127223" w:rsidRPr="00EF6BF1" w:rsidRDefault="00293AF2" w:rsidP="00EF6BF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Предложения о внесении поправок</w:t>
      </w:r>
      <w:r>
        <w:br/>
      </w:r>
      <w:r w:rsidR="00127223" w:rsidRPr="00127223">
        <w:t>в приложения А и В к ДОПОГ:</w:t>
      </w:r>
      <w:r w:rsidR="00EF6BF1" w:rsidRPr="00EF6BF1">
        <w:br/>
      </w:r>
      <w:r w:rsidR="00127223" w:rsidRPr="00127223">
        <w:t>различные предложения</w:t>
      </w:r>
    </w:p>
    <w:p w:rsidR="00127223" w:rsidRPr="00EF6BF1" w:rsidRDefault="00127223" w:rsidP="00EF6BF1">
      <w:pPr>
        <w:pStyle w:val="SingleTxt"/>
        <w:spacing w:after="0" w:line="120" w:lineRule="exact"/>
        <w:rPr>
          <w:sz w:val="10"/>
        </w:rPr>
      </w:pPr>
    </w:p>
    <w:p w:rsidR="00EF6BF1" w:rsidRPr="00293AF2" w:rsidRDefault="00EF6BF1" w:rsidP="00EF6BF1">
      <w:pPr>
        <w:pStyle w:val="SingleTxt"/>
        <w:spacing w:after="0" w:line="120" w:lineRule="exact"/>
        <w:rPr>
          <w:b/>
          <w:bCs/>
          <w:sz w:val="10"/>
        </w:rPr>
      </w:pPr>
    </w:p>
    <w:p w:rsidR="00EF6BF1" w:rsidRPr="00293AF2" w:rsidRDefault="00EF6BF1" w:rsidP="00EF6BF1">
      <w:pPr>
        <w:pStyle w:val="SingleTxt"/>
        <w:spacing w:after="0" w:line="120" w:lineRule="exact"/>
        <w:rPr>
          <w:b/>
          <w:bCs/>
          <w:sz w:val="10"/>
        </w:rPr>
      </w:pPr>
    </w:p>
    <w:p w:rsidR="00127223" w:rsidRPr="00EF6BF1" w:rsidRDefault="00EF6BF1" w:rsidP="00EF6B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93AF2">
        <w:tab/>
      </w:r>
      <w:r w:rsidRPr="00293AF2">
        <w:tab/>
      </w:r>
      <w:r w:rsidR="00127223" w:rsidRPr="00127223">
        <w:t>Поправки к подразделу</w:t>
      </w:r>
      <w:r w:rsidR="00127223" w:rsidRPr="00127223">
        <w:rPr>
          <w:lang w:val="en-US"/>
        </w:rPr>
        <w:t> </w:t>
      </w:r>
      <w:r w:rsidR="00127223" w:rsidRPr="00127223">
        <w:t>1.4.2.2 «Перевозчик»</w:t>
      </w:r>
    </w:p>
    <w:p w:rsidR="00EF6BF1" w:rsidRPr="00EF6BF1" w:rsidRDefault="00EF6BF1" w:rsidP="00EF6BF1">
      <w:pPr>
        <w:pStyle w:val="SingleTxt"/>
        <w:spacing w:after="0" w:line="120" w:lineRule="exact"/>
        <w:rPr>
          <w:b/>
          <w:sz w:val="10"/>
        </w:rPr>
      </w:pPr>
    </w:p>
    <w:p w:rsidR="00EF6BF1" w:rsidRPr="00EF6BF1" w:rsidRDefault="00EF6BF1" w:rsidP="00EF6BF1">
      <w:pPr>
        <w:pStyle w:val="SingleTxt"/>
        <w:spacing w:after="0" w:line="120" w:lineRule="exact"/>
        <w:rPr>
          <w:b/>
          <w:sz w:val="10"/>
        </w:rPr>
      </w:pPr>
    </w:p>
    <w:p w:rsidR="00157A84" w:rsidRPr="0047428C" w:rsidRDefault="00EF6BF1" w:rsidP="00EF6BF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428C">
        <w:tab/>
      </w:r>
      <w:r w:rsidRPr="0047428C">
        <w:tab/>
      </w:r>
      <w:r w:rsidR="00127223" w:rsidRPr="00127223">
        <w:t>Передано правительством Румынии</w:t>
      </w:r>
      <w:r w:rsidR="00127223" w:rsidRPr="00EF6BF1">
        <w:rPr>
          <w:b w:val="0"/>
          <w:bCs/>
          <w:sz w:val="20"/>
          <w:szCs w:val="20"/>
          <w:vertAlign w:val="superscript"/>
          <w:lang w:val="en-GB"/>
        </w:rPr>
        <w:footnoteReference w:id="1"/>
      </w:r>
    </w:p>
    <w:p w:rsidR="00EF6BF1" w:rsidRPr="0047428C" w:rsidRDefault="00EF6BF1" w:rsidP="00EF6BF1">
      <w:pPr>
        <w:pStyle w:val="SingleTxt"/>
        <w:spacing w:after="0" w:line="120" w:lineRule="exact"/>
        <w:rPr>
          <w:b/>
          <w:sz w:val="10"/>
        </w:rPr>
      </w:pPr>
    </w:p>
    <w:p w:rsidR="00EF6BF1" w:rsidRPr="0047428C" w:rsidRDefault="00EF6BF1" w:rsidP="00EF6BF1">
      <w:pPr>
        <w:pStyle w:val="SingleTxt"/>
        <w:spacing w:after="0" w:line="120" w:lineRule="exact"/>
        <w:rPr>
          <w:sz w:val="10"/>
        </w:rPr>
      </w:pPr>
    </w:p>
    <w:p w:rsidR="00EF6BF1" w:rsidRPr="0047428C" w:rsidRDefault="00EF6BF1" w:rsidP="00EF6BF1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EF6BF1" w:rsidTr="00EF6BF1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EF6BF1" w:rsidRPr="00EF6BF1" w:rsidRDefault="00EF6BF1" w:rsidP="00EF6BF1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GB"/>
              </w:rPr>
            </w:pPr>
            <w:r w:rsidRPr="0047428C">
              <w:rPr>
                <w:i/>
                <w:sz w:val="24"/>
              </w:rPr>
              <w:tab/>
            </w:r>
            <w:r>
              <w:rPr>
                <w:i/>
                <w:sz w:val="24"/>
                <w:lang w:val="en-GB"/>
              </w:rPr>
              <w:t>Резюме</w:t>
            </w:r>
          </w:p>
        </w:tc>
      </w:tr>
      <w:tr w:rsidR="00EF6BF1" w:rsidRPr="00EF6BF1" w:rsidTr="00EF6BF1">
        <w:tc>
          <w:tcPr>
            <w:tcW w:w="10051" w:type="dxa"/>
            <w:shd w:val="clear" w:color="auto" w:fill="auto"/>
          </w:tcPr>
          <w:p w:rsidR="00EF6BF1" w:rsidRPr="00EF6BF1" w:rsidRDefault="00EF6BF1" w:rsidP="00AE1E2A">
            <w:pPr>
              <w:pStyle w:val="SingleTxt"/>
              <w:spacing w:line="232" w:lineRule="exact"/>
              <w:ind w:left="4133" w:right="936" w:hanging="2866"/>
            </w:pPr>
            <w:r w:rsidRPr="00EF6BF1">
              <w:rPr>
                <w:b/>
              </w:rPr>
              <w:t>Существо предложения: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F6BF1">
              <w:rPr>
                <w:bCs/>
              </w:rPr>
              <w:t>Основные обязанности</w:t>
            </w:r>
            <w:r w:rsidRPr="00EF6BF1">
              <w:t xml:space="preserve"> перевозчика должны быть изложены в подпунктах </w:t>
            </w:r>
            <w:r w:rsidRPr="00EF6BF1">
              <w:rPr>
                <w:lang w:val="en-GB"/>
              </w:rPr>
              <w:t>a</w:t>
            </w:r>
            <w:r w:rsidRPr="00EF6BF1">
              <w:t>)–</w:t>
            </w:r>
            <w:r w:rsidRPr="00EF6BF1">
              <w:rPr>
                <w:lang w:val="en-GB"/>
              </w:rPr>
              <w:t>g</w:t>
            </w:r>
            <w:r w:rsidRPr="00EF6BF1">
              <w:t>) пункта 1.4.2.2.1, чтобы можно было использовать документы, предусмотренные вступительной фразой и заключительным предложением данного пункта.</w:t>
            </w:r>
          </w:p>
        </w:tc>
      </w:tr>
      <w:tr w:rsidR="00EF6BF1" w:rsidRPr="00EF6BF1" w:rsidTr="00EF6BF1">
        <w:tc>
          <w:tcPr>
            <w:tcW w:w="10051" w:type="dxa"/>
            <w:shd w:val="clear" w:color="auto" w:fill="auto"/>
          </w:tcPr>
          <w:p w:rsidR="00EF6BF1" w:rsidRPr="00EF6BF1" w:rsidRDefault="00EF6BF1" w:rsidP="00AE1E2A">
            <w:pPr>
              <w:pStyle w:val="SingleTxt"/>
              <w:spacing w:line="232" w:lineRule="exact"/>
              <w:ind w:left="4133" w:right="936" w:hanging="2866"/>
            </w:pPr>
            <w:r w:rsidRPr="00EF6BF1">
              <w:rPr>
                <w:b/>
              </w:rPr>
              <w:t>Предлагаемое решение: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F6BF1">
              <w:t>1. Перенесение обязанности, изложенной в пункте</w:t>
            </w:r>
            <w:r w:rsidR="00B36B93">
              <w:t> </w:t>
            </w:r>
            <w:r w:rsidRPr="00EF6BF1">
              <w:t xml:space="preserve">1.4.2.2.6 (принятом в мае 2015 года для ДОПОГ 2017 года), в подпункт </w:t>
            </w:r>
            <w:r w:rsidRPr="00EF6BF1">
              <w:rPr>
                <w:lang w:val="en-GB"/>
              </w:rPr>
              <w:t>g</w:t>
            </w:r>
            <w:r w:rsidRPr="00EF6BF1">
              <w:t>) пункта 1.4.2.2.1; и</w:t>
            </w:r>
          </w:p>
          <w:p w:rsidR="00EF6BF1" w:rsidRPr="00EF6BF1" w:rsidRDefault="00EF6BF1" w:rsidP="00AE1E2A">
            <w:pPr>
              <w:pStyle w:val="SingleTxt"/>
              <w:spacing w:line="232" w:lineRule="exact"/>
              <w:ind w:left="4133" w:right="936"/>
            </w:pPr>
            <w:r w:rsidRPr="00EF6BF1">
              <w:t xml:space="preserve">2. Введение обязанности перевозчика обеспечивать наличие противопожарного оборудования на </w:t>
            </w:r>
            <w:r w:rsidRPr="00EF6BF1">
              <w:rPr>
                <w:spacing w:val="0"/>
                <w:kern w:val="0"/>
              </w:rPr>
              <w:t>транспортной единице, перевозящей опасные</w:t>
            </w:r>
            <w:r w:rsidRPr="00EF6BF1">
              <w:t xml:space="preserve"> </w:t>
            </w:r>
            <w:r w:rsidRPr="00EF6BF1">
              <w:rPr>
                <w:spacing w:val="0"/>
                <w:kern w:val="0"/>
              </w:rPr>
              <w:t>грузы.</w:t>
            </w:r>
          </w:p>
        </w:tc>
      </w:tr>
      <w:tr w:rsidR="00EF6BF1" w:rsidRPr="00EF6BF1" w:rsidTr="00EF6BF1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EF6BF1" w:rsidRPr="00EF6BF1" w:rsidRDefault="00EF6BF1" w:rsidP="00AE1E2A">
            <w:pPr>
              <w:pStyle w:val="SingleTxt"/>
              <w:spacing w:line="232" w:lineRule="exact"/>
              <w:ind w:left="4133" w:right="936" w:hanging="2866"/>
              <w:jc w:val="left"/>
            </w:pPr>
            <w:r w:rsidRPr="00EF6BF1">
              <w:rPr>
                <w:b/>
              </w:rPr>
              <w:t>Справочные документы:</w:t>
            </w:r>
            <w:r>
              <w:rPr>
                <w:b/>
              </w:rPr>
              <w:tab/>
            </w:r>
            <w:r w:rsidRPr="00B36B93">
              <w:rPr>
                <w:bCs/>
                <w:spacing w:val="2"/>
                <w:w w:val="102"/>
              </w:rPr>
              <w:t>Неофициальный документ</w:t>
            </w:r>
            <w:r w:rsidRPr="00B36B93">
              <w:rPr>
                <w:b/>
                <w:bCs/>
                <w:spacing w:val="2"/>
                <w:w w:val="102"/>
              </w:rPr>
              <w:t xml:space="preserve"> </w:t>
            </w:r>
            <w:r w:rsidRPr="00B36B93">
              <w:rPr>
                <w:spacing w:val="2"/>
                <w:w w:val="102"/>
                <w:lang w:val="en-GB"/>
              </w:rPr>
              <w:t>INF</w:t>
            </w:r>
            <w:r w:rsidRPr="00B36B93">
              <w:rPr>
                <w:spacing w:val="2"/>
                <w:w w:val="102"/>
              </w:rPr>
              <w:t xml:space="preserve">.7 (девяносто седьмая сессия </w:t>
            </w:r>
            <w:r w:rsidRPr="00B36B93">
              <w:rPr>
                <w:spacing w:val="2"/>
                <w:w w:val="102"/>
                <w:lang w:val="en-GB"/>
              </w:rPr>
              <w:t>WP</w:t>
            </w:r>
            <w:r w:rsidRPr="00B36B93">
              <w:rPr>
                <w:spacing w:val="2"/>
                <w:w w:val="102"/>
              </w:rPr>
              <w:t xml:space="preserve">.15 – ноябрь 2014 года), </w:t>
            </w:r>
            <w:r w:rsidRPr="00B36B93">
              <w:rPr>
                <w:spacing w:val="2"/>
                <w:w w:val="102"/>
                <w:lang w:val="en-GB"/>
              </w:rPr>
              <w:t>ECE</w:t>
            </w:r>
            <w:r w:rsidRPr="00B36B93">
              <w:rPr>
                <w:spacing w:val="2"/>
                <w:w w:val="102"/>
              </w:rPr>
              <w:t>/</w:t>
            </w:r>
            <w:r w:rsidRPr="00B36B93">
              <w:rPr>
                <w:spacing w:val="2"/>
                <w:w w:val="102"/>
                <w:lang w:val="en-GB"/>
              </w:rPr>
              <w:t>TRANS</w:t>
            </w:r>
            <w:r w:rsidRPr="00B36B93">
              <w:rPr>
                <w:spacing w:val="2"/>
                <w:w w:val="102"/>
              </w:rPr>
              <w:t>/</w:t>
            </w:r>
            <w:r w:rsidRPr="00B36B93">
              <w:rPr>
                <w:spacing w:val="2"/>
                <w:w w:val="102"/>
                <w:lang w:val="en-GB"/>
              </w:rPr>
              <w:t>WP</w:t>
            </w:r>
            <w:r w:rsidRPr="00B36B93">
              <w:rPr>
                <w:spacing w:val="2"/>
                <w:w w:val="102"/>
              </w:rPr>
              <w:t xml:space="preserve">.15/2015/1 (май 2015 года), </w:t>
            </w:r>
            <w:r w:rsidRPr="00B36B93">
              <w:rPr>
                <w:spacing w:val="2"/>
                <w:w w:val="102"/>
              </w:rPr>
              <w:br/>
              <w:t xml:space="preserve">пункты 25 и 26 документа </w:t>
            </w:r>
            <w:r w:rsidRPr="00B36B93">
              <w:rPr>
                <w:spacing w:val="2"/>
                <w:w w:val="102"/>
                <w:lang w:val="en-GB"/>
              </w:rPr>
              <w:t>ECE</w:t>
            </w:r>
            <w:r w:rsidRPr="00B36B93">
              <w:rPr>
                <w:spacing w:val="2"/>
                <w:w w:val="102"/>
              </w:rPr>
              <w:t>/</w:t>
            </w:r>
            <w:r w:rsidRPr="00B36B93">
              <w:rPr>
                <w:spacing w:val="2"/>
                <w:w w:val="102"/>
                <w:lang w:val="en-GB"/>
              </w:rPr>
              <w:t>TRANS</w:t>
            </w:r>
            <w:r w:rsidRPr="00B36B93">
              <w:rPr>
                <w:spacing w:val="2"/>
                <w:w w:val="102"/>
              </w:rPr>
              <w:t>/</w:t>
            </w:r>
            <w:r w:rsidRPr="00B36B93">
              <w:rPr>
                <w:spacing w:val="2"/>
                <w:w w:val="102"/>
                <w:lang w:val="en-GB"/>
              </w:rPr>
              <w:t>WP</w:t>
            </w:r>
            <w:r w:rsidR="00B36B93">
              <w:rPr>
                <w:spacing w:val="2"/>
                <w:w w:val="102"/>
              </w:rPr>
              <w:t>.15/228</w:t>
            </w:r>
            <w:r w:rsidR="00B36B93">
              <w:rPr>
                <w:spacing w:val="2"/>
                <w:w w:val="102"/>
              </w:rPr>
              <w:br/>
            </w:r>
            <w:r w:rsidRPr="00B36B93">
              <w:rPr>
                <w:spacing w:val="2"/>
                <w:w w:val="102"/>
              </w:rPr>
              <w:t xml:space="preserve">(девяносто восьмая сессия </w:t>
            </w:r>
            <w:r w:rsidRPr="00B36B93">
              <w:rPr>
                <w:spacing w:val="2"/>
                <w:w w:val="102"/>
                <w:lang w:val="en-GB"/>
              </w:rPr>
              <w:t>WP</w:t>
            </w:r>
            <w:r w:rsidRPr="00B36B93">
              <w:rPr>
                <w:spacing w:val="2"/>
                <w:w w:val="102"/>
              </w:rPr>
              <w:t xml:space="preserve">.15 – май 2015 года), </w:t>
            </w:r>
            <w:r w:rsidRPr="00B36B93">
              <w:rPr>
                <w:spacing w:val="2"/>
                <w:w w:val="102"/>
              </w:rPr>
              <w:br/>
              <w:t xml:space="preserve">пункт 47 документа </w:t>
            </w:r>
            <w:r w:rsidRPr="00B36B93">
              <w:rPr>
                <w:spacing w:val="2"/>
                <w:w w:val="102"/>
                <w:lang w:val="en-GB"/>
              </w:rPr>
              <w:t>ECE</w:t>
            </w:r>
            <w:r w:rsidRPr="00B36B93">
              <w:rPr>
                <w:spacing w:val="2"/>
                <w:w w:val="102"/>
              </w:rPr>
              <w:t>/</w:t>
            </w:r>
            <w:r w:rsidRPr="00B36B93">
              <w:rPr>
                <w:spacing w:val="2"/>
                <w:w w:val="102"/>
                <w:lang w:val="en-GB"/>
              </w:rPr>
              <w:t>TRANS</w:t>
            </w:r>
            <w:r w:rsidRPr="00B36B93">
              <w:rPr>
                <w:spacing w:val="2"/>
                <w:w w:val="102"/>
              </w:rPr>
              <w:t>/</w:t>
            </w:r>
            <w:r w:rsidRPr="00B36B93">
              <w:rPr>
                <w:spacing w:val="2"/>
                <w:w w:val="102"/>
                <w:lang w:val="en-GB"/>
              </w:rPr>
              <w:t>WP</w:t>
            </w:r>
            <w:r w:rsidRPr="00B36B93">
              <w:rPr>
                <w:spacing w:val="2"/>
                <w:w w:val="102"/>
              </w:rPr>
              <w:t>.15/</w:t>
            </w:r>
            <w:r w:rsidRPr="00B36B93">
              <w:rPr>
                <w:spacing w:val="2"/>
                <w:w w:val="102"/>
                <w:lang w:val="en-GB"/>
              </w:rPr>
              <w:t>AC</w:t>
            </w:r>
            <w:r w:rsidRPr="00B36B93">
              <w:rPr>
                <w:spacing w:val="2"/>
                <w:w w:val="102"/>
              </w:rPr>
              <w:t>.1/140,</w:t>
            </w:r>
            <w:r w:rsidRPr="00B36B93">
              <w:rPr>
                <w:spacing w:val="2"/>
                <w:w w:val="102"/>
              </w:rPr>
              <w:br/>
            </w:r>
            <w:r w:rsidRPr="00B36B93">
              <w:rPr>
                <w:spacing w:val="2"/>
                <w:w w:val="102"/>
                <w:lang w:val="en-GB"/>
              </w:rPr>
              <w:t>ECE</w:t>
            </w:r>
            <w:r w:rsidRPr="00B36B93">
              <w:rPr>
                <w:spacing w:val="2"/>
                <w:w w:val="102"/>
              </w:rPr>
              <w:t>/</w:t>
            </w:r>
            <w:r w:rsidRPr="00B36B93">
              <w:rPr>
                <w:spacing w:val="2"/>
                <w:w w:val="102"/>
                <w:lang w:val="en-GB"/>
              </w:rPr>
              <w:t>TRANS</w:t>
            </w:r>
            <w:r w:rsidRPr="00B36B93">
              <w:rPr>
                <w:spacing w:val="2"/>
                <w:w w:val="102"/>
              </w:rPr>
              <w:t>/</w:t>
            </w:r>
            <w:r w:rsidRPr="00B36B93">
              <w:rPr>
                <w:spacing w:val="2"/>
                <w:w w:val="102"/>
                <w:lang w:val="en-GB"/>
              </w:rPr>
              <w:t>WP</w:t>
            </w:r>
            <w:r w:rsidRPr="00B36B93">
              <w:rPr>
                <w:spacing w:val="2"/>
                <w:w w:val="102"/>
              </w:rPr>
              <w:t>.15/</w:t>
            </w:r>
            <w:r w:rsidRPr="00B36B93">
              <w:rPr>
                <w:spacing w:val="2"/>
                <w:w w:val="102"/>
                <w:lang w:val="en-GB"/>
              </w:rPr>
              <w:t>AC</w:t>
            </w:r>
            <w:r w:rsidRPr="00B36B93">
              <w:rPr>
                <w:spacing w:val="2"/>
                <w:w w:val="102"/>
              </w:rPr>
              <w:t>.1/2015/34 и н</w:t>
            </w:r>
            <w:r w:rsidRPr="00B36B93">
              <w:rPr>
                <w:bCs/>
                <w:spacing w:val="2"/>
                <w:w w:val="102"/>
              </w:rPr>
              <w:t>еофициальный документ</w:t>
            </w:r>
            <w:r w:rsidRPr="00B36B93">
              <w:rPr>
                <w:spacing w:val="2"/>
                <w:w w:val="102"/>
              </w:rPr>
              <w:t xml:space="preserve"> </w:t>
            </w:r>
            <w:r w:rsidRPr="00B36B93">
              <w:rPr>
                <w:spacing w:val="2"/>
                <w:w w:val="102"/>
                <w:lang w:val="en-GB"/>
              </w:rPr>
              <w:t>INF</w:t>
            </w:r>
            <w:r w:rsidRPr="00B36B93">
              <w:rPr>
                <w:spacing w:val="2"/>
                <w:w w:val="102"/>
              </w:rPr>
              <w:t>.3 сессии Совместного совещания МПОГ/</w:t>
            </w:r>
            <w:r w:rsidR="00B36B93">
              <w:rPr>
                <w:spacing w:val="2"/>
                <w:w w:val="102"/>
              </w:rPr>
              <w:br/>
            </w:r>
            <w:r w:rsidRPr="00B36B93">
              <w:rPr>
                <w:spacing w:val="2"/>
                <w:w w:val="102"/>
              </w:rPr>
              <w:t>ДОПОГ/ВОПОГ, состоявшейся осенью 2015 года</w:t>
            </w:r>
            <w:r w:rsidR="00B36B93" w:rsidRPr="00B36B93">
              <w:rPr>
                <w:spacing w:val="2"/>
                <w:w w:val="102"/>
              </w:rPr>
              <w:t>,</w:t>
            </w:r>
            <w:r w:rsidR="00B36B93" w:rsidRPr="00B36B93">
              <w:rPr>
                <w:spacing w:val="2"/>
                <w:w w:val="102"/>
              </w:rPr>
              <w:br/>
            </w:r>
            <w:r w:rsidRPr="00EF6BF1">
              <w:lastRenderedPageBreak/>
              <w:t>н</w:t>
            </w:r>
            <w:r w:rsidRPr="00EF6BF1">
              <w:rPr>
                <w:bCs/>
              </w:rPr>
              <w:t>еофициальный документ</w:t>
            </w:r>
            <w:r w:rsidRPr="00EF6BF1">
              <w:t xml:space="preserve"> </w:t>
            </w:r>
            <w:r w:rsidRPr="00EF6BF1">
              <w:rPr>
                <w:lang w:val="en-GB"/>
              </w:rPr>
              <w:t>INF</w:t>
            </w:r>
            <w:r w:rsidRPr="00EF6BF1">
              <w:t xml:space="preserve">.6 (девяносто девятая сессия </w:t>
            </w:r>
            <w:r w:rsidRPr="00EF6BF1">
              <w:rPr>
                <w:lang w:val="en-GB"/>
              </w:rPr>
              <w:t>WP</w:t>
            </w:r>
            <w:r w:rsidRPr="00EF6BF1">
              <w:t>.15 – ноябрь 2015 года</w:t>
            </w:r>
            <w:r w:rsidR="00B36B93">
              <w:t>),</w:t>
            </w:r>
            <w:r w:rsidR="00B36B93">
              <w:br/>
            </w:r>
            <w:r w:rsidRPr="00B36B93">
              <w:rPr>
                <w:bCs/>
              </w:rPr>
              <w:t>пункты 33 и 34 документа ECE/TRANS/WP.15/230 (девяносто девятая сессия WP.15 – ноябрь 2015 года).</w:t>
            </w:r>
          </w:p>
        </w:tc>
      </w:tr>
      <w:tr w:rsidR="00EF6BF1" w:rsidRPr="00EF6BF1" w:rsidTr="00EF6BF1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EF6BF1" w:rsidRPr="00EF6BF1" w:rsidRDefault="00EF6BF1" w:rsidP="00EF6BF1">
            <w:pPr>
              <w:pStyle w:val="SingleTxt"/>
            </w:pPr>
          </w:p>
        </w:tc>
      </w:tr>
    </w:tbl>
    <w:p w:rsidR="00EF6BF1" w:rsidRPr="00B36B93" w:rsidRDefault="00EF6BF1" w:rsidP="00B36B93">
      <w:pPr>
        <w:pStyle w:val="SingleTxt"/>
        <w:spacing w:after="0" w:line="120" w:lineRule="exact"/>
        <w:rPr>
          <w:sz w:val="10"/>
        </w:rPr>
      </w:pPr>
    </w:p>
    <w:p w:rsidR="00B36B93" w:rsidRPr="00B36B93" w:rsidRDefault="00B36B93" w:rsidP="00B36B93">
      <w:pPr>
        <w:pStyle w:val="SingleTxt"/>
        <w:spacing w:after="0" w:line="120" w:lineRule="exact"/>
        <w:rPr>
          <w:sz w:val="10"/>
        </w:rPr>
      </w:pPr>
    </w:p>
    <w:p w:rsidR="00B36B93" w:rsidRPr="00B36B93" w:rsidRDefault="00B36B93" w:rsidP="00B36B93">
      <w:pPr>
        <w:pStyle w:val="SingleTxt"/>
        <w:spacing w:after="0" w:line="120" w:lineRule="exact"/>
        <w:rPr>
          <w:sz w:val="10"/>
        </w:rPr>
      </w:pPr>
    </w:p>
    <w:p w:rsidR="00B36B93" w:rsidRDefault="00B36B93" w:rsidP="00B36B9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36B93">
        <w:tab/>
      </w:r>
      <w:r w:rsidRPr="00B36B93">
        <w:tab/>
        <w:t>Введение</w:t>
      </w:r>
    </w:p>
    <w:p w:rsidR="00B36B93" w:rsidRPr="00B36B93" w:rsidRDefault="00B36B93" w:rsidP="00B36B93">
      <w:pPr>
        <w:pStyle w:val="SingleTxt"/>
        <w:spacing w:after="0" w:line="120" w:lineRule="exact"/>
        <w:rPr>
          <w:b/>
          <w:sz w:val="10"/>
        </w:rPr>
      </w:pPr>
    </w:p>
    <w:p w:rsidR="00B36B93" w:rsidRPr="00B36B93" w:rsidRDefault="00B36B93" w:rsidP="00B36B93">
      <w:pPr>
        <w:pStyle w:val="SingleTxt"/>
        <w:spacing w:after="0" w:line="120" w:lineRule="exact"/>
        <w:rPr>
          <w:b/>
          <w:sz w:val="10"/>
        </w:rPr>
      </w:pPr>
    </w:p>
    <w:p w:rsidR="00B36B93" w:rsidRPr="00B36B93" w:rsidRDefault="00B36B93" w:rsidP="00B36B93">
      <w:pPr>
        <w:pStyle w:val="SingleTxt"/>
      </w:pPr>
      <w:r w:rsidRPr="00B36B93">
        <w:t>1.</w:t>
      </w:r>
      <w:r w:rsidRPr="00B36B93">
        <w:tab/>
        <w:t>После того как на сессии Совместного совещания, состоявшейся осенью 2015 года, был проведен анализ подраздела 1.4.2.2 МПОГ/ДОПОГ/ВОПОГ, необходимо принять во внимание некоторые выводы, касающиеся обязанностей перевозчика при осуществлении автомобильной перевозки опасных грузов.</w:t>
      </w:r>
    </w:p>
    <w:p w:rsidR="00B36B93" w:rsidRPr="00B36B93" w:rsidRDefault="00B36B93" w:rsidP="00B36B93">
      <w:pPr>
        <w:pStyle w:val="SingleTxt"/>
      </w:pPr>
      <w:r w:rsidRPr="00B36B93">
        <w:t>2.</w:t>
      </w:r>
      <w:r w:rsidRPr="00B36B93">
        <w:tab/>
        <w:t>В н</w:t>
      </w:r>
      <w:r w:rsidRPr="00B36B93">
        <w:rPr>
          <w:bCs/>
        </w:rPr>
        <w:t>еофициальном документе</w:t>
      </w:r>
      <w:r w:rsidRPr="00B36B93">
        <w:t xml:space="preserve"> </w:t>
      </w:r>
      <w:r w:rsidRPr="00B36B93">
        <w:rPr>
          <w:lang w:val="en-GB"/>
        </w:rPr>
        <w:t>INF</w:t>
      </w:r>
      <w:r w:rsidRPr="00B36B93">
        <w:t>.3 сессии Совместного совещания, состоявшейся в сентябре 2015 года, приведены (параллельно) тексты подраздела 1.4.2.2 всех трех сводов правил (МПОГ/ДОПОГ/ВОПОГ) и выявлены конкретные различия по каждому виду транспорта.</w:t>
      </w:r>
    </w:p>
    <w:p w:rsidR="00B36B93" w:rsidRPr="00B36B93" w:rsidRDefault="00B36B93" w:rsidP="00B36B93">
      <w:pPr>
        <w:pStyle w:val="SingleTxt"/>
      </w:pPr>
      <w:r w:rsidRPr="00B36B93">
        <w:t>3.</w:t>
      </w:r>
      <w:r w:rsidRPr="00B36B93">
        <w:tab/>
        <w:t>В докладе о работе сессии Совместного совещания, состоявшейся в сентябре 2015 года, отмечено:</w:t>
      </w:r>
    </w:p>
    <w:p w:rsidR="00B36B93" w:rsidRPr="00B36B93" w:rsidRDefault="00B36B93" w:rsidP="00B36B93">
      <w:pPr>
        <w:pStyle w:val="SingleTxt"/>
        <w:rPr>
          <w:i/>
          <w:iCs/>
        </w:rPr>
      </w:pPr>
      <w:r w:rsidRPr="00B36B93">
        <w:t>«</w:t>
      </w:r>
      <w:r w:rsidRPr="00B36B93">
        <w:rPr>
          <w:i/>
          <w:iCs/>
        </w:rPr>
        <w:t>Ряд делегаций указали, что обязанности перевозчика являются различными для каждого вида транспорта и что эти различия оправданы. Согласовывать тексты МПОГ, ДОПОГ и ВОПОГ нет необходимости.</w:t>
      </w:r>
      <w:r w:rsidRPr="00B36B93">
        <w:t>».</w:t>
      </w:r>
      <w:r w:rsidRPr="00B36B93">
        <w:rPr>
          <w:i/>
          <w:iCs/>
        </w:rPr>
        <w:t xml:space="preserve"> </w:t>
      </w:r>
    </w:p>
    <w:p w:rsidR="00B36B93" w:rsidRPr="00B36B93" w:rsidRDefault="00B36B93" w:rsidP="00B36B93">
      <w:pPr>
        <w:pStyle w:val="SingleTxt"/>
      </w:pPr>
      <w:r w:rsidRPr="00B36B93">
        <w:t>4.</w:t>
      </w:r>
      <w:r w:rsidRPr="00B36B93">
        <w:tab/>
        <w:t xml:space="preserve">Существующую обязанность перевозчика </w:t>
      </w:r>
      <w:r w:rsidRPr="00B36B93">
        <w:rPr>
          <w:u w:val="single"/>
        </w:rPr>
        <w:t xml:space="preserve">передавать экипажу транспортного средства письменные инструкции, предписанные в ДОПОГ, </w:t>
      </w:r>
      <w:r w:rsidRPr="00B36B93">
        <w:t xml:space="preserve">принятую в мае 2015 года и включенную в пункт 1.4.2.2.6 (см. </w:t>
      </w:r>
      <w:r w:rsidRPr="00B36B93">
        <w:rPr>
          <w:lang w:val="en-GB"/>
        </w:rPr>
        <w:t>ECE</w:t>
      </w:r>
      <w:r w:rsidRPr="00B36B93">
        <w:t>/</w:t>
      </w:r>
      <w:r w:rsidRPr="00B36B93">
        <w:rPr>
          <w:lang w:val="en-GB"/>
        </w:rPr>
        <w:t>TRANS</w:t>
      </w:r>
      <w:r w:rsidRPr="00B36B93">
        <w:t>/</w:t>
      </w:r>
      <w:r w:rsidRPr="00B36B93">
        <w:rPr>
          <w:lang w:val="en-GB"/>
        </w:rPr>
        <w:t>WP</w:t>
      </w:r>
      <w:r w:rsidRPr="00B36B93">
        <w:t xml:space="preserve">.15/228, приложение </w:t>
      </w:r>
      <w:r w:rsidRPr="00B36B93">
        <w:rPr>
          <w:lang w:val="en-GB"/>
        </w:rPr>
        <w:t>I</w:t>
      </w:r>
      <w:r w:rsidRPr="00B36B93">
        <w:t xml:space="preserve">), необходимо перенести в пункт 1.4.2.2.1, как это было предложено представителем Международного союза автомобильного транспорта (МСАТ) во время чтения доклада на сессии </w:t>
      </w:r>
      <w:r w:rsidRPr="00B36B93">
        <w:rPr>
          <w:lang w:val="en-GB"/>
        </w:rPr>
        <w:t>WP</w:t>
      </w:r>
      <w:r w:rsidRPr="00B36B93">
        <w:t>.15 в мае 2015 года.</w:t>
      </w:r>
    </w:p>
    <w:p w:rsidR="00B36B93" w:rsidRPr="00B36B93" w:rsidRDefault="00B36B93" w:rsidP="00B36B93">
      <w:pPr>
        <w:pStyle w:val="SingleTxt"/>
      </w:pPr>
      <w:r w:rsidRPr="00B36B93">
        <w:t>5.</w:t>
      </w:r>
      <w:r w:rsidRPr="00B36B93">
        <w:tab/>
        <w:t>Сохранять вышеупомянутую обязанность в пункте 1.4.2.2.6 нет оснований, поскольку вступительная фраза пункта 1.4.2.2.1 в ДОПОГ отличается от соответствующей фразы в МПОГ, и согласование в данном случае неуместно. Необходимо проанализировать уместность согласования с ВОПОГ, где к письменным инструкциям применяется режим, аналогичный режиму, предусмотренному в ДОПОГ. Вступительный текст пункта 1.4.2.2.1 МПОГ гласит: «</w:t>
      </w:r>
      <w:r w:rsidRPr="00B36B93">
        <w:rPr>
          <w:i/>
          <w:iCs/>
        </w:rPr>
        <w:t xml:space="preserve">В контексте раздела 1.4.1 перевозчик, принимающий опасные грузы </w:t>
      </w:r>
      <w:r w:rsidRPr="00B36B93">
        <w:rPr>
          <w:i/>
          <w:iCs/>
          <w:u w:val="single"/>
        </w:rPr>
        <w:t>в пункте отправления</w:t>
      </w:r>
      <w:r w:rsidRPr="00B36B93">
        <w:rPr>
          <w:i/>
          <w:iCs/>
        </w:rPr>
        <w:t>, должен, в частности:...</w:t>
      </w:r>
      <w:r w:rsidRPr="00B36B93">
        <w:t>». Данная формулировка является менее всеобъемлющей по сравнению с формулировкой, используемой в ДОПОГ и ВОПОГ: «</w:t>
      </w:r>
      <w:r w:rsidRPr="00B36B93">
        <w:rPr>
          <w:i/>
          <w:iCs/>
        </w:rPr>
        <w:t>В контексте раздела 1.4.1 перевозчик, в соответствующих случаях, должен, в частности:…</w:t>
      </w:r>
      <w:r w:rsidRPr="00B36B93">
        <w:t>».</w:t>
      </w:r>
    </w:p>
    <w:p w:rsidR="00B36B93" w:rsidRPr="00B36B93" w:rsidRDefault="00B36B93" w:rsidP="00B36B93">
      <w:pPr>
        <w:pStyle w:val="SingleTxt"/>
      </w:pPr>
      <w:r w:rsidRPr="00B36B93">
        <w:t>6.</w:t>
      </w:r>
      <w:r w:rsidRPr="00B36B93">
        <w:tab/>
        <w:t xml:space="preserve">Следует отметить, что в подпунктах </w:t>
      </w:r>
      <w:r w:rsidRPr="00B36B93">
        <w:rPr>
          <w:lang w:val="en-GB"/>
        </w:rPr>
        <w:t>h</w:t>
      </w:r>
      <w:r w:rsidR="001B463A">
        <w:t>)–</w:t>
      </w:r>
      <w:r w:rsidRPr="00B36B93">
        <w:rPr>
          <w:lang w:val="en-GB"/>
        </w:rPr>
        <w:t>j</w:t>
      </w:r>
      <w:r w:rsidRPr="00B36B93">
        <w:t>) пункта 1.4.2.2.1 ВОПОГ предусмотрены дополнительные конкретные обязанности в случае перевозки опасных грузов по внутренним водным путям.</w:t>
      </w:r>
    </w:p>
    <w:p w:rsidR="00B36B93" w:rsidRPr="00B36B93" w:rsidRDefault="00B36B93" w:rsidP="00B36B93">
      <w:pPr>
        <w:pStyle w:val="SingleTxt"/>
      </w:pPr>
      <w:r w:rsidRPr="00B36B93">
        <w:t>7.</w:t>
      </w:r>
      <w:r w:rsidRPr="00B36B93">
        <w:tab/>
        <w:t xml:space="preserve">В этой связи мы предлагаем перенести обязанность перевозчика </w:t>
      </w:r>
      <w:r w:rsidRPr="00B36B93">
        <w:rPr>
          <w:u w:val="single"/>
        </w:rPr>
        <w:t xml:space="preserve">передавать экипажу транспортного средства письменные инструкции, предписанные в ДОПОГ, </w:t>
      </w:r>
      <w:r w:rsidRPr="00B36B93">
        <w:t xml:space="preserve">из пункта 1.4.2.2.6 в пункт 1.4.2.2.1 </w:t>
      </w:r>
      <w:r w:rsidRPr="00B36B93">
        <w:rPr>
          <w:lang w:val="en-GB"/>
        </w:rPr>
        <w:t>g</w:t>
      </w:r>
      <w:r w:rsidRPr="00B36B93">
        <w:t>), изменив при этом формулировку с учетом специфики данного пункта.</w:t>
      </w:r>
    </w:p>
    <w:p w:rsidR="00B36B93" w:rsidRPr="00B36B93" w:rsidRDefault="00B36B93" w:rsidP="00B36B93">
      <w:pPr>
        <w:pStyle w:val="SingleTxt"/>
      </w:pPr>
      <w:r w:rsidRPr="00B36B93">
        <w:t>8.</w:t>
      </w:r>
      <w:r w:rsidRPr="00B36B93">
        <w:tab/>
        <w:t xml:space="preserve">Второе предлагаемое решение состоит в необходимости введения обязанности перевозчика обеспечивать наличие противопожарного оборудования на транспортной единице, перевозящей опасные грузы. </w:t>
      </w:r>
    </w:p>
    <w:p w:rsidR="00B36B93" w:rsidRPr="00B36B93" w:rsidRDefault="00B36B93" w:rsidP="001B463A">
      <w:pPr>
        <w:pStyle w:val="SingleTxt"/>
        <w:keepNext/>
        <w:keepLines/>
      </w:pPr>
      <w:r w:rsidRPr="00B36B93">
        <w:lastRenderedPageBreak/>
        <w:t>9.</w:t>
      </w:r>
      <w:r w:rsidRPr="00B36B93">
        <w:tab/>
        <w:t xml:space="preserve">Эта обязанность не охвачена существующим текстом пункта 1.4.2.2.1 </w:t>
      </w:r>
      <w:r w:rsidRPr="00B36B93">
        <w:rPr>
          <w:lang w:val="en-GB"/>
        </w:rPr>
        <w:t>c</w:t>
      </w:r>
      <w:r w:rsidRPr="00B36B93">
        <w:t>):</w:t>
      </w:r>
    </w:p>
    <w:p w:rsidR="00B36B93" w:rsidRPr="00B36B93" w:rsidRDefault="00B36B93" w:rsidP="001B463A">
      <w:pPr>
        <w:pStyle w:val="SingleTxt"/>
        <w:keepNext/>
        <w:keepLines/>
        <w:rPr>
          <w:i/>
          <w:iCs/>
        </w:rPr>
      </w:pPr>
      <w:r w:rsidRPr="00B36B93">
        <w:t>«</w:t>
      </w:r>
      <w:r w:rsidRPr="00B36B93">
        <w:rPr>
          <w:i/>
          <w:lang w:val="en-GB"/>
        </w:rPr>
        <w:t>c</w:t>
      </w:r>
      <w:r w:rsidRPr="00B36B93">
        <w:rPr>
          <w:i/>
        </w:rPr>
        <w:t xml:space="preserve">) </w:t>
      </w:r>
      <w:r w:rsidRPr="00B36B93">
        <w:rPr>
          <w:i/>
          <w:iCs/>
        </w:rPr>
        <w:t xml:space="preserve">визуально удостовериться в том, что транспортные средства и груз не имеют явных дефектов, не протекают и не имеют трещин, а также </w:t>
      </w:r>
      <w:r w:rsidRPr="00B36B93">
        <w:rPr>
          <w:i/>
          <w:iCs/>
          <w:u w:val="single"/>
        </w:rPr>
        <w:t>надлежащим образом оборудованы</w:t>
      </w:r>
      <w:r w:rsidRPr="00B36B93">
        <w:rPr>
          <w:i/>
          <w:iCs/>
        </w:rPr>
        <w:t xml:space="preserve"> и т.д.;</w:t>
      </w:r>
      <w:r w:rsidRPr="00B36B93">
        <w:t>».</w:t>
      </w:r>
    </w:p>
    <w:p w:rsidR="00B36B93" w:rsidRPr="00B36B93" w:rsidRDefault="00B36B93" w:rsidP="00B36B93">
      <w:pPr>
        <w:pStyle w:val="SingleTxt"/>
      </w:pPr>
      <w:r w:rsidRPr="00B36B93">
        <w:t>10.</w:t>
      </w:r>
      <w:r w:rsidRPr="00B36B93">
        <w:tab/>
        <w:t xml:space="preserve">Эту обязанность можно было бы считать охваченной существующим текстом подпункта </w:t>
      </w:r>
      <w:r w:rsidRPr="00B36B93">
        <w:rPr>
          <w:lang w:val="en-GB"/>
        </w:rPr>
        <w:t>g</w:t>
      </w:r>
      <w:r w:rsidRPr="00B36B93">
        <w:t xml:space="preserve">), принятого в мае 2015 года (см. </w:t>
      </w:r>
      <w:r w:rsidRPr="00B36B93">
        <w:rPr>
          <w:lang w:val="en-GB"/>
        </w:rPr>
        <w:t>ECE</w:t>
      </w:r>
      <w:r w:rsidRPr="00B36B93">
        <w:t>/</w:t>
      </w:r>
      <w:r w:rsidRPr="00B36B93">
        <w:rPr>
          <w:lang w:val="en-GB"/>
        </w:rPr>
        <w:t>TRANS</w:t>
      </w:r>
      <w:r w:rsidRPr="00B36B93">
        <w:t>/</w:t>
      </w:r>
      <w:r w:rsidRPr="00B36B93">
        <w:rPr>
          <w:lang w:val="en-GB"/>
        </w:rPr>
        <w:t>WP</w:t>
      </w:r>
      <w:r w:rsidRPr="00B36B93">
        <w:t xml:space="preserve">.15/228, приложение </w:t>
      </w:r>
      <w:r w:rsidRPr="00B36B93">
        <w:rPr>
          <w:lang w:val="en-GB"/>
        </w:rPr>
        <w:t>I</w:t>
      </w:r>
      <w:r w:rsidRPr="00B36B93">
        <w:t>):</w:t>
      </w:r>
    </w:p>
    <w:p w:rsidR="00B36B93" w:rsidRPr="00B36B93" w:rsidRDefault="00B36B93" w:rsidP="00B36B93">
      <w:pPr>
        <w:pStyle w:val="SingleTxt"/>
        <w:rPr>
          <w:i/>
          <w:iCs/>
        </w:rPr>
      </w:pPr>
      <w:r w:rsidRPr="00B36B93">
        <w:t>«</w:t>
      </w:r>
      <w:r w:rsidRPr="00B36B93">
        <w:rPr>
          <w:i/>
          <w:lang w:val="en-GB"/>
        </w:rPr>
        <w:t>g</w:t>
      </w:r>
      <w:r w:rsidRPr="00B36B93">
        <w:rPr>
          <w:i/>
        </w:rPr>
        <w:t>)</w:t>
      </w:r>
      <w:r w:rsidRPr="00B36B93">
        <w:rPr>
          <w:i/>
        </w:rPr>
        <w:tab/>
      </w:r>
      <w:r w:rsidRPr="00B36B93">
        <w:rPr>
          <w:i/>
          <w:iCs/>
        </w:rPr>
        <w:t>удостовериться в том, что оборудование, предписанное в ДОПОГ для транспортных средств, экипажа транспортного средства и некоторых классов, находится на борту транспортного средства».</w:t>
      </w:r>
    </w:p>
    <w:p w:rsidR="00B36B93" w:rsidRPr="00B36B93" w:rsidRDefault="00B36B93" w:rsidP="00B36B93">
      <w:pPr>
        <w:pStyle w:val="SingleTxt"/>
      </w:pPr>
      <w:r w:rsidRPr="00B36B93">
        <w:t>11.</w:t>
      </w:r>
      <w:r w:rsidRPr="00B36B93">
        <w:tab/>
        <w:t xml:space="preserve">Если Рабочая группа считает необходимым подчеркнуть тот факт, что подпункт </w:t>
      </w:r>
      <w:r w:rsidRPr="00B36B93">
        <w:rPr>
          <w:lang w:val="en-GB"/>
        </w:rPr>
        <w:t>g</w:t>
      </w:r>
      <w:r w:rsidRPr="00B36B93">
        <w:t>) пункта 1.4.2.2.1 охватывает противопожарное оборудование, мы предлагаем включить пояснение в круглых скобках. Полезным в этом отношении является толкование, которого придерживается Рабочая группа.</w:t>
      </w:r>
    </w:p>
    <w:p w:rsidR="00B36B93" w:rsidRDefault="00B36B93" w:rsidP="00B36B93">
      <w:pPr>
        <w:pStyle w:val="SingleTxt"/>
      </w:pPr>
      <w:r w:rsidRPr="00B36B93">
        <w:t>12.</w:t>
      </w:r>
      <w:r w:rsidRPr="00B36B93">
        <w:tab/>
        <w:t>Независимо от того, какое решение будет выбрано, термин «транспортное средство</w:t>
      </w:r>
      <w:r w:rsidRPr="00B36B93">
        <w:rPr>
          <w:i/>
          <w:iCs/>
        </w:rPr>
        <w:t>»</w:t>
      </w:r>
      <w:r w:rsidRPr="00B36B93">
        <w:t xml:space="preserve"> надлежит дважды заменить термином «транспортная единица</w:t>
      </w:r>
      <w:r w:rsidRPr="00B36B93">
        <w:rPr>
          <w:i/>
          <w:iCs/>
        </w:rPr>
        <w:t>»</w:t>
      </w:r>
      <w:r w:rsidRPr="00B36B93">
        <w:t xml:space="preserve"> в целях согласования с разделом </w:t>
      </w:r>
      <w:r w:rsidRPr="00B36B93">
        <w:rPr>
          <w:b/>
        </w:rPr>
        <w:t>8.1.4 П</w:t>
      </w:r>
      <w:r w:rsidRPr="00B36B93">
        <w:rPr>
          <w:b/>
          <w:bCs/>
        </w:rPr>
        <w:t>ротивопожарное оборудование</w:t>
      </w:r>
      <w:r w:rsidRPr="00B36B93">
        <w:t xml:space="preserve"> и новым принятым текстом пунктов 8.1.5.3 и</w:t>
      </w:r>
      <w:r w:rsidR="001B463A">
        <w:t xml:space="preserve"> 5.4.3.4 –</w:t>
      </w:r>
      <w:r w:rsidRPr="00B36B93">
        <w:t xml:space="preserve"> четырехстраничный образец письменных инструкций (дважды на последней странице): заголовок после таблицы и первый подпункт после слов «Дополнительное снаряжение, требуемое для некоторых классов».</w:t>
      </w:r>
    </w:p>
    <w:p w:rsidR="001B463A" w:rsidRPr="001B463A" w:rsidRDefault="001B463A" w:rsidP="001B463A">
      <w:pPr>
        <w:pStyle w:val="SingleTxt"/>
        <w:spacing w:after="0" w:line="120" w:lineRule="exact"/>
        <w:rPr>
          <w:sz w:val="10"/>
        </w:rPr>
      </w:pPr>
    </w:p>
    <w:p w:rsidR="001B463A" w:rsidRPr="001B463A" w:rsidRDefault="001B463A" w:rsidP="001B463A">
      <w:pPr>
        <w:pStyle w:val="SingleTxt"/>
        <w:spacing w:after="0" w:line="120" w:lineRule="exact"/>
        <w:rPr>
          <w:sz w:val="10"/>
        </w:rPr>
      </w:pPr>
    </w:p>
    <w:p w:rsidR="00B36B93" w:rsidRDefault="00B36B93" w:rsidP="001B46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36B93">
        <w:tab/>
      </w:r>
      <w:r w:rsidRPr="00B36B93">
        <w:tab/>
        <w:t>Предложение</w:t>
      </w:r>
    </w:p>
    <w:p w:rsidR="001B463A" w:rsidRPr="001B463A" w:rsidRDefault="001B463A" w:rsidP="001B463A">
      <w:pPr>
        <w:pStyle w:val="SingleTxt"/>
        <w:spacing w:after="0" w:line="120" w:lineRule="exact"/>
        <w:rPr>
          <w:b/>
          <w:sz w:val="10"/>
        </w:rPr>
      </w:pPr>
    </w:p>
    <w:p w:rsidR="001B463A" w:rsidRPr="001B463A" w:rsidRDefault="001B463A" w:rsidP="001B463A">
      <w:pPr>
        <w:pStyle w:val="SingleTxt"/>
        <w:spacing w:after="0" w:line="120" w:lineRule="exact"/>
        <w:rPr>
          <w:b/>
          <w:sz w:val="10"/>
        </w:rPr>
      </w:pPr>
    </w:p>
    <w:p w:rsidR="00B36B93" w:rsidRPr="00B36B93" w:rsidRDefault="00B36B93" w:rsidP="00B36B93">
      <w:pPr>
        <w:pStyle w:val="SingleTxt"/>
      </w:pPr>
      <w:r w:rsidRPr="00B36B93">
        <w:t>13.</w:t>
      </w:r>
      <w:r w:rsidRPr="00B36B93">
        <w:tab/>
        <w:t xml:space="preserve">Изменить текст подпункта </w:t>
      </w:r>
      <w:r w:rsidRPr="00B36B93">
        <w:rPr>
          <w:lang w:val="en-US"/>
        </w:rPr>
        <w:t>g</w:t>
      </w:r>
      <w:r w:rsidRPr="00B36B93">
        <w:t>) пункта 1.4.2.2.1 следующим образом (новый текст выделен жирным шрифтом и подчеркнут, а исключенный текст зачеркнут):</w:t>
      </w:r>
    </w:p>
    <w:p w:rsidR="00B36B93" w:rsidRDefault="00B36B93" w:rsidP="00B36B93">
      <w:pPr>
        <w:pStyle w:val="SingleTxt"/>
      </w:pPr>
      <w:r w:rsidRPr="00B36B93">
        <w:t>«g)</w:t>
      </w:r>
      <w:r w:rsidRPr="00B36B93">
        <w:tab/>
        <w:t xml:space="preserve">удостовериться в том, что </w:t>
      </w:r>
      <w:r w:rsidRPr="00B36B93">
        <w:rPr>
          <w:b/>
          <w:bCs/>
          <w:u w:val="single"/>
        </w:rPr>
        <w:t>письменные инструкции находятся в кабине экипажа транспортного средства и</w:t>
      </w:r>
      <w:r w:rsidRPr="00B36B93">
        <w:t xml:space="preserve"> оборудование, предписанное в ДОПОГ для </w:t>
      </w:r>
      <w:r w:rsidRPr="001B463A">
        <w:rPr>
          <w:strike/>
        </w:rPr>
        <w:t>транспортных средств,</w:t>
      </w:r>
      <w:r w:rsidRPr="00B36B93">
        <w:t xml:space="preserve"> </w:t>
      </w:r>
      <w:r w:rsidRPr="00B36B93">
        <w:rPr>
          <w:b/>
          <w:bCs/>
          <w:u w:val="single"/>
        </w:rPr>
        <w:t>транспортной единицы (включая противопожарное оборудование)</w:t>
      </w:r>
      <w:r w:rsidRPr="00B36B93">
        <w:t xml:space="preserve">, экипажа транспортного средства и некоторых классов, находится на </w:t>
      </w:r>
      <w:r w:rsidRPr="001B463A">
        <w:rPr>
          <w:strike/>
        </w:rPr>
        <w:t>борту транспортного средства</w:t>
      </w:r>
      <w:r w:rsidRPr="00B36B93">
        <w:t xml:space="preserve"> </w:t>
      </w:r>
      <w:r w:rsidRPr="00B36B93">
        <w:rPr>
          <w:b/>
          <w:bCs/>
          <w:u w:val="single"/>
        </w:rPr>
        <w:t>транспортной единице</w:t>
      </w:r>
      <w:r w:rsidRPr="00B36B93">
        <w:t>.».</w:t>
      </w:r>
    </w:p>
    <w:p w:rsidR="001B463A" w:rsidRPr="001B463A" w:rsidRDefault="001B463A" w:rsidP="001B463A">
      <w:pPr>
        <w:pStyle w:val="SingleTxt"/>
        <w:spacing w:after="0" w:line="120" w:lineRule="exact"/>
        <w:rPr>
          <w:sz w:val="10"/>
        </w:rPr>
      </w:pPr>
    </w:p>
    <w:p w:rsidR="001B463A" w:rsidRPr="001B463A" w:rsidRDefault="001B463A" w:rsidP="001B463A">
      <w:pPr>
        <w:pStyle w:val="SingleTxt"/>
        <w:spacing w:after="0" w:line="120" w:lineRule="exact"/>
        <w:rPr>
          <w:sz w:val="10"/>
        </w:rPr>
      </w:pPr>
    </w:p>
    <w:p w:rsidR="00B36B93" w:rsidRDefault="00B36B93" w:rsidP="001B46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36B93">
        <w:tab/>
      </w:r>
      <w:r w:rsidRPr="00B36B93">
        <w:tab/>
        <w:t>Сопутствующая поправка</w:t>
      </w:r>
    </w:p>
    <w:p w:rsidR="001B463A" w:rsidRPr="001B463A" w:rsidRDefault="001B463A" w:rsidP="001B463A">
      <w:pPr>
        <w:pStyle w:val="SingleTxt"/>
        <w:spacing w:after="0" w:line="120" w:lineRule="exact"/>
        <w:rPr>
          <w:b/>
          <w:sz w:val="10"/>
        </w:rPr>
      </w:pPr>
    </w:p>
    <w:p w:rsidR="001B463A" w:rsidRPr="001B463A" w:rsidRDefault="001B463A" w:rsidP="001B463A">
      <w:pPr>
        <w:pStyle w:val="SingleTxt"/>
        <w:spacing w:after="0" w:line="120" w:lineRule="exact"/>
        <w:rPr>
          <w:b/>
          <w:sz w:val="10"/>
        </w:rPr>
      </w:pPr>
    </w:p>
    <w:p w:rsidR="00B36B93" w:rsidRDefault="00B36B93" w:rsidP="00B36B93">
      <w:pPr>
        <w:pStyle w:val="SingleTxt"/>
      </w:pPr>
      <w:r w:rsidRPr="00B36B93">
        <w:t>14.</w:t>
      </w:r>
      <w:r w:rsidRPr="00B36B93">
        <w:tab/>
        <w:t>Исключить пункт 1.4.2.2.6.</w:t>
      </w:r>
    </w:p>
    <w:p w:rsidR="001B463A" w:rsidRPr="001B463A" w:rsidRDefault="001B463A" w:rsidP="001B463A">
      <w:pPr>
        <w:pStyle w:val="SingleTxt"/>
        <w:spacing w:after="0" w:line="120" w:lineRule="exact"/>
        <w:rPr>
          <w:sz w:val="10"/>
        </w:rPr>
      </w:pPr>
    </w:p>
    <w:p w:rsidR="001B463A" w:rsidRPr="001B463A" w:rsidRDefault="001B463A" w:rsidP="001B463A">
      <w:pPr>
        <w:pStyle w:val="SingleTxt"/>
        <w:spacing w:after="0" w:line="120" w:lineRule="exact"/>
        <w:rPr>
          <w:sz w:val="10"/>
        </w:rPr>
      </w:pPr>
    </w:p>
    <w:p w:rsidR="00B36B93" w:rsidRDefault="00B36B93" w:rsidP="001B46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36B93">
        <w:tab/>
      </w:r>
      <w:r w:rsidRPr="00B36B93">
        <w:tab/>
        <w:t>Обоснование</w:t>
      </w:r>
    </w:p>
    <w:p w:rsidR="001B463A" w:rsidRPr="001B463A" w:rsidRDefault="001B463A" w:rsidP="001B463A">
      <w:pPr>
        <w:pStyle w:val="SingleTxt"/>
        <w:spacing w:after="0" w:line="120" w:lineRule="exact"/>
        <w:rPr>
          <w:b/>
          <w:sz w:val="10"/>
        </w:rPr>
      </w:pPr>
    </w:p>
    <w:p w:rsidR="001B463A" w:rsidRPr="001B463A" w:rsidRDefault="001B463A" w:rsidP="001B463A">
      <w:pPr>
        <w:pStyle w:val="SingleTxt"/>
        <w:spacing w:after="0" w:line="120" w:lineRule="exact"/>
        <w:rPr>
          <w:b/>
          <w:sz w:val="10"/>
        </w:rPr>
      </w:pPr>
    </w:p>
    <w:p w:rsidR="00B36B93" w:rsidRPr="00B36B93" w:rsidRDefault="00B36B93" w:rsidP="00B36B93">
      <w:pPr>
        <w:pStyle w:val="SingleTxt"/>
      </w:pPr>
      <w:r w:rsidRPr="00B36B93">
        <w:t>15.</w:t>
      </w:r>
      <w:r w:rsidRPr="00B36B93">
        <w:tab/>
        <w:t>Безопасность:</w:t>
      </w:r>
      <w:r w:rsidRPr="00B36B93">
        <w:tab/>
      </w:r>
      <w:r w:rsidRPr="00B36B93">
        <w:tab/>
      </w:r>
      <w:r w:rsidR="001B463A">
        <w:tab/>
      </w:r>
      <w:r w:rsidR="001B463A">
        <w:tab/>
      </w:r>
      <w:r w:rsidRPr="00B36B93">
        <w:t>Повышается уровень безопасности.</w:t>
      </w:r>
    </w:p>
    <w:p w:rsidR="00B36B93" w:rsidRPr="00B36B93" w:rsidRDefault="00B36B93" w:rsidP="001B463A">
      <w:pPr>
        <w:pStyle w:val="SingleTxt"/>
        <w:ind w:left="4622" w:hanging="3197"/>
      </w:pPr>
      <w:r w:rsidRPr="00B36B93">
        <w:tab/>
        <w:t>Осуществимость</w:t>
      </w:r>
      <w:r w:rsidR="001B463A">
        <w:t>:</w:t>
      </w:r>
      <w:r w:rsidR="001B463A">
        <w:tab/>
      </w:r>
      <w:r w:rsidR="001B463A">
        <w:tab/>
      </w:r>
      <w:r w:rsidR="001B463A">
        <w:tab/>
      </w:r>
      <w:r w:rsidRPr="00B36B93">
        <w:t>Предотвращаетс</w:t>
      </w:r>
      <w:r w:rsidR="001B463A">
        <w:t xml:space="preserve">я путаница при толковании </w:t>
      </w:r>
      <w:r w:rsidRPr="00B36B93">
        <w:t>положений ДОПОГ.</w:t>
      </w:r>
    </w:p>
    <w:p w:rsidR="00B36B93" w:rsidRDefault="00B36B93" w:rsidP="00B36B93">
      <w:pPr>
        <w:pStyle w:val="SingleTxt"/>
      </w:pPr>
      <w:r w:rsidRPr="00B36B93">
        <w:tab/>
        <w:t>Обеспечение применения:</w:t>
      </w:r>
      <w:r w:rsidRPr="00B36B93">
        <w:tab/>
        <w:t>Облегчается применение положений.</w:t>
      </w:r>
    </w:p>
    <w:p w:rsidR="001B463A" w:rsidRPr="001B463A" w:rsidRDefault="00F02530" w:rsidP="001B463A">
      <w:pPr>
        <w:pStyle w:val="SingleTxt"/>
        <w:spacing w:after="0" w:line="240" w:lineRule="auto"/>
      </w:pPr>
      <w:r w:rsidRPr="00F02530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1B463A" w:rsidRPr="001B463A" w:rsidSect="00157A8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B0" w:rsidRDefault="00AD07B0" w:rsidP="008A1A7A">
      <w:pPr>
        <w:spacing w:line="240" w:lineRule="auto"/>
      </w:pPr>
      <w:r>
        <w:separator/>
      </w:r>
    </w:p>
  </w:endnote>
  <w:endnote w:type="continuationSeparator" w:id="0">
    <w:p w:rsidR="00AD07B0" w:rsidRDefault="00AD07B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157A84" w:rsidTr="00157A8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57A84" w:rsidRPr="00157A84" w:rsidRDefault="00F02530" w:rsidP="00157A84">
          <w:pPr>
            <w:pStyle w:val="Pieddepage"/>
            <w:rPr>
              <w:color w:val="000000"/>
            </w:rPr>
          </w:pPr>
          <w:r>
            <w:fldChar w:fldCharType="begin"/>
          </w:r>
          <w:r w:rsidR="00157A84">
            <w:instrText xml:space="preserve"> PAGE  \* Arabic  \* MERGEFORMAT </w:instrText>
          </w:r>
          <w:r>
            <w:fldChar w:fldCharType="separate"/>
          </w:r>
          <w:r w:rsidR="00824A99">
            <w:rPr>
              <w:noProof/>
            </w:rPr>
            <w:t>2</w:t>
          </w:r>
          <w:r>
            <w:fldChar w:fldCharType="end"/>
          </w:r>
          <w:r w:rsidR="00157A84">
            <w:t>/</w:t>
          </w:r>
          <w:fldSimple w:instr=" NUMPAGES  \* Arabic  \* MERGEFORMAT ">
            <w:r w:rsidR="00824A99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57A84" w:rsidRPr="00157A84" w:rsidRDefault="00F02530" w:rsidP="00157A84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B25082">
              <w:rPr>
                <w:b w:val="0"/>
                <w:color w:val="000000"/>
                <w:sz w:val="14"/>
              </w:rPr>
              <w:t>GE.16-01631</w:t>
            </w:r>
          </w:fldSimple>
        </w:p>
      </w:tc>
    </w:tr>
  </w:tbl>
  <w:p w:rsidR="00157A84" w:rsidRPr="00157A84" w:rsidRDefault="00157A84" w:rsidP="00157A8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157A84" w:rsidTr="00157A8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57A84" w:rsidRPr="00157A84" w:rsidRDefault="00F02530" w:rsidP="00157A84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B25082">
              <w:rPr>
                <w:b w:val="0"/>
                <w:color w:val="000000"/>
                <w:sz w:val="14"/>
              </w:rPr>
              <w:t>GE.16-01631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57A84" w:rsidRPr="00157A84" w:rsidRDefault="00F02530" w:rsidP="00157A84">
          <w:pPr>
            <w:pStyle w:val="Pieddepage"/>
            <w:jc w:val="right"/>
          </w:pPr>
          <w:r>
            <w:fldChar w:fldCharType="begin"/>
          </w:r>
          <w:r w:rsidR="00157A84">
            <w:instrText xml:space="preserve"> PAGE  \* Arabic  \* MERGEFORMAT </w:instrText>
          </w:r>
          <w:r>
            <w:fldChar w:fldCharType="separate"/>
          </w:r>
          <w:r w:rsidR="00824A99">
            <w:rPr>
              <w:noProof/>
            </w:rPr>
            <w:t>3</w:t>
          </w:r>
          <w:r>
            <w:fldChar w:fldCharType="end"/>
          </w:r>
          <w:r w:rsidR="00157A84">
            <w:t>/</w:t>
          </w:r>
          <w:fldSimple w:instr=" NUMPAGES  \* Arabic  \* MERGEFORMAT ">
            <w:r w:rsidR="00824A99">
              <w:rPr>
                <w:noProof/>
              </w:rPr>
              <w:t>3</w:t>
            </w:r>
          </w:fldSimple>
        </w:p>
      </w:tc>
    </w:tr>
  </w:tbl>
  <w:p w:rsidR="00157A84" w:rsidRPr="00157A84" w:rsidRDefault="00157A84" w:rsidP="00157A8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157A84" w:rsidTr="00157A84">
      <w:tc>
        <w:tcPr>
          <w:tcW w:w="3873" w:type="dxa"/>
        </w:tcPr>
        <w:p w:rsidR="00157A84" w:rsidRDefault="00157A84" w:rsidP="00157A84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GE.16-01631 (R)</w:t>
          </w:r>
          <w:r w:rsidR="00127223">
            <w:rPr>
              <w:color w:val="010000"/>
            </w:rPr>
            <w:t xml:space="preserve">    2</w:t>
          </w:r>
          <w:r w:rsidR="00127223">
            <w:rPr>
              <w:color w:val="010000"/>
              <w:lang w:val="en-US"/>
            </w:rPr>
            <w:t>4</w:t>
          </w:r>
          <w:r>
            <w:rPr>
              <w:color w:val="010000"/>
            </w:rPr>
            <w:t>0216    260216</w:t>
          </w:r>
        </w:p>
        <w:p w:rsidR="00157A84" w:rsidRPr="00157A84" w:rsidRDefault="00157A84" w:rsidP="00157A8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*1601631*</w:t>
          </w:r>
        </w:p>
      </w:tc>
      <w:tc>
        <w:tcPr>
          <w:tcW w:w="5127" w:type="dxa"/>
        </w:tcPr>
        <w:p w:rsidR="00157A84" w:rsidRDefault="00157A84" w:rsidP="00157A84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7A84" w:rsidRPr="00157A84" w:rsidRDefault="00157A84" w:rsidP="00157A84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B0" w:rsidRPr="00EF6BF1" w:rsidRDefault="00AD07B0" w:rsidP="00EF6BF1">
      <w:pPr>
        <w:pStyle w:val="Pieddepage"/>
        <w:spacing w:after="80"/>
        <w:ind w:left="792"/>
        <w:rPr>
          <w:sz w:val="16"/>
        </w:rPr>
      </w:pPr>
      <w:r w:rsidRPr="00EF6BF1">
        <w:rPr>
          <w:sz w:val="16"/>
        </w:rPr>
        <w:t>__________________</w:t>
      </w:r>
    </w:p>
  </w:footnote>
  <w:footnote w:type="continuationSeparator" w:id="0">
    <w:p w:rsidR="00AD07B0" w:rsidRPr="00EF6BF1" w:rsidRDefault="00AD07B0" w:rsidP="00EF6BF1">
      <w:pPr>
        <w:pStyle w:val="Pieddepage"/>
        <w:spacing w:after="80"/>
        <w:ind w:left="792"/>
        <w:rPr>
          <w:sz w:val="16"/>
        </w:rPr>
      </w:pPr>
      <w:r w:rsidRPr="00EF6BF1">
        <w:rPr>
          <w:sz w:val="16"/>
        </w:rPr>
        <w:t>__________________</w:t>
      </w:r>
    </w:p>
  </w:footnote>
  <w:footnote w:id="1">
    <w:p w:rsidR="00127223" w:rsidRPr="0047428C" w:rsidRDefault="00127223" w:rsidP="00EF6BF1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Pr="00357440">
        <w:tab/>
      </w:r>
      <w:r w:rsidRPr="008F172B">
        <w:t>В соответствии с проектом программы работы Комитета по внутреннему транспорту на 2016–2017 годы (ECE/TRANS/WP.15/2015/19 (9.2)).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157A84" w:rsidTr="00157A8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57A84" w:rsidRPr="00157A84" w:rsidRDefault="00F02530" w:rsidP="00157A84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B25082">
              <w:rPr>
                <w:b/>
              </w:rPr>
              <w:t>ECE/TRANS/WP.15/2016/1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57A84" w:rsidRDefault="00157A84" w:rsidP="00157A84">
          <w:pPr>
            <w:pStyle w:val="En-tte"/>
          </w:pPr>
        </w:p>
      </w:tc>
    </w:tr>
  </w:tbl>
  <w:p w:rsidR="00157A84" w:rsidRPr="00157A84" w:rsidRDefault="00157A84" w:rsidP="00157A8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157A84" w:rsidTr="00157A8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57A84" w:rsidRDefault="00157A84" w:rsidP="00157A84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157A84" w:rsidRPr="00157A84" w:rsidRDefault="00F02530" w:rsidP="00157A84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B25082">
              <w:rPr>
                <w:b/>
              </w:rPr>
              <w:t>ECE/TRANS/WP.15/2016/1</w:t>
            </w:r>
          </w:fldSimple>
        </w:p>
      </w:tc>
    </w:tr>
  </w:tbl>
  <w:p w:rsidR="00157A84" w:rsidRPr="00157A84" w:rsidRDefault="00157A84" w:rsidP="00157A8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157A84" w:rsidTr="00157A8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57A84" w:rsidRPr="00157A84" w:rsidRDefault="00157A84" w:rsidP="00157A8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7A84" w:rsidRDefault="00157A84" w:rsidP="00157A84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57A84" w:rsidRPr="00157A84" w:rsidRDefault="00157A84" w:rsidP="00157A84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/TRANS/WP.15/2016/1</w:t>
          </w:r>
        </w:p>
      </w:tc>
    </w:tr>
    <w:tr w:rsidR="00157A84" w:rsidRPr="0047428C" w:rsidTr="00157A8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7A84" w:rsidRPr="00157A84" w:rsidRDefault="00157A84" w:rsidP="00157A84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7A84" w:rsidRPr="00157A84" w:rsidRDefault="00157A84" w:rsidP="00157A8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7A84" w:rsidRPr="00157A84" w:rsidRDefault="00157A84" w:rsidP="00157A84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7A84" w:rsidRPr="00127223" w:rsidRDefault="00157A84" w:rsidP="00157A84">
          <w:pPr>
            <w:pStyle w:val="Distribution"/>
            <w:rPr>
              <w:color w:val="000000"/>
              <w:lang w:val="en-US"/>
            </w:rPr>
          </w:pPr>
          <w:r w:rsidRPr="00127223">
            <w:rPr>
              <w:color w:val="000000"/>
              <w:lang w:val="en-US"/>
            </w:rPr>
            <w:t>Distr.: General</w:t>
          </w:r>
        </w:p>
        <w:p w:rsidR="00157A84" w:rsidRPr="00127223" w:rsidRDefault="00157A84" w:rsidP="00127223">
          <w:pPr>
            <w:pStyle w:val="Publication"/>
            <w:rPr>
              <w:color w:val="000000"/>
              <w:lang w:val="en-US"/>
            </w:rPr>
          </w:pPr>
          <w:r w:rsidRPr="00127223">
            <w:rPr>
              <w:color w:val="000000"/>
              <w:lang w:val="en-US"/>
            </w:rPr>
            <w:t>8 February 2016</w:t>
          </w:r>
        </w:p>
        <w:p w:rsidR="00157A84" w:rsidRPr="00127223" w:rsidRDefault="00157A84" w:rsidP="00157A84">
          <w:pPr>
            <w:rPr>
              <w:color w:val="000000"/>
              <w:lang w:val="en-US"/>
            </w:rPr>
          </w:pPr>
          <w:r w:rsidRPr="00127223">
            <w:rPr>
              <w:color w:val="000000"/>
              <w:lang w:val="en-US"/>
            </w:rPr>
            <w:t>Russian</w:t>
          </w:r>
        </w:p>
        <w:p w:rsidR="00157A84" w:rsidRPr="00127223" w:rsidRDefault="00157A84" w:rsidP="00157A84">
          <w:pPr>
            <w:pStyle w:val="Original"/>
            <w:rPr>
              <w:color w:val="000000"/>
              <w:lang w:val="en-US"/>
            </w:rPr>
          </w:pPr>
          <w:r w:rsidRPr="00127223">
            <w:rPr>
              <w:color w:val="000000"/>
              <w:lang w:val="en-US"/>
            </w:rPr>
            <w:t>Original: English</w:t>
          </w:r>
        </w:p>
        <w:p w:rsidR="00157A84" w:rsidRPr="00127223" w:rsidRDefault="00157A84" w:rsidP="00157A84">
          <w:pPr>
            <w:rPr>
              <w:lang w:val="en-US"/>
            </w:rPr>
          </w:pPr>
        </w:p>
      </w:tc>
    </w:tr>
  </w:tbl>
  <w:p w:rsidR="00157A84" w:rsidRPr="00127223" w:rsidRDefault="00157A84" w:rsidP="00157A84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601631*"/>
    <w:docVar w:name="CreationDt" w:val="2/26/2016 3:51: PM"/>
    <w:docVar w:name="DocCategory" w:val="Doc"/>
    <w:docVar w:name="DocType" w:val="Final"/>
    <w:docVar w:name="DutyStation" w:val="Geneva"/>
    <w:docVar w:name="FooterJN" w:val="GE.16-01631"/>
    <w:docVar w:name="jobn" w:val="GE.16-01631 (R)"/>
    <w:docVar w:name="jobnDT" w:val="GE.16-01631 (R)   260216"/>
    <w:docVar w:name="jobnDTDT" w:val="GE.16-01631 (R)   260216   260216"/>
    <w:docVar w:name="JobNo" w:val="GE.1601631R"/>
    <w:docVar w:name="JobNo2" w:val="1601986R"/>
    <w:docVar w:name="LocalDrive" w:val="0"/>
    <w:docVar w:name="OandT" w:val="U.A."/>
    <w:docVar w:name="PaperSize" w:val="A4"/>
    <w:docVar w:name="sss1" w:val="ECE/TRANS/WP.15/2016/1"/>
    <w:docVar w:name="sss2" w:val="-"/>
    <w:docVar w:name="Symbol1" w:val="ECE/TRANS/WP.15/2016/1"/>
    <w:docVar w:name="Symbol2" w:val="-"/>
  </w:docVars>
  <w:rsids>
    <w:rsidRoot w:val="00E24DBE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7223"/>
    <w:rsid w:val="0014308F"/>
    <w:rsid w:val="001444A3"/>
    <w:rsid w:val="00145BAE"/>
    <w:rsid w:val="00153645"/>
    <w:rsid w:val="00153E04"/>
    <w:rsid w:val="00153E8C"/>
    <w:rsid w:val="001565FD"/>
    <w:rsid w:val="00157A84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463A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3AF2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536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428C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1791F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4A99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07B0"/>
    <w:rsid w:val="00AD12DB"/>
    <w:rsid w:val="00AD6322"/>
    <w:rsid w:val="00AD6752"/>
    <w:rsid w:val="00AD78B1"/>
    <w:rsid w:val="00AE1E2A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5082"/>
    <w:rsid w:val="00B2753B"/>
    <w:rsid w:val="00B30444"/>
    <w:rsid w:val="00B33139"/>
    <w:rsid w:val="00B36652"/>
    <w:rsid w:val="00B36B93"/>
    <w:rsid w:val="00B44E4D"/>
    <w:rsid w:val="00B47187"/>
    <w:rsid w:val="00B5129B"/>
    <w:rsid w:val="00B56376"/>
    <w:rsid w:val="00B5741E"/>
    <w:rsid w:val="00B606B7"/>
    <w:rsid w:val="00B62C69"/>
    <w:rsid w:val="00B663E3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DBE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6BF1"/>
    <w:rsid w:val="00EF7FD0"/>
    <w:rsid w:val="00F0253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157A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A8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A8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A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A8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A9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57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A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A8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A8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3E6B-EF4B-4291-807B-71D56C16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Maison</cp:lastModifiedBy>
  <cp:revision>2</cp:revision>
  <cp:lastPrinted>2016-02-26T15:34:00Z</cp:lastPrinted>
  <dcterms:created xsi:type="dcterms:W3CDTF">2016-03-24T12:29:00Z</dcterms:created>
  <dcterms:modified xsi:type="dcterms:W3CDTF">2016-03-24T12:29:00Z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1601631R</vt:lpwstr>
  </property>
  <property fmtid="{D5CDD505-2E9C-101B-9397-08002B2CF9AE}" pid="3" name="ODSRefJobNo">
    <vt:lpwstr>1601986R</vt:lpwstr>
  </property>
  <property fmtid="{D5CDD505-2E9C-101B-9397-08002B2CF9AE}" pid="4" name="Symbol1">
    <vt:lpwstr>ECE/TRANS/WP.15/2016/1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8 February 2016</vt:lpwstr>
  </property>
  <property fmtid="{D5CDD505-2E9C-101B-9397-08002B2CF9AE}" pid="12" name="Original">
    <vt:lpwstr>English</vt:lpwstr>
  </property>
  <property fmtid="{D5CDD505-2E9C-101B-9397-08002B2CF9AE}" pid="13" name="Release Date">
    <vt:lpwstr>260216</vt:lpwstr>
  </property>
</Properties>
</file>