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9736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9736F" w:rsidP="0039736F">
            <w:pPr>
              <w:jc w:val="right"/>
            </w:pPr>
            <w:r w:rsidRPr="0039736F">
              <w:rPr>
                <w:sz w:val="40"/>
              </w:rPr>
              <w:t>ECE</w:t>
            </w:r>
            <w:r>
              <w:t>/TRANS/WP.15/2016/1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9736F" w:rsidP="00892A2F">
            <w:pPr>
              <w:spacing w:before="240"/>
            </w:pPr>
            <w:r>
              <w:t>Distr. générale</w:t>
            </w:r>
          </w:p>
          <w:p w:rsidR="0039736F" w:rsidRDefault="0039736F" w:rsidP="0039736F">
            <w:pPr>
              <w:spacing w:line="240" w:lineRule="exact"/>
            </w:pPr>
            <w:r>
              <w:t>8 février 2016</w:t>
            </w:r>
          </w:p>
          <w:p w:rsidR="0039736F" w:rsidRDefault="0039736F" w:rsidP="0039736F">
            <w:pPr>
              <w:spacing w:line="240" w:lineRule="exact"/>
            </w:pPr>
            <w:r>
              <w:t>Français</w:t>
            </w:r>
          </w:p>
          <w:p w:rsidR="0039736F" w:rsidRPr="00DB58B5" w:rsidRDefault="0039736F" w:rsidP="0039736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735F4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9736F" w:rsidRPr="009E01B8" w:rsidRDefault="0039736F" w:rsidP="00E85C74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:rsidR="0039736F" w:rsidRPr="00992778" w:rsidRDefault="0039736F" w:rsidP="00E85C74">
      <w:pPr>
        <w:spacing w:before="120"/>
        <w:rPr>
          <w:b/>
        </w:rPr>
      </w:pPr>
      <w:r w:rsidRPr="002824D7">
        <w:rPr>
          <w:b/>
          <w:szCs w:val="24"/>
        </w:rPr>
        <w:t>Centième</w:t>
      </w:r>
      <w:r>
        <w:rPr>
          <w:b/>
        </w:rPr>
        <w:t xml:space="preserve"> </w:t>
      </w:r>
      <w:r w:rsidRPr="00992778">
        <w:rPr>
          <w:b/>
        </w:rPr>
        <w:t>session</w:t>
      </w:r>
    </w:p>
    <w:p w:rsidR="0039736F" w:rsidRDefault="0039736F" w:rsidP="00E85C74">
      <w:r>
        <w:t xml:space="preserve">Genève, </w:t>
      </w:r>
      <w:r w:rsidRPr="002824D7">
        <w:rPr>
          <w:szCs w:val="24"/>
          <w:lang w:val="fr-FR"/>
        </w:rPr>
        <w:t>9-13 mai 2016</w:t>
      </w:r>
    </w:p>
    <w:p w:rsidR="0039736F" w:rsidRDefault="0039736F" w:rsidP="00E85C74">
      <w:r w:rsidRPr="00B93E72">
        <w:t>Point</w:t>
      </w:r>
      <w:r>
        <w:t> </w:t>
      </w:r>
      <w:r>
        <w:rPr>
          <w:szCs w:val="24"/>
          <w:lang w:val="fr-FR"/>
        </w:rPr>
        <w:t>6 </w:t>
      </w:r>
      <w:r w:rsidRPr="002824D7">
        <w:rPr>
          <w:szCs w:val="24"/>
          <w:lang w:val="fr-FR"/>
        </w:rPr>
        <w:t xml:space="preserve">b) </w:t>
      </w:r>
      <w:r w:rsidRPr="00B93E72">
        <w:t>de l</w:t>
      </w:r>
      <w:r w:rsidR="005735F4">
        <w:t>’</w:t>
      </w:r>
      <w:r w:rsidRPr="00B93E72">
        <w:t>ordre du jour provisoire</w:t>
      </w:r>
    </w:p>
    <w:p w:rsidR="0039736F" w:rsidRPr="002824D7" w:rsidRDefault="0039736F" w:rsidP="0039736F">
      <w:pPr>
        <w:rPr>
          <w:b/>
          <w:szCs w:val="24"/>
        </w:rPr>
      </w:pPr>
      <w:r w:rsidRPr="002824D7">
        <w:rPr>
          <w:b/>
          <w:szCs w:val="24"/>
        </w:rPr>
        <w:t>Propositions d</w:t>
      </w:r>
      <w:r w:rsidR="005735F4">
        <w:rPr>
          <w:b/>
          <w:szCs w:val="24"/>
        </w:rPr>
        <w:t>’</w:t>
      </w:r>
      <w:r w:rsidRPr="002824D7">
        <w:rPr>
          <w:b/>
          <w:szCs w:val="24"/>
        </w:rPr>
        <w:t>amendement aux annexes A et B de l</w:t>
      </w:r>
      <w:r w:rsidR="005735F4">
        <w:rPr>
          <w:b/>
          <w:szCs w:val="24"/>
        </w:rPr>
        <w:t>’ADR :</w:t>
      </w:r>
    </w:p>
    <w:p w:rsidR="0039736F" w:rsidRPr="002824D7" w:rsidRDefault="0039736F" w:rsidP="0039736F">
      <w:pPr>
        <w:rPr>
          <w:b/>
          <w:szCs w:val="24"/>
        </w:rPr>
      </w:pPr>
      <w:r w:rsidRPr="002824D7">
        <w:rPr>
          <w:b/>
          <w:szCs w:val="24"/>
        </w:rPr>
        <w:t>Propositions diverses</w:t>
      </w:r>
    </w:p>
    <w:p w:rsidR="0039736F" w:rsidRPr="002824D7" w:rsidRDefault="0039736F" w:rsidP="005735F4">
      <w:pPr>
        <w:pStyle w:val="HChG"/>
      </w:pPr>
      <w:r w:rsidRPr="002824D7">
        <w:tab/>
      </w:r>
      <w:r w:rsidRPr="002824D7">
        <w:tab/>
      </w:r>
      <w:bookmarkStart w:id="0" w:name="OLE_LINK3"/>
      <w:bookmarkStart w:id="1" w:name="OLE_LINK4"/>
      <w:r w:rsidRPr="00D7587F">
        <w:t>Amend</w:t>
      </w:r>
      <w:r>
        <w:t>e</w:t>
      </w:r>
      <w:r w:rsidRPr="00D7587F">
        <w:t xml:space="preserve">ments </w:t>
      </w:r>
      <w:r w:rsidR="005735F4">
        <w:t>à la sous-section </w:t>
      </w:r>
      <w:r w:rsidRPr="00D7587F">
        <w:t xml:space="preserve">1.4.2.2 </w:t>
      </w:r>
      <w:r w:rsidR="005735F4">
        <w:t xml:space="preserve">– </w:t>
      </w:r>
      <w:r>
        <w:t>Transporteur</w:t>
      </w:r>
      <w:bookmarkEnd w:id="0"/>
      <w:bookmarkEnd w:id="1"/>
    </w:p>
    <w:p w:rsidR="00F9573C" w:rsidRDefault="0039736F" w:rsidP="005735F4">
      <w:pPr>
        <w:pStyle w:val="H1G"/>
      </w:pPr>
      <w:r w:rsidRPr="002824D7">
        <w:tab/>
      </w:r>
      <w:r w:rsidRPr="002824D7">
        <w:tab/>
      </w:r>
      <w:r>
        <w:t xml:space="preserve">Communication du </w:t>
      </w:r>
      <w:r w:rsidR="00FD7E78">
        <w:t xml:space="preserve">Gouvernement </w:t>
      </w:r>
      <w:r>
        <w:t>de la Roumanie</w:t>
      </w:r>
      <w:r w:rsidRPr="002824D7">
        <w:rPr>
          <w:bCs/>
          <w:sz w:val="18"/>
          <w:vertAlign w:val="superscript"/>
          <w:lang w:val="en-GB"/>
        </w:rPr>
        <w:footnoteReference w:id="2"/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/>
      </w:tblPr>
      <w:tblGrid>
        <w:gridCol w:w="9637"/>
      </w:tblGrid>
      <w:tr w:rsidR="0039736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39736F" w:rsidRPr="000001E7" w:rsidRDefault="0039736F" w:rsidP="00216E0F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39736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39736F" w:rsidRPr="005735F4" w:rsidRDefault="0039736F" w:rsidP="0039736F">
            <w:pPr>
              <w:pStyle w:val="SingleTxtG"/>
              <w:ind w:left="3402" w:hanging="2268"/>
            </w:pPr>
            <w:r w:rsidRPr="005735F4">
              <w:rPr>
                <w:b/>
              </w:rPr>
              <w:t>Résumé analytique</w:t>
            </w:r>
            <w:r w:rsidR="00444C30" w:rsidRPr="005735F4">
              <w:rPr>
                <w:b/>
              </w:rPr>
              <w:t> :</w:t>
            </w:r>
            <w:r w:rsidRPr="005735F4">
              <w:tab/>
              <w:t>Il faut placer les principales obligations du transporteur au paragraphe 1.4.2.2.1, alinéas a) à g), afin d</w:t>
            </w:r>
            <w:r w:rsidR="005735F4">
              <w:t>’</w:t>
            </w:r>
            <w:r w:rsidRPr="005735F4">
              <w:t>utiliser les instruments fournis par les</w:t>
            </w:r>
            <w:r w:rsidR="00A7642A">
              <w:t xml:space="preserve"> phrases</w:t>
            </w:r>
            <w:r w:rsidRPr="005735F4">
              <w:t xml:space="preserve"> introductive et finale du paragraphe.</w:t>
            </w:r>
          </w:p>
        </w:tc>
      </w:tr>
      <w:tr w:rsidR="0039736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39736F" w:rsidRPr="005735F4" w:rsidRDefault="0039736F" w:rsidP="00444C30">
            <w:pPr>
              <w:pStyle w:val="SingleTxtG"/>
              <w:ind w:left="3402" w:hanging="2268"/>
            </w:pPr>
            <w:r w:rsidRPr="005735F4">
              <w:rPr>
                <w:b/>
              </w:rPr>
              <w:t>Mesures à prendre</w:t>
            </w:r>
            <w:r w:rsidR="00444C30" w:rsidRPr="005735F4">
              <w:rPr>
                <w:b/>
              </w:rPr>
              <w:t> :</w:t>
            </w:r>
            <w:r w:rsidRPr="005735F4">
              <w:tab/>
              <w:t>1. Déplacer l</w:t>
            </w:r>
            <w:r w:rsidR="005735F4">
              <w:t>’</w:t>
            </w:r>
            <w:r w:rsidRPr="005735F4">
              <w:t xml:space="preserve">obligation </w:t>
            </w:r>
            <w:r w:rsidR="005735F4" w:rsidRPr="005735F4">
              <w:t>du paragraphe </w:t>
            </w:r>
            <w:r w:rsidRPr="005735F4">
              <w:t>1.4.2.2.6 (adopté en mai 2015 pour l</w:t>
            </w:r>
            <w:r w:rsidR="005735F4">
              <w:t>’</w:t>
            </w:r>
            <w:r w:rsidRPr="005735F4">
              <w:t>ADR 2017) vers l</w:t>
            </w:r>
            <w:r w:rsidR="005735F4">
              <w:t>’</w:t>
            </w:r>
            <w:r w:rsidRPr="005735F4">
              <w:t xml:space="preserve">alinéa g) du paragraphe 1.4.2.2.1 ; et </w:t>
            </w:r>
          </w:p>
        </w:tc>
      </w:tr>
      <w:tr w:rsidR="00444C30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444C30" w:rsidRPr="005735F4" w:rsidRDefault="00444C30" w:rsidP="00444C30">
            <w:pPr>
              <w:pStyle w:val="SingleTxtG"/>
              <w:ind w:left="3402"/>
              <w:rPr>
                <w:b/>
                <w:bCs/>
              </w:rPr>
            </w:pPr>
            <w:r w:rsidRPr="005735F4">
              <w:t>2. Introduire l</w:t>
            </w:r>
            <w:r w:rsidR="005735F4">
              <w:t>’</w:t>
            </w:r>
            <w:r w:rsidRPr="005735F4">
              <w:t>obligation pour le transporteur d</w:t>
            </w:r>
            <w:r w:rsidR="005735F4">
              <w:t>’</w:t>
            </w:r>
            <w:r w:rsidRPr="005735F4">
              <w:t>équiper de matériel de lutte contre l</w:t>
            </w:r>
            <w:r w:rsidR="005735F4">
              <w:t>’</w:t>
            </w:r>
            <w:r w:rsidRPr="005735F4">
              <w:t>incendie les unités de transport qui transportent des marchandises dangereuses.</w:t>
            </w:r>
          </w:p>
        </w:tc>
      </w:tr>
      <w:tr w:rsidR="00444C30" w:rsidTr="00FC7284">
        <w:trPr>
          <w:jc w:val="center"/>
        </w:trPr>
        <w:tc>
          <w:tcPr>
            <w:tcW w:w="9637" w:type="dxa"/>
            <w:tcBorders>
              <w:bottom w:val="nil"/>
            </w:tcBorders>
            <w:shd w:val="clear" w:color="auto" w:fill="auto"/>
          </w:tcPr>
          <w:p w:rsidR="00444C30" w:rsidRPr="005735F4" w:rsidRDefault="00444C30" w:rsidP="00444C30">
            <w:pPr>
              <w:pStyle w:val="SingleTxtG"/>
              <w:ind w:left="3402" w:hanging="2268"/>
            </w:pPr>
            <w:r w:rsidRPr="005735F4">
              <w:rPr>
                <w:b/>
                <w:bCs/>
              </w:rPr>
              <w:t>Documents connexes :</w:t>
            </w:r>
            <w:r w:rsidRPr="005735F4">
              <w:rPr>
                <w:b/>
                <w:bCs/>
              </w:rPr>
              <w:tab/>
            </w:r>
            <w:r w:rsidRPr="005735F4">
              <w:rPr>
                <w:bCs/>
              </w:rPr>
              <w:t xml:space="preserve">Document informel </w:t>
            </w:r>
            <w:r w:rsidRPr="005735F4">
              <w:t xml:space="preserve">INF.7 (quatre-vingt dix-septième session du WP.15 – novembre 2014), ECE/TRANS/WP.15/2015/1 (mai 2015), </w:t>
            </w:r>
          </w:p>
        </w:tc>
      </w:tr>
      <w:tr w:rsidR="00444C30" w:rsidTr="00FC7284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44C30" w:rsidRPr="005735F4" w:rsidRDefault="00444C30" w:rsidP="00444C30">
            <w:pPr>
              <w:pStyle w:val="SingleTxtG"/>
              <w:ind w:left="3402"/>
              <w:rPr>
                <w:b/>
                <w:bCs/>
              </w:rPr>
            </w:pPr>
            <w:r w:rsidRPr="005735F4">
              <w:t xml:space="preserve">Par. 25 et 26 du document ECE/TRANS/WP.15/228 (quatre-vingt dix-huitième session du WP.15 – mai 2015), </w:t>
            </w:r>
          </w:p>
        </w:tc>
      </w:tr>
      <w:tr w:rsidR="00444C30" w:rsidTr="00FC7284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44C30" w:rsidRPr="005735F4" w:rsidRDefault="00444C30" w:rsidP="00444C30">
            <w:pPr>
              <w:pStyle w:val="SingleTxtG"/>
              <w:ind w:left="3402"/>
              <w:rPr>
                <w:b/>
                <w:bCs/>
              </w:rPr>
            </w:pPr>
            <w:r w:rsidRPr="005735F4">
              <w:lastRenderedPageBreak/>
              <w:t>Par. 47 du document ECE/TRANS/WP.15/AC.1/140,</w:t>
            </w:r>
          </w:p>
        </w:tc>
      </w:tr>
      <w:tr w:rsidR="00444C30" w:rsidTr="00FC7284">
        <w:trPr>
          <w:jc w:val="center"/>
        </w:trPr>
        <w:tc>
          <w:tcPr>
            <w:tcW w:w="9637" w:type="dxa"/>
            <w:tcBorders>
              <w:top w:val="nil"/>
            </w:tcBorders>
            <w:shd w:val="clear" w:color="auto" w:fill="auto"/>
          </w:tcPr>
          <w:p w:rsidR="00444C30" w:rsidRPr="005735F4" w:rsidRDefault="00444C30" w:rsidP="005735F4">
            <w:pPr>
              <w:pStyle w:val="SingleTxtG"/>
              <w:ind w:left="3402"/>
              <w:rPr>
                <w:b/>
                <w:bCs/>
              </w:rPr>
            </w:pPr>
            <w:r w:rsidRPr="005735F4">
              <w:t>ECE/TRANS/WP.15/AC.1/2015/34 et document informel INF.3 de la session d</w:t>
            </w:r>
            <w:r w:rsidR="005735F4">
              <w:t>’</w:t>
            </w:r>
            <w:r w:rsidRPr="005735F4">
              <w:t>automne 2015 de la Réunion commune RID/ADR/ADN,</w:t>
            </w:r>
          </w:p>
        </w:tc>
      </w:tr>
      <w:tr w:rsidR="00444C30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444C30" w:rsidRPr="005735F4" w:rsidRDefault="00444C30" w:rsidP="00444C30">
            <w:pPr>
              <w:pStyle w:val="SingleTxtG"/>
              <w:ind w:left="3402"/>
              <w:rPr>
                <w:b/>
                <w:bCs/>
              </w:rPr>
            </w:pPr>
            <w:r w:rsidRPr="005735F4">
              <w:t>Document informel INF.6 (quatre-vingt dix-neuvième session du WP.15 – novembre 2015),</w:t>
            </w:r>
          </w:p>
        </w:tc>
      </w:tr>
      <w:tr w:rsidR="0039736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39736F" w:rsidRPr="005735F4" w:rsidRDefault="0039736F" w:rsidP="00444C30">
            <w:pPr>
              <w:pStyle w:val="SingleTxtG"/>
              <w:ind w:left="3402"/>
            </w:pPr>
            <w:r w:rsidRPr="005735F4">
              <w:t>Par.</w:t>
            </w:r>
            <w:r w:rsidR="00444C30" w:rsidRPr="005735F4">
              <w:t> </w:t>
            </w:r>
            <w:r w:rsidRPr="005735F4">
              <w:t>33 et 34 du document ECE/TRANS/WP.15/230 (quatre-vingt dix-neuvième session du</w:t>
            </w:r>
            <w:r w:rsidR="00444C30" w:rsidRPr="005735F4">
              <w:t xml:space="preserve"> WP.15 – </w:t>
            </w:r>
            <w:r w:rsidRPr="005735F4">
              <w:t>novembre 2015).</w:t>
            </w:r>
          </w:p>
        </w:tc>
      </w:tr>
      <w:tr w:rsidR="0039736F" w:rsidTr="00216E0F">
        <w:trPr>
          <w:jc w:val="center"/>
        </w:trPr>
        <w:tc>
          <w:tcPr>
            <w:tcW w:w="9637" w:type="dxa"/>
            <w:shd w:val="clear" w:color="auto" w:fill="auto"/>
          </w:tcPr>
          <w:p w:rsidR="0039736F" w:rsidRDefault="0039736F" w:rsidP="00216E0F"/>
        </w:tc>
      </w:tr>
    </w:tbl>
    <w:p w:rsidR="0039736F" w:rsidRPr="00D7587F" w:rsidRDefault="0039736F" w:rsidP="00444C30">
      <w:pPr>
        <w:pStyle w:val="HChG"/>
        <w:rPr>
          <w:lang w:val="en-GB"/>
        </w:rPr>
      </w:pPr>
      <w:r w:rsidRPr="00D7587F">
        <w:tab/>
      </w:r>
      <w:r w:rsidRPr="00D7587F">
        <w:tab/>
      </w:r>
      <w:r w:rsidR="00444C30">
        <w:rPr>
          <w:lang w:val="en-GB"/>
        </w:rPr>
        <w:t>Introduction</w:t>
      </w:r>
    </w:p>
    <w:p w:rsidR="0039736F" w:rsidRPr="00D354F9" w:rsidRDefault="0039736F" w:rsidP="00444C30">
      <w:pPr>
        <w:pStyle w:val="ParNoG"/>
      </w:pPr>
      <w:r w:rsidRPr="00D7587F">
        <w:t>A</w:t>
      </w:r>
      <w:r w:rsidRPr="00D354F9">
        <w:t>près l</w:t>
      </w:r>
      <w:r w:rsidR="005735F4">
        <w:t>’</w:t>
      </w:r>
      <w:r w:rsidRPr="00D354F9">
        <w:t>a</w:t>
      </w:r>
      <w:r w:rsidRPr="00D7587F">
        <w:t>nalys</w:t>
      </w:r>
      <w:r w:rsidR="00A7642A">
        <w:t>e de la sous-section </w:t>
      </w:r>
      <w:r w:rsidRPr="00D7587F">
        <w:t xml:space="preserve">1.4.2.2 </w:t>
      </w:r>
      <w:r w:rsidRPr="00D354F9">
        <w:t xml:space="preserve">du </w:t>
      </w:r>
      <w:r w:rsidRPr="00D7587F">
        <w:t xml:space="preserve">RID/ADR/ADN </w:t>
      </w:r>
      <w:r w:rsidRPr="00D354F9">
        <w:t>lors de la session d</w:t>
      </w:r>
      <w:r w:rsidR="005735F4">
        <w:t>’</w:t>
      </w:r>
      <w:r w:rsidRPr="00D354F9">
        <w:t>automne</w:t>
      </w:r>
      <w:r>
        <w:t xml:space="preserve"> 2015 de la </w:t>
      </w:r>
      <w:r w:rsidRPr="00D354F9">
        <w:t>Réunion commune</w:t>
      </w:r>
      <w:r>
        <w:t>, il convient de s</w:t>
      </w:r>
      <w:r w:rsidR="005735F4">
        <w:t>’</w:t>
      </w:r>
      <w:r>
        <w:t>intéresser à certaines considérations relatives aux obligations du transporteur de marcha</w:t>
      </w:r>
      <w:r w:rsidR="00444C30">
        <w:t>ndises dangereuses par route.</w:t>
      </w:r>
    </w:p>
    <w:p w:rsidR="0039736F" w:rsidRPr="00D7587F" w:rsidRDefault="0039736F" w:rsidP="00444C30">
      <w:pPr>
        <w:pStyle w:val="ParNoG"/>
        <w:tabs>
          <w:tab w:val="clear" w:pos="1701"/>
        </w:tabs>
        <w:rPr>
          <w:szCs w:val="24"/>
        </w:rPr>
      </w:pPr>
      <w:r w:rsidRPr="00D354F9">
        <w:rPr>
          <w:szCs w:val="24"/>
        </w:rPr>
        <w:t xml:space="preserve">Le document informel </w:t>
      </w:r>
      <w:r w:rsidRPr="00D7587F">
        <w:rPr>
          <w:szCs w:val="24"/>
        </w:rPr>
        <w:t>INF.3</w:t>
      </w:r>
      <w:r w:rsidRPr="00D354F9">
        <w:rPr>
          <w:szCs w:val="24"/>
        </w:rPr>
        <w:t xml:space="preserve"> de la session </w:t>
      </w:r>
      <w:r w:rsidRPr="00444C30">
        <w:t>de</w:t>
      </w:r>
      <w:r w:rsidRPr="00D354F9">
        <w:rPr>
          <w:szCs w:val="24"/>
        </w:rPr>
        <w:t xml:space="preserve"> septembre </w:t>
      </w:r>
      <w:r w:rsidRPr="00D7587F">
        <w:rPr>
          <w:szCs w:val="24"/>
        </w:rPr>
        <w:t xml:space="preserve">2015 </w:t>
      </w:r>
      <w:r w:rsidRPr="00D354F9">
        <w:rPr>
          <w:szCs w:val="24"/>
        </w:rPr>
        <w:t>de la Réunion commune</w:t>
      </w:r>
      <w:r>
        <w:rPr>
          <w:szCs w:val="24"/>
        </w:rPr>
        <w:t xml:space="preserve"> fournit (en parallèle) le texte de la sous-section </w:t>
      </w:r>
      <w:r w:rsidRPr="00D7587F">
        <w:rPr>
          <w:szCs w:val="24"/>
        </w:rPr>
        <w:t xml:space="preserve">1.4.2.2 </w:t>
      </w:r>
      <w:r w:rsidRPr="00D354F9">
        <w:rPr>
          <w:szCs w:val="24"/>
        </w:rPr>
        <w:t xml:space="preserve">pour les trois règlements </w:t>
      </w:r>
      <w:r w:rsidRPr="00D7587F">
        <w:rPr>
          <w:szCs w:val="24"/>
        </w:rPr>
        <w:t>(RID/ADR/ADN)</w:t>
      </w:r>
      <w:r w:rsidRPr="00D354F9">
        <w:rPr>
          <w:szCs w:val="24"/>
        </w:rPr>
        <w:t xml:space="preserve">, mettant en évidence les </w:t>
      </w:r>
      <w:r>
        <w:rPr>
          <w:szCs w:val="24"/>
        </w:rPr>
        <w:t>spécificités de chaque mode de transport</w:t>
      </w:r>
      <w:r w:rsidRPr="00D7587F">
        <w:rPr>
          <w:szCs w:val="24"/>
        </w:rPr>
        <w:t>.</w:t>
      </w:r>
    </w:p>
    <w:p w:rsidR="0039736F" w:rsidRPr="00D7587F" w:rsidRDefault="0039736F" w:rsidP="00444C30">
      <w:pPr>
        <w:pStyle w:val="ParNoG"/>
        <w:tabs>
          <w:tab w:val="clear" w:pos="1701"/>
        </w:tabs>
        <w:rPr>
          <w:szCs w:val="24"/>
        </w:rPr>
      </w:pPr>
      <w:r w:rsidRPr="00B440E5">
        <w:rPr>
          <w:szCs w:val="24"/>
        </w:rPr>
        <w:t xml:space="preserve">Comme il est indiqué dans le </w:t>
      </w:r>
      <w:r w:rsidRPr="00444C30">
        <w:t>rapport</w:t>
      </w:r>
      <w:r w:rsidRPr="00B440E5">
        <w:rPr>
          <w:szCs w:val="24"/>
        </w:rPr>
        <w:t xml:space="preserve"> de la session de septembre 2015 de la Réunion commune</w:t>
      </w:r>
      <w:r w:rsidR="005735F4">
        <w:rPr>
          <w:szCs w:val="24"/>
        </w:rPr>
        <w:t> :</w:t>
      </w:r>
    </w:p>
    <w:p w:rsidR="0039736F" w:rsidRPr="00D7587F" w:rsidRDefault="005735F4" w:rsidP="005735F4">
      <w:pPr>
        <w:pStyle w:val="SingleTxtG"/>
        <w:rPr>
          <w:lang w:eastAsia="ro-RO"/>
        </w:rPr>
      </w:pPr>
      <w:r>
        <w:rPr>
          <w:lang w:eastAsia="ro-RO"/>
        </w:rPr>
        <w:t>« </w:t>
      </w:r>
      <w:r w:rsidR="0039736F" w:rsidRPr="005735F4">
        <w:rPr>
          <w:i/>
          <w:lang w:eastAsia="ro-RO"/>
        </w:rPr>
        <w:t>Plusieurs délégations ont indiqué que les obligations pour le transporteur étaient différentes pour chaque mode et que ces différences étaient justifiées. Une harmonisation des textes entre le RID, l</w:t>
      </w:r>
      <w:r>
        <w:rPr>
          <w:i/>
          <w:lang w:eastAsia="ro-RO"/>
        </w:rPr>
        <w:t>’</w:t>
      </w:r>
      <w:r w:rsidR="0039736F" w:rsidRPr="005735F4">
        <w:rPr>
          <w:i/>
          <w:lang w:eastAsia="ro-RO"/>
        </w:rPr>
        <w:t>ADR et l</w:t>
      </w:r>
      <w:r>
        <w:rPr>
          <w:i/>
          <w:lang w:eastAsia="ro-RO"/>
        </w:rPr>
        <w:t>’</w:t>
      </w:r>
      <w:r w:rsidR="0039736F" w:rsidRPr="005735F4">
        <w:rPr>
          <w:i/>
          <w:lang w:eastAsia="ro-RO"/>
        </w:rPr>
        <w:t>ADN n</w:t>
      </w:r>
      <w:r>
        <w:rPr>
          <w:i/>
          <w:lang w:eastAsia="ro-RO"/>
        </w:rPr>
        <w:t>’</w:t>
      </w:r>
      <w:r w:rsidR="0039736F" w:rsidRPr="005735F4">
        <w:rPr>
          <w:i/>
          <w:lang w:eastAsia="ro-RO"/>
        </w:rPr>
        <w:t>était pas nécessaire.</w:t>
      </w:r>
      <w:r>
        <w:rPr>
          <w:lang w:eastAsia="ro-RO"/>
        </w:rPr>
        <w:t> »</w:t>
      </w:r>
      <w:r w:rsidR="0039736F" w:rsidRPr="00D7587F">
        <w:rPr>
          <w:lang w:eastAsia="ro-RO"/>
        </w:rPr>
        <w:t>.</w:t>
      </w:r>
    </w:p>
    <w:p w:rsidR="0039736F" w:rsidRPr="00D7587F" w:rsidRDefault="0039736F" w:rsidP="005735F4">
      <w:pPr>
        <w:pStyle w:val="ParNoG"/>
        <w:tabs>
          <w:tab w:val="clear" w:pos="1701"/>
        </w:tabs>
        <w:rPr>
          <w:szCs w:val="24"/>
        </w:rPr>
      </w:pPr>
      <w:r w:rsidRPr="001F1562">
        <w:rPr>
          <w:szCs w:val="24"/>
        </w:rPr>
        <w:t>L</w:t>
      </w:r>
      <w:r w:rsidR="005735F4">
        <w:rPr>
          <w:szCs w:val="24"/>
        </w:rPr>
        <w:t>’</w:t>
      </w:r>
      <w:r w:rsidRPr="001F1562">
        <w:rPr>
          <w:szCs w:val="24"/>
        </w:rPr>
        <w:t xml:space="preserve">obligation actuellement faite au transporteur </w:t>
      </w:r>
      <w:r w:rsidRPr="001F1562">
        <w:rPr>
          <w:szCs w:val="24"/>
          <w:u w:val="single"/>
        </w:rPr>
        <w:t>de mettre les consignes écrites à la disposition de l</w:t>
      </w:r>
      <w:r w:rsidR="005735F4">
        <w:rPr>
          <w:szCs w:val="24"/>
          <w:u w:val="single"/>
        </w:rPr>
        <w:t>’</w:t>
      </w:r>
      <w:r w:rsidRPr="001F1562">
        <w:rPr>
          <w:szCs w:val="24"/>
          <w:u w:val="single"/>
        </w:rPr>
        <w:t>équipage du véhicule</w:t>
      </w:r>
      <w:r>
        <w:rPr>
          <w:szCs w:val="24"/>
          <w:u w:val="single"/>
        </w:rPr>
        <w:t>,</w:t>
      </w:r>
      <w:r w:rsidRPr="001F1562">
        <w:rPr>
          <w:szCs w:val="24"/>
          <w:u w:val="single"/>
        </w:rPr>
        <w:t xml:space="preserve"> comme le prescrit l</w:t>
      </w:r>
      <w:r w:rsidR="005735F4">
        <w:rPr>
          <w:szCs w:val="24"/>
          <w:u w:val="single"/>
        </w:rPr>
        <w:t>’</w:t>
      </w:r>
      <w:r w:rsidRPr="001F1562">
        <w:rPr>
          <w:szCs w:val="24"/>
          <w:u w:val="single"/>
        </w:rPr>
        <w:t>ADR</w:t>
      </w:r>
      <w:r w:rsidRPr="001F1562">
        <w:rPr>
          <w:szCs w:val="24"/>
        </w:rPr>
        <w:t>, qui a été adoptée en mai 20</w:t>
      </w:r>
      <w:r w:rsidR="005735F4">
        <w:rPr>
          <w:szCs w:val="24"/>
        </w:rPr>
        <w:t>15 et placée dans le paragraphe </w:t>
      </w:r>
      <w:r w:rsidRPr="00D7587F">
        <w:rPr>
          <w:szCs w:val="24"/>
        </w:rPr>
        <w:t>1.4.2.2.6 (</w:t>
      </w:r>
      <w:r w:rsidR="005735F4">
        <w:rPr>
          <w:szCs w:val="24"/>
        </w:rPr>
        <w:t>voir </w:t>
      </w:r>
      <w:r w:rsidRPr="00D7587F">
        <w:rPr>
          <w:szCs w:val="24"/>
        </w:rPr>
        <w:t>ECE/TRANS/WP.15/228, annex</w:t>
      </w:r>
      <w:r w:rsidRPr="001F1562">
        <w:rPr>
          <w:szCs w:val="24"/>
        </w:rPr>
        <w:t>e</w:t>
      </w:r>
      <w:r w:rsidR="005735F4">
        <w:rPr>
          <w:szCs w:val="24"/>
        </w:rPr>
        <w:t> </w:t>
      </w:r>
      <w:r w:rsidRPr="00D7587F">
        <w:rPr>
          <w:szCs w:val="24"/>
        </w:rPr>
        <w:t xml:space="preserve">I) </w:t>
      </w:r>
      <w:r w:rsidRPr="001F1562">
        <w:rPr>
          <w:szCs w:val="24"/>
        </w:rPr>
        <w:t>doit ê</w:t>
      </w:r>
      <w:r w:rsidR="005735F4">
        <w:rPr>
          <w:szCs w:val="24"/>
        </w:rPr>
        <w:t>tre déplacée vers le paragraphe </w:t>
      </w:r>
      <w:r w:rsidRPr="00D7587F">
        <w:rPr>
          <w:szCs w:val="24"/>
        </w:rPr>
        <w:t xml:space="preserve">1.4.2.2.1 </w:t>
      </w:r>
      <w:r w:rsidRPr="001F1562">
        <w:rPr>
          <w:szCs w:val="24"/>
        </w:rPr>
        <w:t>comme l</w:t>
      </w:r>
      <w:r w:rsidR="005735F4">
        <w:rPr>
          <w:szCs w:val="24"/>
        </w:rPr>
        <w:t>’</w:t>
      </w:r>
      <w:r w:rsidRPr="001F1562">
        <w:rPr>
          <w:szCs w:val="24"/>
        </w:rPr>
        <w:t>a proposé le représentant de l</w:t>
      </w:r>
      <w:r w:rsidR="005735F4">
        <w:rPr>
          <w:szCs w:val="24"/>
        </w:rPr>
        <w:t>’</w:t>
      </w:r>
      <w:r w:rsidRPr="001F1562">
        <w:rPr>
          <w:szCs w:val="24"/>
        </w:rPr>
        <w:t xml:space="preserve">Union internationale des transports routiers </w:t>
      </w:r>
      <w:r w:rsidRPr="00D7587F">
        <w:rPr>
          <w:szCs w:val="24"/>
        </w:rPr>
        <w:t xml:space="preserve">(IRU) </w:t>
      </w:r>
      <w:r w:rsidRPr="001F1562">
        <w:rPr>
          <w:szCs w:val="24"/>
        </w:rPr>
        <w:t xml:space="preserve">lors de la lecture du rapport à la session de mai 2015 du </w:t>
      </w:r>
      <w:r w:rsidRPr="00D7587F">
        <w:rPr>
          <w:szCs w:val="24"/>
          <w:lang w:eastAsia="ro-RO"/>
        </w:rPr>
        <w:t>WP.15</w:t>
      </w:r>
      <w:r w:rsidRPr="00D7587F">
        <w:rPr>
          <w:szCs w:val="24"/>
        </w:rPr>
        <w:t>.</w:t>
      </w:r>
    </w:p>
    <w:p w:rsidR="0039736F" w:rsidRPr="00D7587F" w:rsidRDefault="0039736F" w:rsidP="005735F4">
      <w:pPr>
        <w:pStyle w:val="ParNoG"/>
        <w:tabs>
          <w:tab w:val="clear" w:pos="1701"/>
        </w:tabs>
        <w:rPr>
          <w:i/>
          <w:szCs w:val="24"/>
        </w:rPr>
      </w:pPr>
      <w:r w:rsidRPr="00E27604">
        <w:rPr>
          <w:szCs w:val="24"/>
        </w:rPr>
        <w:t>Il n</w:t>
      </w:r>
      <w:r w:rsidR="005735F4">
        <w:rPr>
          <w:szCs w:val="24"/>
        </w:rPr>
        <w:t>’</w:t>
      </w:r>
      <w:r w:rsidRPr="00E27604">
        <w:rPr>
          <w:szCs w:val="24"/>
        </w:rPr>
        <w:t>y a pas de raison de maintenir l</w:t>
      </w:r>
      <w:r w:rsidR="005735F4">
        <w:rPr>
          <w:szCs w:val="24"/>
        </w:rPr>
        <w:t>’</w:t>
      </w:r>
      <w:r w:rsidRPr="00E27604">
        <w:rPr>
          <w:szCs w:val="24"/>
        </w:rPr>
        <w:t>obligat</w:t>
      </w:r>
      <w:r w:rsidR="005735F4">
        <w:rPr>
          <w:szCs w:val="24"/>
        </w:rPr>
        <w:t>ion susmentionnée au paragraphe </w:t>
      </w:r>
      <w:r w:rsidRPr="00D7587F">
        <w:rPr>
          <w:szCs w:val="24"/>
        </w:rPr>
        <w:t>1.4.2.2.6</w:t>
      </w:r>
      <w:r>
        <w:rPr>
          <w:szCs w:val="24"/>
        </w:rPr>
        <w:t>, car la phra</w:t>
      </w:r>
      <w:r w:rsidR="005735F4">
        <w:rPr>
          <w:szCs w:val="24"/>
        </w:rPr>
        <w:t>se introductive du paragraphe </w:t>
      </w:r>
      <w:r w:rsidRPr="00687B15">
        <w:rPr>
          <w:szCs w:val="24"/>
        </w:rPr>
        <w:t xml:space="preserve">1.4.2.2.1 </w:t>
      </w:r>
      <w:r>
        <w:rPr>
          <w:szCs w:val="24"/>
        </w:rPr>
        <w:t>n</w:t>
      </w:r>
      <w:r w:rsidR="005735F4">
        <w:rPr>
          <w:szCs w:val="24"/>
        </w:rPr>
        <w:t>’</w:t>
      </w:r>
      <w:r>
        <w:rPr>
          <w:szCs w:val="24"/>
        </w:rPr>
        <w:t>est pas la même dans l</w:t>
      </w:r>
      <w:r w:rsidR="005735F4">
        <w:rPr>
          <w:szCs w:val="24"/>
        </w:rPr>
        <w:t>’</w:t>
      </w:r>
      <w:r w:rsidRPr="00D7587F">
        <w:rPr>
          <w:szCs w:val="24"/>
        </w:rPr>
        <w:t xml:space="preserve">ADR </w:t>
      </w:r>
      <w:r>
        <w:rPr>
          <w:szCs w:val="24"/>
        </w:rPr>
        <w:t xml:space="preserve">que dans le </w:t>
      </w:r>
      <w:r w:rsidRPr="00D7587F">
        <w:rPr>
          <w:szCs w:val="24"/>
        </w:rPr>
        <w:t>RID</w:t>
      </w:r>
      <w:r>
        <w:rPr>
          <w:szCs w:val="24"/>
        </w:rPr>
        <w:t xml:space="preserve"> et l</w:t>
      </w:r>
      <w:r w:rsidR="005735F4">
        <w:rPr>
          <w:szCs w:val="24"/>
        </w:rPr>
        <w:t>’</w:t>
      </w:r>
      <w:r>
        <w:rPr>
          <w:szCs w:val="24"/>
        </w:rPr>
        <w:t>harmonisation n</w:t>
      </w:r>
      <w:r w:rsidR="005735F4">
        <w:rPr>
          <w:szCs w:val="24"/>
        </w:rPr>
        <w:t>’</w:t>
      </w:r>
      <w:r>
        <w:rPr>
          <w:szCs w:val="24"/>
        </w:rPr>
        <w:t>a pas de sens en l</w:t>
      </w:r>
      <w:r w:rsidR="005735F4">
        <w:rPr>
          <w:szCs w:val="24"/>
        </w:rPr>
        <w:t>’</w:t>
      </w:r>
      <w:r>
        <w:rPr>
          <w:szCs w:val="24"/>
        </w:rPr>
        <w:t>occurrence. L</w:t>
      </w:r>
      <w:r w:rsidR="005735F4">
        <w:rPr>
          <w:szCs w:val="24"/>
        </w:rPr>
        <w:t>’</w:t>
      </w:r>
      <w:r>
        <w:rPr>
          <w:szCs w:val="24"/>
        </w:rPr>
        <w:t>intérêt d</w:t>
      </w:r>
      <w:r w:rsidR="005735F4">
        <w:rPr>
          <w:szCs w:val="24"/>
        </w:rPr>
        <w:t>’</w:t>
      </w:r>
      <w:r>
        <w:rPr>
          <w:szCs w:val="24"/>
        </w:rPr>
        <w:t>uniformiser doit être analysé en comparaison avec l</w:t>
      </w:r>
      <w:r w:rsidR="005735F4">
        <w:rPr>
          <w:szCs w:val="24"/>
        </w:rPr>
        <w:t>’</w:t>
      </w:r>
      <w:r>
        <w:rPr>
          <w:szCs w:val="24"/>
        </w:rPr>
        <w:t>ADN, où le régime des consignes écrites est similaire à ce qu</w:t>
      </w:r>
      <w:r w:rsidR="005735F4">
        <w:rPr>
          <w:szCs w:val="24"/>
        </w:rPr>
        <w:t>’</w:t>
      </w:r>
      <w:r>
        <w:rPr>
          <w:szCs w:val="24"/>
        </w:rPr>
        <w:t>il est dans l</w:t>
      </w:r>
      <w:r w:rsidR="005735F4">
        <w:rPr>
          <w:szCs w:val="24"/>
        </w:rPr>
        <w:t>’</w:t>
      </w:r>
      <w:r>
        <w:rPr>
          <w:szCs w:val="24"/>
        </w:rPr>
        <w:t>ADR. La ph</w:t>
      </w:r>
      <w:r w:rsidR="005735F4">
        <w:rPr>
          <w:szCs w:val="24"/>
        </w:rPr>
        <w:t>rase introductive du paragraphe </w:t>
      </w:r>
      <w:r w:rsidRPr="00D7587F">
        <w:rPr>
          <w:szCs w:val="24"/>
        </w:rPr>
        <w:t xml:space="preserve">1.4.2.2.1 </w:t>
      </w:r>
      <w:r w:rsidRPr="00EC18A4">
        <w:rPr>
          <w:szCs w:val="24"/>
        </w:rPr>
        <w:t xml:space="preserve">du </w:t>
      </w:r>
      <w:r w:rsidRPr="00D7587F">
        <w:rPr>
          <w:szCs w:val="24"/>
        </w:rPr>
        <w:t xml:space="preserve">RID </w:t>
      </w:r>
      <w:r w:rsidR="005735F4">
        <w:rPr>
          <w:szCs w:val="24"/>
        </w:rPr>
        <w:t>est la suivante :</w:t>
      </w:r>
      <w:r>
        <w:rPr>
          <w:szCs w:val="24"/>
        </w:rPr>
        <w:t xml:space="preserve"> </w:t>
      </w:r>
      <w:r w:rsidR="00FD7E78">
        <w:rPr>
          <w:szCs w:val="24"/>
        </w:rPr>
        <w:t>« </w:t>
      </w:r>
      <w:r w:rsidRPr="00EC18A4">
        <w:rPr>
          <w:i/>
          <w:szCs w:val="24"/>
        </w:rPr>
        <w:t>Dans le cadre de la section</w:t>
      </w:r>
      <w:r w:rsidR="005735F4">
        <w:rPr>
          <w:szCs w:val="24"/>
        </w:rPr>
        <w:t> </w:t>
      </w:r>
      <w:r w:rsidRPr="00D7587F">
        <w:rPr>
          <w:i/>
          <w:szCs w:val="24"/>
        </w:rPr>
        <w:t xml:space="preserve">1.4.1, </w:t>
      </w:r>
      <w:r>
        <w:rPr>
          <w:i/>
          <w:szCs w:val="24"/>
        </w:rPr>
        <w:t xml:space="preserve">le transporteur qui accepte </w:t>
      </w:r>
      <w:r w:rsidRPr="002437E8">
        <w:rPr>
          <w:i/>
          <w:szCs w:val="24"/>
          <w:u w:val="single"/>
        </w:rPr>
        <w:t>au lieu de départ</w:t>
      </w:r>
      <w:r>
        <w:rPr>
          <w:i/>
          <w:szCs w:val="24"/>
        </w:rPr>
        <w:t xml:space="preserve"> </w:t>
      </w:r>
      <w:r w:rsidRPr="00EC18A4">
        <w:rPr>
          <w:i/>
          <w:szCs w:val="24"/>
        </w:rPr>
        <w:t>les marchandises au transport, doit notamment</w:t>
      </w:r>
      <w:r w:rsidR="005735F4">
        <w:rPr>
          <w:i/>
          <w:szCs w:val="24"/>
        </w:rPr>
        <w:t xml:space="preserve"> </w:t>
      </w:r>
      <w:r>
        <w:rPr>
          <w:i/>
          <w:szCs w:val="24"/>
        </w:rPr>
        <w:t>…</w:t>
      </w:r>
      <w:r w:rsidR="00FD7E78">
        <w:rPr>
          <w:i/>
          <w:szCs w:val="24"/>
        </w:rPr>
        <w:t> </w:t>
      </w:r>
      <w:r w:rsidR="00FD7E78" w:rsidRPr="00FD7E78">
        <w:rPr>
          <w:szCs w:val="24"/>
        </w:rPr>
        <w:t>»</w:t>
      </w:r>
      <w:r>
        <w:rPr>
          <w:i/>
          <w:szCs w:val="24"/>
        </w:rPr>
        <w:t xml:space="preserve">. </w:t>
      </w:r>
      <w:r w:rsidRPr="002437E8">
        <w:rPr>
          <w:szCs w:val="24"/>
        </w:rPr>
        <w:t>Cette formule es</w:t>
      </w:r>
      <w:r>
        <w:rPr>
          <w:szCs w:val="24"/>
        </w:rPr>
        <w:t>t moins complète que celle qui est utilisée dans l</w:t>
      </w:r>
      <w:r w:rsidR="005735F4">
        <w:rPr>
          <w:szCs w:val="24"/>
        </w:rPr>
        <w:t>’</w:t>
      </w:r>
      <w:r>
        <w:rPr>
          <w:szCs w:val="24"/>
        </w:rPr>
        <w:t>ADR et l</w:t>
      </w:r>
      <w:r w:rsidR="005735F4">
        <w:rPr>
          <w:szCs w:val="24"/>
        </w:rPr>
        <w:t>’ADN :</w:t>
      </w:r>
      <w:r>
        <w:rPr>
          <w:szCs w:val="24"/>
        </w:rPr>
        <w:t xml:space="preserve"> </w:t>
      </w:r>
      <w:r w:rsidR="00FD7E78">
        <w:rPr>
          <w:szCs w:val="24"/>
        </w:rPr>
        <w:t>« </w:t>
      </w:r>
      <w:r w:rsidRPr="002437E8">
        <w:rPr>
          <w:i/>
          <w:szCs w:val="24"/>
        </w:rPr>
        <w:t>Dans le cadre du 1.4.1, le cas échéant,</w:t>
      </w:r>
      <w:r>
        <w:rPr>
          <w:i/>
          <w:szCs w:val="24"/>
        </w:rPr>
        <w:t xml:space="preserve"> le transporteur doit notamment</w:t>
      </w:r>
      <w:r w:rsidRPr="00D7587F">
        <w:rPr>
          <w:szCs w:val="24"/>
        </w:rPr>
        <w:t xml:space="preserve"> ...</w:t>
      </w:r>
      <w:r w:rsidR="00FD7E78">
        <w:rPr>
          <w:szCs w:val="24"/>
        </w:rPr>
        <w:t> ».</w:t>
      </w:r>
    </w:p>
    <w:p w:rsidR="0039736F" w:rsidRPr="00D7587F" w:rsidRDefault="0039736F" w:rsidP="005735F4">
      <w:pPr>
        <w:pStyle w:val="ParNoG"/>
        <w:tabs>
          <w:tab w:val="clear" w:pos="1701"/>
        </w:tabs>
        <w:rPr>
          <w:szCs w:val="24"/>
        </w:rPr>
      </w:pPr>
      <w:r w:rsidRPr="00D7587F">
        <w:rPr>
          <w:szCs w:val="24"/>
        </w:rPr>
        <w:t>I</w:t>
      </w:r>
      <w:r w:rsidRPr="002437E8">
        <w:rPr>
          <w:szCs w:val="24"/>
        </w:rPr>
        <w:t>l imp</w:t>
      </w:r>
      <w:r w:rsidR="005735F4">
        <w:rPr>
          <w:szCs w:val="24"/>
        </w:rPr>
        <w:t>orte de relever que les alinéas h) à j) du paragraphe </w:t>
      </w:r>
      <w:r w:rsidRPr="00D7587F">
        <w:rPr>
          <w:szCs w:val="24"/>
        </w:rPr>
        <w:t xml:space="preserve">1.4.2.2.1 </w:t>
      </w:r>
      <w:r w:rsidRPr="002437E8">
        <w:rPr>
          <w:szCs w:val="24"/>
        </w:rPr>
        <w:t>de l</w:t>
      </w:r>
      <w:r w:rsidR="005735F4">
        <w:rPr>
          <w:szCs w:val="24"/>
        </w:rPr>
        <w:t>’</w:t>
      </w:r>
      <w:r w:rsidRPr="00D7587F">
        <w:rPr>
          <w:szCs w:val="24"/>
        </w:rPr>
        <w:t xml:space="preserve">ADN </w:t>
      </w:r>
      <w:r>
        <w:rPr>
          <w:szCs w:val="24"/>
        </w:rPr>
        <w:t xml:space="preserve">imposent </w:t>
      </w:r>
      <w:r w:rsidRPr="002437E8">
        <w:rPr>
          <w:szCs w:val="24"/>
        </w:rPr>
        <w:t>d</w:t>
      </w:r>
      <w:r w:rsidR="005735F4">
        <w:rPr>
          <w:szCs w:val="24"/>
        </w:rPr>
        <w:t>’</w:t>
      </w:r>
      <w:r w:rsidRPr="002437E8">
        <w:rPr>
          <w:szCs w:val="24"/>
        </w:rPr>
        <w:t>autres obligations</w:t>
      </w:r>
      <w:r>
        <w:rPr>
          <w:szCs w:val="24"/>
        </w:rPr>
        <w:t xml:space="preserve"> particulières au transport </w:t>
      </w:r>
      <w:r w:rsidRPr="002437E8">
        <w:rPr>
          <w:szCs w:val="24"/>
        </w:rPr>
        <w:t>des marchandises danger</w:t>
      </w:r>
      <w:r>
        <w:rPr>
          <w:szCs w:val="24"/>
        </w:rPr>
        <w:t xml:space="preserve">euses </w:t>
      </w:r>
      <w:r w:rsidRPr="002437E8">
        <w:rPr>
          <w:szCs w:val="24"/>
        </w:rPr>
        <w:t>par voie navigable</w:t>
      </w:r>
      <w:r w:rsidRPr="00D7587F">
        <w:rPr>
          <w:szCs w:val="24"/>
        </w:rPr>
        <w:t>.</w:t>
      </w:r>
    </w:p>
    <w:p w:rsidR="0039736F" w:rsidRPr="00D7587F" w:rsidRDefault="005735F4" w:rsidP="005735F4">
      <w:pPr>
        <w:pStyle w:val="ParNoG"/>
        <w:tabs>
          <w:tab w:val="clear" w:pos="1701"/>
        </w:tabs>
        <w:rPr>
          <w:szCs w:val="24"/>
        </w:rPr>
      </w:pPr>
      <w:r>
        <w:rPr>
          <w:szCs w:val="24"/>
        </w:rPr>
        <w:t>À</w:t>
      </w:r>
      <w:r w:rsidR="0039736F" w:rsidRPr="002437E8">
        <w:rPr>
          <w:szCs w:val="24"/>
        </w:rPr>
        <w:t xml:space="preserve"> la lumière de ce qui précède, nous proposons de déplacer </w:t>
      </w:r>
      <w:r>
        <w:rPr>
          <w:szCs w:val="24"/>
        </w:rPr>
        <w:t>du paragraphe </w:t>
      </w:r>
      <w:r w:rsidR="0039736F" w:rsidRPr="002264FF">
        <w:rPr>
          <w:szCs w:val="24"/>
        </w:rPr>
        <w:t xml:space="preserve">1.4.2.2.6 </w:t>
      </w:r>
      <w:r>
        <w:rPr>
          <w:szCs w:val="24"/>
        </w:rPr>
        <w:t>au paragraphe 1.4.2.2.1 </w:t>
      </w:r>
      <w:r w:rsidR="0039736F" w:rsidRPr="002264FF">
        <w:rPr>
          <w:szCs w:val="24"/>
        </w:rPr>
        <w:t xml:space="preserve">g), </w:t>
      </w:r>
      <w:r w:rsidR="0039736F">
        <w:rPr>
          <w:szCs w:val="24"/>
        </w:rPr>
        <w:t>l</w:t>
      </w:r>
      <w:r>
        <w:rPr>
          <w:szCs w:val="24"/>
        </w:rPr>
        <w:t>’</w:t>
      </w:r>
      <w:r w:rsidR="0039736F">
        <w:rPr>
          <w:szCs w:val="24"/>
        </w:rPr>
        <w:t xml:space="preserve">obligation faite au transporteur de </w:t>
      </w:r>
      <w:r w:rsidR="0039736F" w:rsidRPr="002264FF">
        <w:rPr>
          <w:szCs w:val="24"/>
        </w:rPr>
        <w:t xml:space="preserve">de </w:t>
      </w:r>
      <w:r w:rsidR="0039736F" w:rsidRPr="002264FF">
        <w:rPr>
          <w:szCs w:val="24"/>
          <w:u w:val="single"/>
        </w:rPr>
        <w:t>mettre les consignes écrites à la disposition de l</w:t>
      </w:r>
      <w:r>
        <w:rPr>
          <w:szCs w:val="24"/>
          <w:u w:val="single"/>
        </w:rPr>
        <w:t>’</w:t>
      </w:r>
      <w:r w:rsidR="0039736F" w:rsidRPr="002264FF">
        <w:rPr>
          <w:szCs w:val="24"/>
          <w:u w:val="single"/>
        </w:rPr>
        <w:t>équipage du véhicule, comme le prescrit l</w:t>
      </w:r>
      <w:r>
        <w:rPr>
          <w:szCs w:val="24"/>
          <w:u w:val="single"/>
        </w:rPr>
        <w:t>’</w:t>
      </w:r>
      <w:r w:rsidR="0039736F" w:rsidRPr="002264FF">
        <w:rPr>
          <w:szCs w:val="24"/>
          <w:u w:val="single"/>
        </w:rPr>
        <w:t>ADR</w:t>
      </w:r>
      <w:r w:rsidR="0039736F" w:rsidRPr="002264FF">
        <w:rPr>
          <w:szCs w:val="24"/>
        </w:rPr>
        <w:t>,</w:t>
      </w:r>
      <w:r w:rsidR="0039736F">
        <w:rPr>
          <w:szCs w:val="24"/>
        </w:rPr>
        <w:t xml:space="preserve"> </w:t>
      </w:r>
      <w:r w:rsidR="0039736F" w:rsidRPr="009331CF">
        <w:rPr>
          <w:szCs w:val="24"/>
        </w:rPr>
        <w:t>adaptée</w:t>
      </w:r>
      <w:r>
        <w:rPr>
          <w:szCs w:val="24"/>
        </w:rPr>
        <w:t xml:space="preserve"> en conséquence.</w:t>
      </w:r>
    </w:p>
    <w:p w:rsidR="0039736F" w:rsidRPr="002264FF" w:rsidRDefault="0039736F" w:rsidP="005735F4">
      <w:pPr>
        <w:pStyle w:val="ParNoG"/>
        <w:tabs>
          <w:tab w:val="clear" w:pos="1701"/>
        </w:tabs>
        <w:rPr>
          <w:szCs w:val="24"/>
        </w:rPr>
      </w:pPr>
      <w:r w:rsidRPr="002264FF">
        <w:rPr>
          <w:szCs w:val="24"/>
        </w:rPr>
        <w:lastRenderedPageBreak/>
        <w:t>La deuxième mesure à prendre consiste à</w:t>
      </w:r>
      <w:r>
        <w:rPr>
          <w:szCs w:val="24"/>
        </w:rPr>
        <w:t xml:space="preserve"> introduire </w:t>
      </w:r>
      <w:r w:rsidRPr="002264FF">
        <w:rPr>
          <w:szCs w:val="24"/>
        </w:rPr>
        <w:t>l</w:t>
      </w:r>
      <w:r w:rsidR="005735F4">
        <w:rPr>
          <w:szCs w:val="24"/>
        </w:rPr>
        <w:t>’</w:t>
      </w:r>
      <w:r w:rsidRPr="002264FF">
        <w:rPr>
          <w:szCs w:val="24"/>
        </w:rPr>
        <w:t>obligation pour le transporteur d</w:t>
      </w:r>
      <w:r w:rsidR="005735F4">
        <w:rPr>
          <w:szCs w:val="24"/>
        </w:rPr>
        <w:t>’</w:t>
      </w:r>
      <w:r w:rsidRPr="002264FF">
        <w:rPr>
          <w:szCs w:val="24"/>
        </w:rPr>
        <w:t>équiper de matériel de lutte contre l</w:t>
      </w:r>
      <w:r w:rsidR="005735F4">
        <w:rPr>
          <w:szCs w:val="24"/>
        </w:rPr>
        <w:t>’</w:t>
      </w:r>
      <w:r w:rsidRPr="002264FF">
        <w:rPr>
          <w:szCs w:val="24"/>
        </w:rPr>
        <w:t xml:space="preserve">incendie les unités </w:t>
      </w:r>
      <w:r>
        <w:rPr>
          <w:szCs w:val="24"/>
        </w:rPr>
        <w:t xml:space="preserve">de </w:t>
      </w:r>
      <w:r w:rsidRPr="002264FF">
        <w:rPr>
          <w:szCs w:val="24"/>
        </w:rPr>
        <w:t>transp</w:t>
      </w:r>
      <w:r>
        <w:rPr>
          <w:szCs w:val="24"/>
        </w:rPr>
        <w:t>or</w:t>
      </w:r>
      <w:r w:rsidRPr="002264FF">
        <w:rPr>
          <w:szCs w:val="24"/>
        </w:rPr>
        <w:t>t</w:t>
      </w:r>
      <w:r>
        <w:rPr>
          <w:szCs w:val="24"/>
        </w:rPr>
        <w:t xml:space="preserve"> qui transportent </w:t>
      </w:r>
      <w:r w:rsidRPr="002264FF">
        <w:rPr>
          <w:szCs w:val="24"/>
        </w:rPr>
        <w:t>de</w:t>
      </w:r>
      <w:r>
        <w:rPr>
          <w:szCs w:val="24"/>
        </w:rPr>
        <w:t>s</w:t>
      </w:r>
      <w:r w:rsidRPr="002264FF">
        <w:rPr>
          <w:szCs w:val="24"/>
        </w:rPr>
        <w:t xml:space="preserve"> marchandises dangereuses.</w:t>
      </w:r>
    </w:p>
    <w:p w:rsidR="0039736F" w:rsidRPr="00D7587F" w:rsidRDefault="0039736F" w:rsidP="005735F4">
      <w:pPr>
        <w:pStyle w:val="ParNoG"/>
        <w:tabs>
          <w:tab w:val="clear" w:pos="1701"/>
        </w:tabs>
        <w:rPr>
          <w:szCs w:val="24"/>
        </w:rPr>
      </w:pPr>
      <w:r w:rsidRPr="002264FF">
        <w:rPr>
          <w:szCs w:val="24"/>
        </w:rPr>
        <w:t>Cette obligation n</w:t>
      </w:r>
      <w:r w:rsidR="005735F4">
        <w:rPr>
          <w:szCs w:val="24"/>
        </w:rPr>
        <w:t>’</w:t>
      </w:r>
      <w:r w:rsidRPr="002264FF">
        <w:rPr>
          <w:szCs w:val="24"/>
        </w:rPr>
        <w:t>est pas couverte par le texte actuel d</w:t>
      </w:r>
      <w:r w:rsidR="005735F4">
        <w:rPr>
          <w:szCs w:val="24"/>
        </w:rPr>
        <w:t>u paragraphe 1.4.2.2.1 c) :</w:t>
      </w:r>
    </w:p>
    <w:p w:rsidR="0039736F" w:rsidRPr="00D7587F" w:rsidRDefault="005735F4" w:rsidP="005735F4">
      <w:pPr>
        <w:pStyle w:val="SingleTxtG"/>
      </w:pPr>
      <w:r>
        <w:rPr>
          <w:i/>
        </w:rPr>
        <w:t>c)</w:t>
      </w:r>
      <w:r>
        <w:rPr>
          <w:i/>
        </w:rPr>
        <w:tab/>
      </w:r>
      <w:r w:rsidR="0039736F" w:rsidRPr="005735F4">
        <w:rPr>
          <w:i/>
        </w:rPr>
        <w:t>s</w:t>
      </w:r>
      <w:r>
        <w:rPr>
          <w:i/>
        </w:rPr>
        <w:t>’</w:t>
      </w:r>
      <w:r w:rsidR="0039736F" w:rsidRPr="005735F4">
        <w:rPr>
          <w:i/>
        </w:rPr>
        <w:t xml:space="preserve">assurer visuellement que le véhicule et le chargement ne présentent pas de défauts manifestes, de fuites ou de fissures, </w:t>
      </w:r>
      <w:r w:rsidR="0039736F" w:rsidRPr="005735F4">
        <w:rPr>
          <w:i/>
          <w:u w:val="single"/>
        </w:rPr>
        <w:t>de manquement de dispositifs d</w:t>
      </w:r>
      <w:r>
        <w:rPr>
          <w:i/>
          <w:u w:val="single"/>
        </w:rPr>
        <w:t>’</w:t>
      </w:r>
      <w:r w:rsidR="0039736F" w:rsidRPr="005735F4">
        <w:rPr>
          <w:i/>
          <w:u w:val="single"/>
        </w:rPr>
        <w:t>équipement</w:t>
      </w:r>
      <w:r w:rsidR="0039736F" w:rsidRPr="005735F4">
        <w:rPr>
          <w:i/>
        </w:rPr>
        <w:t>, etc.</w:t>
      </w:r>
      <w:r>
        <w:rPr>
          <w:i/>
        </w:rPr>
        <w:t> </w:t>
      </w:r>
      <w:r>
        <w:t>;</w:t>
      </w:r>
    </w:p>
    <w:p w:rsidR="0039736F" w:rsidRPr="00D7587F" w:rsidRDefault="0039736F" w:rsidP="005735F4">
      <w:pPr>
        <w:pStyle w:val="ParNoG"/>
        <w:tabs>
          <w:tab w:val="clear" w:pos="1701"/>
        </w:tabs>
        <w:rPr>
          <w:szCs w:val="24"/>
        </w:rPr>
      </w:pPr>
      <w:r w:rsidRPr="007D63F4">
        <w:rPr>
          <w:szCs w:val="24"/>
        </w:rPr>
        <w:t xml:space="preserve">Cette obligation peut </w:t>
      </w:r>
      <w:r>
        <w:rPr>
          <w:szCs w:val="24"/>
        </w:rPr>
        <w:t xml:space="preserve">être considérée comme </w:t>
      </w:r>
      <w:r w:rsidRPr="007D63F4">
        <w:rPr>
          <w:szCs w:val="24"/>
        </w:rPr>
        <w:t>couverte par le texte actuel de l</w:t>
      </w:r>
      <w:r w:rsidR="005735F4">
        <w:rPr>
          <w:szCs w:val="24"/>
        </w:rPr>
        <w:t>’</w:t>
      </w:r>
      <w:r w:rsidRPr="007D63F4">
        <w:rPr>
          <w:szCs w:val="24"/>
        </w:rPr>
        <w:t>alinéa</w:t>
      </w:r>
      <w:r w:rsidR="005735F4">
        <w:rPr>
          <w:szCs w:val="24"/>
        </w:rPr>
        <w:t> </w:t>
      </w:r>
      <w:r>
        <w:rPr>
          <w:szCs w:val="24"/>
        </w:rPr>
        <w:t xml:space="preserve">g) adopté en mai 2015 (voir </w:t>
      </w:r>
      <w:r w:rsidRPr="00D7587F">
        <w:rPr>
          <w:szCs w:val="24"/>
        </w:rPr>
        <w:t>ECE/TRANS/WP.15/228, annex</w:t>
      </w:r>
      <w:r w:rsidRPr="007D63F4">
        <w:rPr>
          <w:szCs w:val="24"/>
        </w:rPr>
        <w:t>e</w:t>
      </w:r>
      <w:r w:rsidR="005735F4">
        <w:rPr>
          <w:szCs w:val="24"/>
        </w:rPr>
        <w:t xml:space="preserve"> I) :</w:t>
      </w:r>
    </w:p>
    <w:p w:rsidR="0039736F" w:rsidRPr="00D7587F" w:rsidRDefault="0039736F" w:rsidP="005735F4">
      <w:pPr>
        <w:pStyle w:val="SingleTxtG"/>
        <w:rPr>
          <w:szCs w:val="24"/>
        </w:rPr>
      </w:pPr>
      <w:r w:rsidRPr="00D7587F">
        <w:rPr>
          <w:i/>
          <w:szCs w:val="24"/>
        </w:rPr>
        <w:t>g)</w:t>
      </w:r>
      <w:r w:rsidRPr="00D7587F">
        <w:rPr>
          <w:i/>
          <w:szCs w:val="24"/>
        </w:rPr>
        <w:tab/>
      </w:r>
      <w:r w:rsidRPr="007D63F4">
        <w:rPr>
          <w:i/>
          <w:szCs w:val="24"/>
        </w:rPr>
        <w:t>s</w:t>
      </w:r>
      <w:r w:rsidR="005735F4">
        <w:rPr>
          <w:i/>
          <w:szCs w:val="24"/>
        </w:rPr>
        <w:t>’</w:t>
      </w:r>
      <w:r w:rsidRPr="007D63F4">
        <w:rPr>
          <w:i/>
          <w:szCs w:val="24"/>
        </w:rPr>
        <w:t>assurer que les équipements prescrits dans l</w:t>
      </w:r>
      <w:r w:rsidR="005735F4">
        <w:rPr>
          <w:i/>
          <w:szCs w:val="24"/>
        </w:rPr>
        <w:t>’</w:t>
      </w:r>
      <w:r w:rsidRPr="007D63F4">
        <w:rPr>
          <w:i/>
          <w:szCs w:val="24"/>
        </w:rPr>
        <w:t>ADR pour le véhicule, pour l</w:t>
      </w:r>
      <w:r w:rsidR="005735F4">
        <w:rPr>
          <w:i/>
          <w:szCs w:val="24"/>
        </w:rPr>
        <w:t>’</w:t>
      </w:r>
      <w:r w:rsidRPr="007D63F4">
        <w:rPr>
          <w:i/>
          <w:szCs w:val="24"/>
        </w:rPr>
        <w:t xml:space="preserve">équipage et pour certaines classes se trouvent à bord du </w:t>
      </w:r>
      <w:r w:rsidRPr="005735F4">
        <w:rPr>
          <w:i/>
        </w:rPr>
        <w:t>véhicule</w:t>
      </w:r>
      <w:r w:rsidRPr="00D7587F">
        <w:rPr>
          <w:i/>
          <w:szCs w:val="24"/>
        </w:rPr>
        <w:t>.</w:t>
      </w:r>
    </w:p>
    <w:p w:rsidR="0039736F" w:rsidRPr="00D7587F" w:rsidRDefault="0039736F" w:rsidP="005735F4">
      <w:pPr>
        <w:pStyle w:val="ParNoG"/>
        <w:tabs>
          <w:tab w:val="clear" w:pos="1701"/>
        </w:tabs>
        <w:rPr>
          <w:szCs w:val="24"/>
          <w:lang w:eastAsia="ro-RO"/>
        </w:rPr>
      </w:pPr>
      <w:r w:rsidRPr="00EE1CDD">
        <w:rPr>
          <w:szCs w:val="24"/>
          <w:lang w:eastAsia="ro-RO"/>
        </w:rPr>
        <w:t>Si le Groupe de travail juge utile de</w:t>
      </w:r>
      <w:r>
        <w:rPr>
          <w:szCs w:val="24"/>
          <w:lang w:eastAsia="ro-RO"/>
        </w:rPr>
        <w:t xml:space="preserve"> souligner le fait que </w:t>
      </w:r>
      <w:r w:rsidRPr="00EE1CDD">
        <w:rPr>
          <w:szCs w:val="24"/>
          <w:lang w:eastAsia="ro-RO"/>
        </w:rPr>
        <w:t>l</w:t>
      </w:r>
      <w:r w:rsidR="005735F4">
        <w:rPr>
          <w:szCs w:val="24"/>
          <w:lang w:eastAsia="ro-RO"/>
        </w:rPr>
        <w:t>’</w:t>
      </w:r>
      <w:r w:rsidRPr="00EE1CDD">
        <w:rPr>
          <w:szCs w:val="24"/>
          <w:lang w:eastAsia="ro-RO"/>
        </w:rPr>
        <w:t>alinéa</w:t>
      </w:r>
      <w:r w:rsidR="00A7642A">
        <w:rPr>
          <w:szCs w:val="24"/>
          <w:lang w:eastAsia="ro-RO"/>
        </w:rPr>
        <w:t> </w:t>
      </w:r>
      <w:r>
        <w:rPr>
          <w:szCs w:val="24"/>
          <w:lang w:eastAsia="ro-RO"/>
        </w:rPr>
        <w:t xml:space="preserve">g) du paragraphe </w:t>
      </w:r>
      <w:r w:rsidRPr="00D7587F">
        <w:rPr>
          <w:szCs w:val="24"/>
          <w:lang w:eastAsia="ro-RO"/>
        </w:rPr>
        <w:t xml:space="preserve">1.4.2.2.1 </w:t>
      </w:r>
      <w:r>
        <w:rPr>
          <w:szCs w:val="24"/>
          <w:lang w:eastAsia="ro-RO"/>
        </w:rPr>
        <w:t xml:space="preserve">inclut le </w:t>
      </w:r>
      <w:r w:rsidRPr="00EE1CDD">
        <w:rPr>
          <w:szCs w:val="24"/>
          <w:lang w:eastAsia="ro-RO"/>
        </w:rPr>
        <w:t xml:space="preserve">matériel de lutte contre </w:t>
      </w:r>
      <w:r w:rsidRPr="00EE1CDD">
        <w:rPr>
          <w:szCs w:val="24"/>
        </w:rPr>
        <w:t>l</w:t>
      </w:r>
      <w:r w:rsidR="005735F4">
        <w:rPr>
          <w:szCs w:val="24"/>
        </w:rPr>
        <w:t>’</w:t>
      </w:r>
      <w:r w:rsidRPr="00EE1CDD">
        <w:rPr>
          <w:szCs w:val="24"/>
        </w:rPr>
        <w:t>incendie</w:t>
      </w:r>
      <w:r>
        <w:rPr>
          <w:szCs w:val="24"/>
          <w:lang w:eastAsia="ro-RO"/>
        </w:rPr>
        <w:t>, nous proposons d</w:t>
      </w:r>
      <w:r w:rsidR="005735F4">
        <w:rPr>
          <w:szCs w:val="24"/>
          <w:lang w:eastAsia="ro-RO"/>
        </w:rPr>
        <w:t>’</w:t>
      </w:r>
      <w:r>
        <w:rPr>
          <w:szCs w:val="24"/>
          <w:lang w:eastAsia="ro-RO"/>
        </w:rPr>
        <w:t>introduire une parenthèse explicative. Le point de vue du Groupe de tr</w:t>
      </w:r>
      <w:r w:rsidR="00A7642A">
        <w:rPr>
          <w:szCs w:val="24"/>
          <w:lang w:eastAsia="ro-RO"/>
        </w:rPr>
        <w:t>avail serait utile à cet égard.</w:t>
      </w:r>
    </w:p>
    <w:p w:rsidR="0039736F" w:rsidRPr="00D7587F" w:rsidRDefault="0039736F" w:rsidP="005735F4">
      <w:pPr>
        <w:pStyle w:val="ParNoG"/>
        <w:tabs>
          <w:tab w:val="clear" w:pos="1701"/>
        </w:tabs>
        <w:rPr>
          <w:szCs w:val="24"/>
          <w:lang w:eastAsia="ro-RO"/>
        </w:rPr>
      </w:pPr>
      <w:r w:rsidRPr="008C378F">
        <w:rPr>
          <w:szCs w:val="24"/>
          <w:lang w:eastAsia="ro-RO"/>
        </w:rPr>
        <w:t xml:space="preserve">Quelle que soit la solution retenue, </w:t>
      </w:r>
      <w:r w:rsidR="005735F4">
        <w:rPr>
          <w:szCs w:val="24"/>
          <w:lang w:eastAsia="ro-RO"/>
        </w:rPr>
        <w:t>« </w:t>
      </w:r>
      <w:r w:rsidRPr="00D7587F">
        <w:rPr>
          <w:szCs w:val="24"/>
          <w:lang w:eastAsia="ro-RO"/>
        </w:rPr>
        <w:t>véhic</w:t>
      </w:r>
      <w:r w:rsidRPr="008C378F">
        <w:rPr>
          <w:szCs w:val="24"/>
          <w:lang w:eastAsia="ro-RO"/>
        </w:rPr>
        <w:t>u</w:t>
      </w:r>
      <w:r w:rsidRPr="00D7587F">
        <w:rPr>
          <w:szCs w:val="24"/>
          <w:lang w:eastAsia="ro-RO"/>
        </w:rPr>
        <w:t>le</w:t>
      </w:r>
      <w:r w:rsidR="005735F4">
        <w:rPr>
          <w:szCs w:val="24"/>
          <w:lang w:eastAsia="ro-RO"/>
        </w:rPr>
        <w:t> »</w:t>
      </w:r>
      <w:r w:rsidRPr="00D7587F">
        <w:rPr>
          <w:szCs w:val="24"/>
          <w:lang w:eastAsia="ro-RO"/>
        </w:rPr>
        <w:t xml:space="preserve"> </w:t>
      </w:r>
      <w:r w:rsidRPr="008C378F">
        <w:rPr>
          <w:szCs w:val="24"/>
          <w:lang w:eastAsia="ro-RO"/>
        </w:rPr>
        <w:t xml:space="preserve">doit être remplacé deux fois par </w:t>
      </w:r>
      <w:r w:rsidR="005735F4">
        <w:rPr>
          <w:szCs w:val="24"/>
          <w:lang w:eastAsia="ro-RO"/>
        </w:rPr>
        <w:t>« </w:t>
      </w:r>
      <w:r w:rsidRPr="008C378F">
        <w:rPr>
          <w:szCs w:val="24"/>
          <w:lang w:eastAsia="ro-RO"/>
        </w:rPr>
        <w:t>unité de transport</w:t>
      </w:r>
      <w:r w:rsidR="005735F4">
        <w:rPr>
          <w:szCs w:val="24"/>
          <w:lang w:eastAsia="ro-RO"/>
        </w:rPr>
        <w:t> »</w:t>
      </w:r>
      <w:r w:rsidRPr="008C378F">
        <w:rPr>
          <w:szCs w:val="24"/>
          <w:lang w:eastAsia="ro-RO"/>
        </w:rPr>
        <w:t xml:space="preserve"> </w:t>
      </w:r>
      <w:r>
        <w:rPr>
          <w:szCs w:val="24"/>
          <w:lang w:eastAsia="ro-RO"/>
        </w:rPr>
        <w:t xml:space="preserve">par souci de cohérence avec </w:t>
      </w:r>
      <w:r w:rsidRPr="008C378F">
        <w:rPr>
          <w:szCs w:val="24"/>
          <w:lang w:eastAsia="ro-RO"/>
        </w:rPr>
        <w:t xml:space="preserve">la </w:t>
      </w:r>
      <w:r w:rsidR="005735F4">
        <w:rPr>
          <w:szCs w:val="24"/>
          <w:lang w:eastAsia="ro-RO"/>
        </w:rPr>
        <w:t>section </w:t>
      </w:r>
      <w:r w:rsidRPr="00D7587F">
        <w:rPr>
          <w:b/>
          <w:szCs w:val="24"/>
          <w:lang w:eastAsia="ro-RO"/>
        </w:rPr>
        <w:t xml:space="preserve">8.1.4 </w:t>
      </w:r>
      <w:r w:rsidRPr="008C378F">
        <w:rPr>
          <w:b/>
          <w:szCs w:val="24"/>
          <w:lang w:eastAsia="ro-RO"/>
        </w:rPr>
        <w:t>Moyens d</w:t>
      </w:r>
      <w:r w:rsidR="005735F4">
        <w:rPr>
          <w:b/>
          <w:szCs w:val="24"/>
          <w:lang w:eastAsia="ro-RO"/>
        </w:rPr>
        <w:t>’</w:t>
      </w:r>
      <w:r w:rsidRPr="008C378F">
        <w:rPr>
          <w:b/>
          <w:szCs w:val="24"/>
          <w:lang w:eastAsia="ro-RO"/>
        </w:rPr>
        <w:t>extinction d</w:t>
      </w:r>
      <w:r w:rsidR="005735F4">
        <w:rPr>
          <w:b/>
          <w:szCs w:val="24"/>
          <w:lang w:eastAsia="ro-RO"/>
        </w:rPr>
        <w:t>’</w:t>
      </w:r>
      <w:r w:rsidRPr="008C378F">
        <w:rPr>
          <w:b/>
          <w:szCs w:val="24"/>
          <w:lang w:eastAsia="ro-RO"/>
        </w:rPr>
        <w:t>incendie</w:t>
      </w:r>
      <w:r>
        <w:rPr>
          <w:b/>
          <w:szCs w:val="24"/>
          <w:lang w:eastAsia="ro-RO"/>
        </w:rPr>
        <w:t xml:space="preserve"> </w:t>
      </w:r>
      <w:r w:rsidRPr="008C378F">
        <w:rPr>
          <w:szCs w:val="24"/>
          <w:lang w:eastAsia="ro-RO"/>
        </w:rPr>
        <w:t xml:space="preserve">et le texte nouvellement adopté </w:t>
      </w:r>
      <w:r w:rsidR="005735F4">
        <w:rPr>
          <w:szCs w:val="24"/>
          <w:lang w:eastAsia="ro-RO"/>
        </w:rPr>
        <w:t>des sous-sections </w:t>
      </w:r>
      <w:r w:rsidRPr="00D7587F">
        <w:rPr>
          <w:szCs w:val="24"/>
          <w:lang w:eastAsia="ro-RO"/>
        </w:rPr>
        <w:t xml:space="preserve">8.1.5.3 </w:t>
      </w:r>
      <w:r w:rsidRPr="008C378F">
        <w:rPr>
          <w:szCs w:val="24"/>
          <w:lang w:eastAsia="ro-RO"/>
        </w:rPr>
        <w:t xml:space="preserve">et </w:t>
      </w:r>
      <w:r w:rsidRPr="00D7587F">
        <w:rPr>
          <w:szCs w:val="24"/>
          <w:lang w:eastAsia="ro-RO"/>
        </w:rPr>
        <w:t xml:space="preserve">5.4.3.4 </w:t>
      </w:r>
      <w:r w:rsidR="00FD7E78">
        <w:rPr>
          <w:szCs w:val="24"/>
          <w:lang w:eastAsia="ro-RO"/>
        </w:rPr>
        <w:t>–</w:t>
      </w:r>
      <w:r w:rsidRPr="00D7587F">
        <w:rPr>
          <w:szCs w:val="24"/>
          <w:lang w:eastAsia="ro-RO"/>
        </w:rPr>
        <w:t xml:space="preserve"> </w:t>
      </w:r>
      <w:r>
        <w:rPr>
          <w:szCs w:val="24"/>
          <w:lang w:eastAsia="ro-RO"/>
        </w:rPr>
        <w:t xml:space="preserve">les quatre </w:t>
      </w:r>
      <w:r w:rsidRPr="008C378F">
        <w:rPr>
          <w:szCs w:val="24"/>
          <w:lang w:eastAsia="ro-RO"/>
        </w:rPr>
        <w:t>page</w:t>
      </w:r>
      <w:r>
        <w:rPr>
          <w:szCs w:val="24"/>
          <w:lang w:eastAsia="ro-RO"/>
        </w:rPr>
        <w:t>s</w:t>
      </w:r>
      <w:r w:rsidRPr="008C378F">
        <w:rPr>
          <w:szCs w:val="24"/>
          <w:lang w:eastAsia="ro-RO"/>
        </w:rPr>
        <w:t xml:space="preserve"> du modèle de consignes écrites</w:t>
      </w:r>
      <w:r>
        <w:rPr>
          <w:szCs w:val="24"/>
          <w:lang w:eastAsia="ro-RO"/>
        </w:rPr>
        <w:t xml:space="preserve"> (deux fois à la dernière page)</w:t>
      </w:r>
      <w:r w:rsidR="005735F4">
        <w:rPr>
          <w:szCs w:val="24"/>
          <w:lang w:eastAsia="ro-RO"/>
        </w:rPr>
        <w:t> :</w:t>
      </w:r>
      <w:r>
        <w:rPr>
          <w:szCs w:val="24"/>
          <w:lang w:eastAsia="ro-RO"/>
        </w:rPr>
        <w:t xml:space="preserve"> </w:t>
      </w:r>
      <w:r w:rsidRPr="0052226B">
        <w:rPr>
          <w:szCs w:val="24"/>
          <w:lang w:eastAsia="ro-RO"/>
        </w:rPr>
        <w:t>dans le titre figurant sous le tableau</w:t>
      </w:r>
      <w:r>
        <w:rPr>
          <w:szCs w:val="24"/>
          <w:lang w:eastAsia="ro-RO"/>
        </w:rPr>
        <w:t xml:space="preserve"> et le </w:t>
      </w:r>
      <w:r w:rsidRPr="0052226B">
        <w:rPr>
          <w:szCs w:val="24"/>
          <w:lang w:eastAsia="ro-RO"/>
        </w:rPr>
        <w:t xml:space="preserve">premier </w:t>
      </w:r>
      <w:bookmarkStart w:id="2" w:name="_GoBack"/>
      <w:bookmarkEnd w:id="2"/>
      <w:r w:rsidRPr="0052226B">
        <w:rPr>
          <w:szCs w:val="24"/>
          <w:lang w:eastAsia="ro-RO"/>
        </w:rPr>
        <w:t xml:space="preserve">tiret après le titre </w:t>
      </w:r>
      <w:r w:rsidR="005735F4">
        <w:rPr>
          <w:szCs w:val="24"/>
          <w:lang w:eastAsia="ro-RO"/>
        </w:rPr>
        <w:t>« </w:t>
      </w:r>
      <w:r w:rsidRPr="0052226B">
        <w:rPr>
          <w:szCs w:val="24"/>
          <w:lang w:eastAsia="ro-RO"/>
        </w:rPr>
        <w:t>Équipement supplémentaire prescrit pour certaines classes</w:t>
      </w:r>
      <w:r>
        <w:rPr>
          <w:szCs w:val="24"/>
          <w:lang w:eastAsia="ro-RO"/>
        </w:rPr>
        <w:t>.</w:t>
      </w:r>
      <w:r w:rsidR="005735F4">
        <w:rPr>
          <w:szCs w:val="24"/>
          <w:lang w:eastAsia="ro-RO"/>
        </w:rPr>
        <w:t> »</w:t>
      </w:r>
      <w:r w:rsidRPr="00D7587F">
        <w:rPr>
          <w:szCs w:val="24"/>
          <w:lang w:eastAsia="ro-RO"/>
        </w:rPr>
        <w:t>.</w:t>
      </w:r>
    </w:p>
    <w:p w:rsidR="0039736F" w:rsidRPr="00D7587F" w:rsidRDefault="0039736F" w:rsidP="005735F4">
      <w:pPr>
        <w:pStyle w:val="HChG"/>
        <w:rPr>
          <w:lang w:val="en-GB" w:eastAsia="ro-RO"/>
        </w:rPr>
      </w:pPr>
      <w:r w:rsidRPr="00D7587F">
        <w:rPr>
          <w:lang w:eastAsia="ro-RO"/>
        </w:rPr>
        <w:tab/>
      </w:r>
      <w:r w:rsidRPr="00D7587F">
        <w:rPr>
          <w:lang w:eastAsia="ro-RO"/>
        </w:rPr>
        <w:tab/>
      </w:r>
      <w:r w:rsidRPr="00D7587F">
        <w:rPr>
          <w:lang w:val="en-GB" w:eastAsia="ro-RO"/>
        </w:rPr>
        <w:t>Propos</w:t>
      </w:r>
      <w:r>
        <w:rPr>
          <w:lang w:val="en-GB" w:eastAsia="ro-RO"/>
        </w:rPr>
        <w:t>ition</w:t>
      </w:r>
    </w:p>
    <w:p w:rsidR="0039736F" w:rsidRPr="00D7587F" w:rsidRDefault="0039736F" w:rsidP="005735F4">
      <w:pPr>
        <w:pStyle w:val="ParNoG"/>
        <w:tabs>
          <w:tab w:val="clear" w:pos="1701"/>
        </w:tabs>
        <w:rPr>
          <w:szCs w:val="24"/>
        </w:rPr>
      </w:pPr>
      <w:r w:rsidRPr="0052226B">
        <w:rPr>
          <w:szCs w:val="24"/>
        </w:rPr>
        <w:t>Modifier le texte de l</w:t>
      </w:r>
      <w:r w:rsidR="005735F4">
        <w:rPr>
          <w:szCs w:val="24"/>
        </w:rPr>
        <w:t>’</w:t>
      </w:r>
      <w:r w:rsidRPr="0052226B">
        <w:rPr>
          <w:szCs w:val="24"/>
        </w:rPr>
        <w:t xml:space="preserve">alinéa </w:t>
      </w:r>
      <w:r w:rsidRPr="00D7587F">
        <w:rPr>
          <w:szCs w:val="24"/>
        </w:rPr>
        <w:t xml:space="preserve">1.4.2.2.1 g) </w:t>
      </w:r>
      <w:r w:rsidRPr="0052226B">
        <w:rPr>
          <w:szCs w:val="24"/>
          <w:lang w:eastAsia="ro-RO"/>
        </w:rPr>
        <w:t>comme</w:t>
      </w:r>
      <w:r w:rsidRPr="0052226B">
        <w:rPr>
          <w:szCs w:val="24"/>
        </w:rPr>
        <w:t xml:space="preserve"> suit </w:t>
      </w:r>
      <w:r w:rsidRPr="00D7587F">
        <w:rPr>
          <w:szCs w:val="24"/>
        </w:rPr>
        <w:t>(</w:t>
      </w:r>
      <w:r w:rsidRPr="0052226B">
        <w:rPr>
          <w:szCs w:val="24"/>
        </w:rPr>
        <w:t>caractères gras et soulignés pour les ajouts et caractères barrés pour les suppressions</w:t>
      </w:r>
      <w:r w:rsidR="005735F4">
        <w:rPr>
          <w:szCs w:val="24"/>
        </w:rPr>
        <w:t>) :</w:t>
      </w:r>
    </w:p>
    <w:p w:rsidR="0039736F" w:rsidRPr="009C2EA3" w:rsidRDefault="0039736F" w:rsidP="005735F4">
      <w:pPr>
        <w:pStyle w:val="SingleTxtG"/>
        <w:rPr>
          <w:szCs w:val="24"/>
        </w:rPr>
      </w:pPr>
      <w:r w:rsidRPr="00D7587F">
        <w:rPr>
          <w:szCs w:val="24"/>
        </w:rPr>
        <w:t>g)</w:t>
      </w:r>
      <w:r w:rsidRPr="00D7587F">
        <w:rPr>
          <w:szCs w:val="24"/>
        </w:rPr>
        <w:tab/>
      </w:r>
      <w:r w:rsidRPr="009C2EA3">
        <w:rPr>
          <w:szCs w:val="24"/>
        </w:rPr>
        <w:t>s</w:t>
      </w:r>
      <w:r w:rsidR="005735F4">
        <w:rPr>
          <w:szCs w:val="24"/>
        </w:rPr>
        <w:t>’</w:t>
      </w:r>
      <w:r w:rsidRPr="009C2EA3">
        <w:rPr>
          <w:szCs w:val="24"/>
        </w:rPr>
        <w:t xml:space="preserve">assurer que </w:t>
      </w:r>
      <w:r w:rsidRPr="009C2EA3">
        <w:rPr>
          <w:b/>
          <w:szCs w:val="24"/>
          <w:u w:val="single"/>
        </w:rPr>
        <w:t>les consignes écrites</w:t>
      </w:r>
      <w:r>
        <w:rPr>
          <w:b/>
          <w:szCs w:val="24"/>
          <w:u w:val="single"/>
        </w:rPr>
        <w:t xml:space="preserve"> </w:t>
      </w:r>
      <w:r w:rsidRPr="009C2EA3">
        <w:rPr>
          <w:b/>
          <w:szCs w:val="24"/>
          <w:u w:val="single"/>
        </w:rPr>
        <w:t xml:space="preserve">se trouvent </w:t>
      </w:r>
      <w:r>
        <w:rPr>
          <w:b/>
          <w:szCs w:val="24"/>
          <w:u w:val="single"/>
        </w:rPr>
        <w:t xml:space="preserve">dans </w:t>
      </w:r>
      <w:r w:rsidRPr="009C2EA3">
        <w:rPr>
          <w:b/>
          <w:szCs w:val="24"/>
          <w:u w:val="single"/>
        </w:rPr>
        <w:t>la cabine de l</w:t>
      </w:r>
      <w:r w:rsidR="005735F4">
        <w:rPr>
          <w:b/>
          <w:szCs w:val="24"/>
          <w:u w:val="single"/>
        </w:rPr>
        <w:t>’</w:t>
      </w:r>
      <w:r w:rsidRPr="009C2EA3">
        <w:rPr>
          <w:b/>
          <w:szCs w:val="24"/>
          <w:u w:val="single"/>
        </w:rPr>
        <w:t>équipage et</w:t>
      </w:r>
      <w:r>
        <w:rPr>
          <w:b/>
          <w:szCs w:val="24"/>
          <w:u w:val="single"/>
        </w:rPr>
        <w:t xml:space="preserve"> que</w:t>
      </w:r>
      <w:r>
        <w:rPr>
          <w:szCs w:val="24"/>
        </w:rPr>
        <w:t xml:space="preserve"> </w:t>
      </w:r>
      <w:r w:rsidRPr="009C2EA3">
        <w:rPr>
          <w:szCs w:val="24"/>
        </w:rPr>
        <w:t>les équipements prescrits dans l</w:t>
      </w:r>
      <w:r w:rsidR="005735F4">
        <w:rPr>
          <w:szCs w:val="24"/>
        </w:rPr>
        <w:t>’</w:t>
      </w:r>
      <w:r w:rsidRPr="009C2EA3">
        <w:rPr>
          <w:szCs w:val="24"/>
        </w:rPr>
        <w:t xml:space="preserve">ADR pour </w:t>
      </w:r>
      <w:r w:rsidRPr="009C2EA3">
        <w:rPr>
          <w:strike/>
          <w:szCs w:val="24"/>
        </w:rPr>
        <w:t>le véhicule</w:t>
      </w:r>
      <w:r>
        <w:rPr>
          <w:szCs w:val="24"/>
        </w:rPr>
        <w:t xml:space="preserve"> </w:t>
      </w:r>
      <w:r w:rsidRPr="009C2EA3">
        <w:rPr>
          <w:b/>
          <w:szCs w:val="24"/>
          <w:u w:val="single"/>
        </w:rPr>
        <w:t>l</w:t>
      </w:r>
      <w:r w:rsidR="005735F4">
        <w:rPr>
          <w:b/>
          <w:szCs w:val="24"/>
          <w:u w:val="single"/>
        </w:rPr>
        <w:t>’</w:t>
      </w:r>
      <w:r w:rsidRPr="009C2EA3">
        <w:rPr>
          <w:b/>
          <w:szCs w:val="24"/>
          <w:u w:val="single"/>
        </w:rPr>
        <w:t>unité de transport (notamment au matériel de lutte contre l</w:t>
      </w:r>
      <w:r w:rsidR="005735F4">
        <w:rPr>
          <w:b/>
          <w:szCs w:val="24"/>
          <w:u w:val="single"/>
        </w:rPr>
        <w:t>’</w:t>
      </w:r>
      <w:r w:rsidRPr="009C2EA3">
        <w:rPr>
          <w:b/>
          <w:szCs w:val="24"/>
          <w:u w:val="single"/>
        </w:rPr>
        <w:t>incendie)</w:t>
      </w:r>
      <w:r>
        <w:rPr>
          <w:b/>
          <w:szCs w:val="24"/>
          <w:u w:val="single"/>
        </w:rPr>
        <w:t>,</w:t>
      </w:r>
      <w:r w:rsidRPr="009C2EA3">
        <w:rPr>
          <w:szCs w:val="24"/>
        </w:rPr>
        <w:t xml:space="preserve"> </w:t>
      </w:r>
      <w:r w:rsidRPr="00DA6CD7">
        <w:rPr>
          <w:szCs w:val="24"/>
        </w:rPr>
        <w:t>pour l</w:t>
      </w:r>
      <w:r w:rsidR="005735F4">
        <w:rPr>
          <w:szCs w:val="24"/>
        </w:rPr>
        <w:t>’</w:t>
      </w:r>
      <w:r w:rsidRPr="00DA6CD7">
        <w:rPr>
          <w:szCs w:val="24"/>
        </w:rPr>
        <w:t>équipage et pour certaines classe</w:t>
      </w:r>
      <w:r>
        <w:rPr>
          <w:szCs w:val="24"/>
        </w:rPr>
        <w:t xml:space="preserve">s </w:t>
      </w:r>
      <w:r w:rsidRPr="009C2EA3">
        <w:rPr>
          <w:szCs w:val="24"/>
        </w:rPr>
        <w:t xml:space="preserve">se trouvent à bord </w:t>
      </w:r>
      <w:r w:rsidRPr="009C2EA3">
        <w:rPr>
          <w:strike/>
          <w:szCs w:val="24"/>
        </w:rPr>
        <w:t>du véhicule</w:t>
      </w:r>
      <w:r>
        <w:rPr>
          <w:szCs w:val="24"/>
        </w:rPr>
        <w:t xml:space="preserve"> </w:t>
      </w:r>
      <w:r w:rsidRPr="009C2EA3">
        <w:rPr>
          <w:b/>
          <w:szCs w:val="24"/>
          <w:u w:val="single"/>
        </w:rPr>
        <w:t>de l</w:t>
      </w:r>
      <w:r w:rsidR="005735F4">
        <w:rPr>
          <w:b/>
          <w:szCs w:val="24"/>
          <w:u w:val="single"/>
        </w:rPr>
        <w:t>’</w:t>
      </w:r>
      <w:r w:rsidRPr="009C2EA3">
        <w:rPr>
          <w:b/>
          <w:szCs w:val="24"/>
          <w:u w:val="single"/>
        </w:rPr>
        <w:t>unité de transport</w:t>
      </w:r>
      <w:r>
        <w:rPr>
          <w:b/>
          <w:szCs w:val="24"/>
          <w:u w:val="single"/>
        </w:rPr>
        <w:t>.</w:t>
      </w:r>
    </w:p>
    <w:p w:rsidR="0039736F" w:rsidRPr="00D7587F" w:rsidRDefault="0039736F" w:rsidP="005735F4">
      <w:pPr>
        <w:pStyle w:val="H1G"/>
        <w:rPr>
          <w:lang w:eastAsia="ro-RO"/>
        </w:rPr>
      </w:pPr>
      <w:r w:rsidRPr="00D7587F">
        <w:rPr>
          <w:lang w:eastAsia="ro-RO"/>
        </w:rPr>
        <w:tab/>
      </w:r>
      <w:r w:rsidRPr="00D7587F">
        <w:rPr>
          <w:lang w:eastAsia="ro-RO"/>
        </w:rPr>
        <w:tab/>
      </w:r>
      <w:r w:rsidRPr="00DA6CD7">
        <w:rPr>
          <w:lang w:eastAsia="ro-RO"/>
        </w:rPr>
        <w:t>Modification corrélative</w:t>
      </w:r>
    </w:p>
    <w:p w:rsidR="0039736F" w:rsidRPr="00D7587F" w:rsidRDefault="0039736F" w:rsidP="005735F4">
      <w:pPr>
        <w:pStyle w:val="ParNoG"/>
        <w:tabs>
          <w:tab w:val="clear" w:pos="1701"/>
        </w:tabs>
        <w:rPr>
          <w:szCs w:val="24"/>
        </w:rPr>
      </w:pPr>
      <w:r w:rsidRPr="00DA6CD7">
        <w:rPr>
          <w:szCs w:val="24"/>
        </w:rPr>
        <w:t xml:space="preserve">Supprimer le </w:t>
      </w:r>
      <w:r w:rsidRPr="00DA6CD7">
        <w:rPr>
          <w:szCs w:val="24"/>
          <w:lang w:eastAsia="ro-RO"/>
        </w:rPr>
        <w:t>p</w:t>
      </w:r>
      <w:r w:rsidRPr="00D7587F">
        <w:rPr>
          <w:szCs w:val="24"/>
          <w:lang w:eastAsia="ro-RO"/>
        </w:rPr>
        <w:t>aragraph</w:t>
      </w:r>
      <w:r w:rsidRPr="00DA6CD7">
        <w:rPr>
          <w:szCs w:val="24"/>
          <w:lang w:eastAsia="ro-RO"/>
        </w:rPr>
        <w:t>e</w:t>
      </w:r>
      <w:r w:rsidR="005735F4">
        <w:rPr>
          <w:szCs w:val="24"/>
        </w:rPr>
        <w:t> </w:t>
      </w:r>
      <w:r w:rsidRPr="00D7587F">
        <w:rPr>
          <w:szCs w:val="24"/>
        </w:rPr>
        <w:t>1.4.2.2.6.</w:t>
      </w:r>
    </w:p>
    <w:p w:rsidR="0039736F" w:rsidRPr="00D7587F" w:rsidRDefault="0039736F" w:rsidP="005735F4">
      <w:pPr>
        <w:pStyle w:val="HChG"/>
        <w:rPr>
          <w:lang w:val="en-GB"/>
        </w:rPr>
      </w:pPr>
      <w:r w:rsidRPr="00D7587F">
        <w:rPr>
          <w:lang w:eastAsia="ro-RO"/>
        </w:rPr>
        <w:tab/>
      </w:r>
      <w:r w:rsidRPr="00D7587F">
        <w:rPr>
          <w:lang w:eastAsia="ro-RO"/>
        </w:rPr>
        <w:tab/>
      </w:r>
      <w:r w:rsidRPr="00D7587F">
        <w:rPr>
          <w:lang w:val="en-GB"/>
        </w:rPr>
        <w:t>Justification</w:t>
      </w:r>
    </w:p>
    <w:p w:rsidR="0039736F" w:rsidRPr="00D7587F" w:rsidRDefault="005735F4" w:rsidP="005735F4">
      <w:pPr>
        <w:pStyle w:val="ParNoG"/>
        <w:tabs>
          <w:tab w:val="clear" w:pos="1701"/>
        </w:tabs>
        <w:rPr>
          <w:szCs w:val="24"/>
        </w:rPr>
      </w:pPr>
      <w:r>
        <w:rPr>
          <w:szCs w:val="24"/>
        </w:rPr>
        <w:t>Sécurité :</w:t>
      </w:r>
      <w:r w:rsidR="0039736F" w:rsidRPr="00D7587F">
        <w:rPr>
          <w:szCs w:val="24"/>
        </w:rPr>
        <w:tab/>
      </w:r>
      <w:r w:rsidR="0039736F" w:rsidRPr="00D7587F">
        <w:rPr>
          <w:szCs w:val="24"/>
        </w:rPr>
        <w:tab/>
      </w:r>
      <w:r w:rsidR="0039736F" w:rsidRPr="00DA6CD7">
        <w:rPr>
          <w:szCs w:val="24"/>
        </w:rPr>
        <w:t>Améliore la sécurité</w:t>
      </w:r>
      <w:r w:rsidR="0039736F" w:rsidRPr="00D7587F">
        <w:rPr>
          <w:szCs w:val="24"/>
        </w:rPr>
        <w:t>.</w:t>
      </w:r>
    </w:p>
    <w:p w:rsidR="0039736F" w:rsidRPr="00D7587F" w:rsidRDefault="0039736F" w:rsidP="005735F4">
      <w:pPr>
        <w:pStyle w:val="SingleTxtG"/>
      </w:pPr>
      <w:r w:rsidRPr="00D7587F">
        <w:tab/>
      </w:r>
      <w:r w:rsidRPr="00DA6CD7">
        <w:t>Faisabilité</w:t>
      </w:r>
      <w:r w:rsidR="005735F4">
        <w:t> :</w:t>
      </w:r>
      <w:r w:rsidRPr="00D7587F">
        <w:tab/>
      </w:r>
      <w:r w:rsidRPr="00D7587F">
        <w:tab/>
      </w:r>
      <w:r w:rsidRPr="00DA6CD7">
        <w:t>Évite toute confusion dans l</w:t>
      </w:r>
      <w:r w:rsidR="005735F4">
        <w:t>’</w:t>
      </w:r>
      <w:r w:rsidRPr="00DA6CD7">
        <w:t>interprétation des textes</w:t>
      </w:r>
      <w:r w:rsidR="005735F4">
        <w:t xml:space="preserve"> </w:t>
      </w:r>
      <w:r>
        <w:t>de l</w:t>
      </w:r>
      <w:r w:rsidR="005735F4">
        <w:t>’</w:t>
      </w:r>
      <w:r w:rsidRPr="00D7587F">
        <w:t>ADR.</w:t>
      </w:r>
    </w:p>
    <w:p w:rsidR="0039736F" w:rsidRDefault="0039736F" w:rsidP="005735F4">
      <w:pPr>
        <w:pStyle w:val="SingleTxtG"/>
        <w:rPr>
          <w:szCs w:val="24"/>
        </w:rPr>
      </w:pPr>
      <w:r w:rsidRPr="00D7587F">
        <w:rPr>
          <w:szCs w:val="24"/>
        </w:rPr>
        <w:tab/>
      </w:r>
      <w:r w:rsidRPr="00DA6CD7">
        <w:rPr>
          <w:szCs w:val="24"/>
        </w:rPr>
        <w:t>Applica</w:t>
      </w:r>
      <w:r>
        <w:rPr>
          <w:szCs w:val="24"/>
        </w:rPr>
        <w:t>bilité</w:t>
      </w:r>
      <w:r w:rsidR="005735F4">
        <w:rPr>
          <w:szCs w:val="24"/>
        </w:rPr>
        <w:t> :</w:t>
      </w:r>
      <w:r>
        <w:rPr>
          <w:szCs w:val="24"/>
        </w:rPr>
        <w:tab/>
      </w:r>
      <w:r w:rsidRPr="00DA6CD7">
        <w:rPr>
          <w:szCs w:val="24"/>
        </w:rPr>
        <w:t>Facilite l</w:t>
      </w:r>
      <w:r w:rsidR="005735F4">
        <w:rPr>
          <w:szCs w:val="24"/>
        </w:rPr>
        <w:t>’</w:t>
      </w:r>
      <w:r w:rsidRPr="00DA6CD7">
        <w:rPr>
          <w:szCs w:val="24"/>
        </w:rPr>
        <w:t>application de</w:t>
      </w:r>
      <w:r>
        <w:rPr>
          <w:szCs w:val="24"/>
        </w:rPr>
        <w:t>s</w:t>
      </w:r>
      <w:r w:rsidRPr="00DA6CD7">
        <w:rPr>
          <w:szCs w:val="24"/>
        </w:rPr>
        <w:t xml:space="preserve"> </w:t>
      </w:r>
      <w:r w:rsidRPr="005735F4">
        <w:t>dispositions</w:t>
      </w:r>
      <w:r w:rsidRPr="00D7587F">
        <w:rPr>
          <w:szCs w:val="24"/>
        </w:rPr>
        <w:t>.</w:t>
      </w:r>
    </w:p>
    <w:p w:rsidR="005735F4" w:rsidRPr="005735F4" w:rsidRDefault="005735F4" w:rsidP="005735F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735F4" w:rsidRPr="005735F4" w:rsidSect="0039736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15" w:rsidRDefault="00096615" w:rsidP="00F95C08">
      <w:pPr>
        <w:spacing w:line="240" w:lineRule="auto"/>
      </w:pPr>
    </w:p>
  </w:endnote>
  <w:endnote w:type="continuationSeparator" w:id="0">
    <w:p w:rsidR="00096615" w:rsidRPr="00AC3823" w:rsidRDefault="00096615" w:rsidP="00AC3823">
      <w:pPr>
        <w:pStyle w:val="Pieddepage"/>
      </w:pPr>
    </w:p>
  </w:endnote>
  <w:endnote w:type="continuationNotice" w:id="1">
    <w:p w:rsidR="00096615" w:rsidRDefault="00096615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6F" w:rsidRPr="0039736F" w:rsidRDefault="008B45A7" w:rsidP="0039736F">
    <w:pPr>
      <w:pStyle w:val="Pieddepage"/>
      <w:tabs>
        <w:tab w:val="right" w:pos="9638"/>
      </w:tabs>
    </w:pPr>
    <w:r w:rsidRPr="0039736F">
      <w:rPr>
        <w:b/>
        <w:sz w:val="18"/>
      </w:rPr>
      <w:fldChar w:fldCharType="begin"/>
    </w:r>
    <w:r w:rsidR="0039736F" w:rsidRPr="0039736F">
      <w:rPr>
        <w:b/>
        <w:sz w:val="18"/>
      </w:rPr>
      <w:instrText xml:space="preserve"> PAGE  \* MERGEFORMAT </w:instrText>
    </w:r>
    <w:r w:rsidRPr="0039736F">
      <w:rPr>
        <w:b/>
        <w:sz w:val="18"/>
      </w:rPr>
      <w:fldChar w:fldCharType="separate"/>
    </w:r>
    <w:r w:rsidR="00F56345">
      <w:rPr>
        <w:b/>
        <w:noProof/>
        <w:sz w:val="18"/>
      </w:rPr>
      <w:t>2</w:t>
    </w:r>
    <w:r w:rsidRPr="0039736F">
      <w:rPr>
        <w:b/>
        <w:sz w:val="18"/>
      </w:rPr>
      <w:fldChar w:fldCharType="end"/>
    </w:r>
    <w:r w:rsidR="0039736F">
      <w:rPr>
        <w:b/>
        <w:sz w:val="18"/>
      </w:rPr>
      <w:tab/>
    </w:r>
    <w:r w:rsidR="0039736F">
      <w:t>GE.16-01631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6F" w:rsidRPr="0039736F" w:rsidRDefault="0039736F" w:rsidP="0039736F">
    <w:pPr>
      <w:pStyle w:val="Pieddepage"/>
      <w:tabs>
        <w:tab w:val="right" w:pos="9638"/>
      </w:tabs>
      <w:rPr>
        <w:b/>
        <w:sz w:val="18"/>
      </w:rPr>
    </w:pPr>
    <w:r>
      <w:t>GE.16-01631</w:t>
    </w:r>
    <w:r>
      <w:tab/>
    </w:r>
    <w:r w:rsidR="008B45A7" w:rsidRPr="0039736F">
      <w:rPr>
        <w:b/>
        <w:sz w:val="18"/>
      </w:rPr>
      <w:fldChar w:fldCharType="begin"/>
    </w:r>
    <w:r w:rsidRPr="0039736F">
      <w:rPr>
        <w:b/>
        <w:sz w:val="18"/>
      </w:rPr>
      <w:instrText xml:space="preserve"> PAGE  \* MERGEFORMAT </w:instrText>
    </w:r>
    <w:r w:rsidR="008B45A7" w:rsidRPr="0039736F">
      <w:rPr>
        <w:b/>
        <w:sz w:val="18"/>
      </w:rPr>
      <w:fldChar w:fldCharType="separate"/>
    </w:r>
    <w:r w:rsidR="00F56345">
      <w:rPr>
        <w:b/>
        <w:noProof/>
        <w:sz w:val="18"/>
      </w:rPr>
      <w:t>3</w:t>
    </w:r>
    <w:r w:rsidR="008B45A7" w:rsidRPr="0039736F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FA" w:rsidRPr="0039736F" w:rsidRDefault="0039736F" w:rsidP="0039736F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>16-01631  (F)</w:t>
    </w:r>
    <w:r w:rsidR="005735F4">
      <w:rPr>
        <w:sz w:val="20"/>
      </w:rPr>
      <w:t xml:space="preserve">    260216    240316</w:t>
    </w:r>
    <w:r>
      <w:rPr>
        <w:sz w:val="20"/>
      </w:rPr>
      <w:br/>
    </w:r>
    <w:r w:rsidRPr="0039736F">
      <w:rPr>
        <w:rFonts w:ascii="C39T30Lfz" w:hAnsi="C39T30Lfz"/>
        <w:sz w:val="56"/>
      </w:rPr>
      <w:t></w:t>
    </w:r>
    <w:r w:rsidRPr="0039736F">
      <w:rPr>
        <w:rFonts w:ascii="C39T30Lfz" w:hAnsi="C39T30Lfz"/>
        <w:sz w:val="56"/>
      </w:rPr>
      <w:t></w:t>
    </w:r>
    <w:r w:rsidRPr="0039736F">
      <w:rPr>
        <w:rFonts w:ascii="C39T30Lfz" w:hAnsi="C39T30Lfz"/>
        <w:sz w:val="56"/>
      </w:rPr>
      <w:t></w:t>
    </w:r>
    <w:r w:rsidRPr="0039736F">
      <w:rPr>
        <w:rFonts w:ascii="C39T30Lfz" w:hAnsi="C39T30Lfz"/>
        <w:sz w:val="56"/>
      </w:rPr>
      <w:t></w:t>
    </w:r>
    <w:r w:rsidRPr="0039736F">
      <w:rPr>
        <w:rFonts w:ascii="C39T30Lfz" w:hAnsi="C39T30Lfz"/>
        <w:sz w:val="56"/>
      </w:rPr>
      <w:t></w:t>
    </w:r>
    <w:r w:rsidRPr="0039736F">
      <w:rPr>
        <w:rFonts w:ascii="C39T30Lfz" w:hAnsi="C39T30Lfz"/>
        <w:sz w:val="56"/>
      </w:rPr>
      <w:t></w:t>
    </w:r>
    <w:r w:rsidRPr="0039736F">
      <w:rPr>
        <w:rFonts w:ascii="C39T30Lfz" w:hAnsi="C39T30Lfz"/>
        <w:sz w:val="56"/>
      </w:rPr>
      <w:t></w:t>
    </w:r>
    <w:r w:rsidRPr="0039736F">
      <w:rPr>
        <w:rFonts w:ascii="C39T30Lfz" w:hAnsi="C39T30Lfz"/>
        <w:sz w:val="56"/>
      </w:rPr>
      <w:t></w:t>
    </w:r>
    <w:r w:rsidRPr="0039736F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2016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2016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15" w:rsidRPr="00AC3823" w:rsidRDefault="0009661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96615" w:rsidRPr="00AC3823" w:rsidRDefault="0009661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96615" w:rsidRPr="00AC3823" w:rsidRDefault="00096615">
      <w:pPr>
        <w:spacing w:line="240" w:lineRule="auto"/>
        <w:rPr>
          <w:sz w:val="2"/>
          <w:szCs w:val="2"/>
        </w:rPr>
      </w:pPr>
    </w:p>
  </w:footnote>
  <w:footnote w:id="2">
    <w:p w:rsidR="0039736F" w:rsidRPr="002824D7" w:rsidRDefault="0039736F" w:rsidP="005735F4">
      <w:pPr>
        <w:pStyle w:val="Notedebasdepage"/>
      </w:pPr>
      <w:r>
        <w:tab/>
      </w:r>
      <w:r w:rsidRPr="005735F4">
        <w:rPr>
          <w:rStyle w:val="Appelnotedebasdep"/>
        </w:rPr>
        <w:footnoteRef/>
      </w:r>
      <w:r>
        <w:tab/>
      </w:r>
      <w:r w:rsidRPr="002824D7">
        <w:t>Conformément au projet de programme de travail du Comité des transports intérieurs pour 2016-2017 (ECE/TRANS/WP.15/2015/19 (9.2)).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6F" w:rsidRPr="0039736F" w:rsidRDefault="0039736F">
    <w:pPr>
      <w:pStyle w:val="En-tte"/>
    </w:pPr>
    <w:r>
      <w:t>ECE/TRANS/WP.15/2016/1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6F" w:rsidRPr="0039736F" w:rsidRDefault="0039736F" w:rsidP="0039736F">
    <w:pPr>
      <w:pStyle w:val="En-tte"/>
      <w:jc w:val="right"/>
    </w:pPr>
    <w:r>
      <w:t>ECE/TRANS/WP.15/2016/1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evenAndOddHeaders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</w:compat>
  <w:rsids>
    <w:rsidRoot w:val="00D3715E"/>
    <w:rsid w:val="00017F94"/>
    <w:rsid w:val="00023842"/>
    <w:rsid w:val="000334F9"/>
    <w:rsid w:val="0007796D"/>
    <w:rsid w:val="00096615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9736F"/>
    <w:rsid w:val="00441C3B"/>
    <w:rsid w:val="00444C30"/>
    <w:rsid w:val="00446FE5"/>
    <w:rsid w:val="00452396"/>
    <w:rsid w:val="004837D8"/>
    <w:rsid w:val="004E468C"/>
    <w:rsid w:val="005505B7"/>
    <w:rsid w:val="005735F4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B45A7"/>
    <w:rsid w:val="009705C8"/>
    <w:rsid w:val="009C1CF4"/>
    <w:rsid w:val="009F6B74"/>
    <w:rsid w:val="00A30353"/>
    <w:rsid w:val="00A7642A"/>
    <w:rsid w:val="00AC3823"/>
    <w:rsid w:val="00AE323C"/>
    <w:rsid w:val="00AF0CB5"/>
    <w:rsid w:val="00B00181"/>
    <w:rsid w:val="00B00B0D"/>
    <w:rsid w:val="00B765F7"/>
    <w:rsid w:val="00BA0CA9"/>
    <w:rsid w:val="00C02897"/>
    <w:rsid w:val="00D17C59"/>
    <w:rsid w:val="00D3439C"/>
    <w:rsid w:val="00D3715E"/>
    <w:rsid w:val="00DB1831"/>
    <w:rsid w:val="00DD3BFD"/>
    <w:rsid w:val="00DF6678"/>
    <w:rsid w:val="00E85C74"/>
    <w:rsid w:val="00EA6547"/>
    <w:rsid w:val="00EF2E22"/>
    <w:rsid w:val="00F35BAF"/>
    <w:rsid w:val="00F56345"/>
    <w:rsid w:val="00F660DF"/>
    <w:rsid w:val="00F94664"/>
    <w:rsid w:val="00F9573C"/>
    <w:rsid w:val="00F95C08"/>
    <w:rsid w:val="00FC7284"/>
    <w:rsid w:val="00FD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9736F"/>
    <w:rPr>
      <w:rFonts w:ascii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9736F"/>
    <w:rPr>
      <w:rFonts w:ascii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987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ECE/TRANS/WP.15/2016/1</vt:lpstr>
    </vt:vector>
  </TitlesOfParts>
  <Company>DCM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ECE/TRANS/WP.15/2016/1</dc:title>
  <dc:subject>Final</dc:subject>
  <dc:creator>Julien Okrzesik</dc:creator>
  <cp:lastModifiedBy>Maison</cp:lastModifiedBy>
  <cp:revision>2</cp:revision>
  <cp:lastPrinted>2016-03-24T09:51:00Z</cp:lastPrinted>
  <dcterms:created xsi:type="dcterms:W3CDTF">2016-03-24T12:28:00Z</dcterms:created>
  <dcterms:modified xsi:type="dcterms:W3CDTF">2016-03-24T12:28:00Z</dcterms:modified>
</cp:coreProperties>
</file>