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C86440">
            <w:pPr>
              <w:suppressAutoHyphens w:val="0"/>
              <w:spacing w:after="20"/>
              <w:jc w:val="right"/>
              <w:rPr>
                <w:b/>
                <w:sz w:val="24"/>
                <w:szCs w:val="24"/>
              </w:rPr>
            </w:pPr>
            <w:r w:rsidRPr="00507993">
              <w:rPr>
                <w:b/>
                <w:sz w:val="24"/>
                <w:szCs w:val="24"/>
              </w:rPr>
              <w:t>INF.</w:t>
            </w:r>
            <w:r w:rsidR="00C86440">
              <w:rPr>
                <w:b/>
                <w:sz w:val="24"/>
                <w:szCs w:val="24"/>
              </w:rPr>
              <w:t>8</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8205A" w:rsidP="009D2A5B">
      <w:pPr>
        <w:rPr>
          <w:b/>
        </w:rPr>
      </w:pPr>
      <w:r>
        <w:rPr>
          <w:b/>
        </w:rPr>
        <w:t>100</w:t>
      </w:r>
      <w:r w:rsidR="00D25906">
        <w:rPr>
          <w:b/>
        </w:rPr>
        <w:t>th session</w:t>
      </w:r>
      <w:r w:rsidR="00D25906">
        <w:rPr>
          <w:b/>
        </w:rPr>
        <w:tab/>
      </w:r>
      <w:r w:rsidR="00D25906">
        <w:rPr>
          <w:b/>
        </w:rPr>
        <w:tab/>
      </w:r>
      <w:r w:rsidR="00D25906">
        <w:rPr>
          <w:b/>
        </w:rPr>
        <w:tab/>
      </w:r>
      <w:r w:rsidR="00D25906">
        <w:rPr>
          <w:b/>
        </w:rPr>
        <w:tab/>
      </w:r>
      <w:r w:rsidR="00D25906">
        <w:rPr>
          <w:b/>
        </w:rPr>
        <w:tab/>
      </w:r>
      <w:r w:rsidR="00D25906">
        <w:rPr>
          <w:b/>
        </w:rPr>
        <w:tab/>
      </w:r>
      <w:r w:rsidR="00D25906">
        <w:rPr>
          <w:b/>
        </w:rPr>
        <w:tab/>
      </w:r>
      <w:r w:rsidR="000A3752">
        <w:rPr>
          <w:b/>
        </w:rPr>
        <w:tab/>
      </w:r>
      <w:r w:rsidR="000A3752">
        <w:rPr>
          <w:b/>
        </w:rPr>
        <w:tab/>
      </w:r>
      <w:r w:rsidR="000A3752">
        <w:rPr>
          <w:b/>
        </w:rPr>
        <w:tab/>
      </w:r>
      <w:r w:rsidR="000A3752">
        <w:rPr>
          <w:b/>
        </w:rPr>
        <w:tab/>
      </w:r>
      <w:r w:rsidR="00507993">
        <w:rPr>
          <w:b/>
        </w:rPr>
        <w:tab/>
      </w:r>
      <w:r w:rsidR="00F16B06">
        <w:rPr>
          <w:b/>
        </w:rPr>
        <w:t>1</w:t>
      </w:r>
      <w:r w:rsidR="00191728">
        <w:rPr>
          <w:b/>
        </w:rPr>
        <w:t>5</w:t>
      </w:r>
      <w:r w:rsidR="00017916">
        <w:rPr>
          <w:b/>
        </w:rPr>
        <w:t xml:space="preserve"> </w:t>
      </w:r>
      <w:r w:rsidR="00D25906">
        <w:rPr>
          <w:b/>
        </w:rPr>
        <w:t>April</w:t>
      </w:r>
      <w:r w:rsidR="008C7DAF">
        <w:rPr>
          <w:b/>
        </w:rPr>
        <w:t xml:space="preserve"> 201</w:t>
      </w:r>
      <w:r w:rsidR="009A3B13">
        <w:rPr>
          <w:b/>
        </w:rPr>
        <w:t>6</w:t>
      </w:r>
    </w:p>
    <w:p w:rsidR="009D2A5B" w:rsidRDefault="00D25906" w:rsidP="00BB7CD1">
      <w:r>
        <w:t>Geneva</w:t>
      </w:r>
      <w:r w:rsidR="00BB7CD1">
        <w:t xml:space="preserve">, </w:t>
      </w:r>
      <w:r>
        <w:t>9</w:t>
      </w:r>
      <w:r w:rsidR="00BB7CD1">
        <w:t>–</w:t>
      </w:r>
      <w:r>
        <w:t>13</w:t>
      </w:r>
      <w:r w:rsidR="00F66565">
        <w:t xml:space="preserve"> </w:t>
      </w:r>
      <w:r>
        <w:t>May</w:t>
      </w:r>
      <w:r w:rsidR="00BB7CD1">
        <w:t xml:space="preserve"> 201</w:t>
      </w:r>
      <w:r w:rsidR="00D65303">
        <w:t>6</w:t>
      </w:r>
    </w:p>
    <w:p w:rsidR="003C2011" w:rsidRPr="00AC759E" w:rsidRDefault="003C2011" w:rsidP="003C20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C759E">
        <w:t>Item 6 (b) of the provisional agenda</w:t>
      </w:r>
    </w:p>
    <w:p w:rsidR="003C2011" w:rsidRPr="00AC759E" w:rsidRDefault="003C2011" w:rsidP="003C2011">
      <w:pPr>
        <w:pStyle w:val="H23"/>
        <w:ind w:right="1260"/>
      </w:pPr>
      <w:r w:rsidRPr="00AC759E">
        <w:t>Proposals for amendments to annexes A and B of ADR:</w:t>
      </w:r>
    </w:p>
    <w:p w:rsidR="003C2011" w:rsidRPr="003C2011" w:rsidRDefault="003C2011" w:rsidP="003C2011">
      <w:pPr>
        <w:pStyle w:val="H23"/>
        <w:ind w:right="1260"/>
      </w:pPr>
      <w:r>
        <w:t>miscellaneous proposal</w:t>
      </w:r>
    </w:p>
    <w:p w:rsidR="003C2011" w:rsidRPr="003C2011" w:rsidRDefault="003C2011" w:rsidP="003C2011">
      <w:pPr>
        <w:pStyle w:val="HChG"/>
        <w:rPr>
          <w:lang w:val="en-US"/>
        </w:rPr>
      </w:pPr>
      <w:r w:rsidRPr="00965811">
        <w:rPr>
          <w:lang w:val="en-US"/>
        </w:rPr>
        <w:tab/>
      </w:r>
      <w:r w:rsidRPr="00965811">
        <w:rPr>
          <w:lang w:val="en-US"/>
        </w:rPr>
        <w:tab/>
      </w:r>
      <w:r w:rsidRPr="00560AF3">
        <w:rPr>
          <w:lang w:val="en-US"/>
        </w:rPr>
        <w:t>Proposal for tunnel restriction codes for non-exempted vehicles, engines and machinery, UN Nos. 3166, 3171, 3528, 3529 and 3530</w:t>
      </w:r>
    </w:p>
    <w:p w:rsidR="003C2011" w:rsidRPr="003C2011" w:rsidRDefault="003C2011" w:rsidP="003C2011">
      <w:pPr>
        <w:pStyle w:val="H1G"/>
      </w:pPr>
      <w:r w:rsidRPr="00AC759E">
        <w:tab/>
      </w:r>
      <w:r w:rsidRPr="00AC759E">
        <w:tab/>
        <w:t>Transmitted by the Government of Switzerland</w:t>
      </w: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C2011" w:rsidTr="003C2011">
        <w:tc>
          <w:tcPr>
            <w:tcW w:w="10051" w:type="dxa"/>
            <w:tcBorders>
              <w:top w:val="single" w:sz="2" w:space="0" w:color="auto"/>
            </w:tcBorders>
            <w:shd w:val="clear" w:color="auto" w:fill="auto"/>
          </w:tcPr>
          <w:p w:rsidR="003C2011" w:rsidRPr="007D7F66" w:rsidRDefault="003C2011" w:rsidP="003C2011">
            <w:pPr>
              <w:tabs>
                <w:tab w:val="left" w:pos="240"/>
              </w:tabs>
              <w:spacing w:before="240" w:after="120"/>
              <w:rPr>
                <w:i/>
                <w:sz w:val="24"/>
              </w:rPr>
            </w:pPr>
            <w:r>
              <w:rPr>
                <w:i/>
                <w:sz w:val="24"/>
              </w:rPr>
              <w:tab/>
              <w:t>Summary</w:t>
            </w:r>
          </w:p>
        </w:tc>
      </w:tr>
      <w:tr w:rsidR="003C2011" w:rsidTr="003C2011">
        <w:tc>
          <w:tcPr>
            <w:tcW w:w="10051" w:type="dxa"/>
            <w:shd w:val="clear" w:color="auto" w:fill="auto"/>
          </w:tcPr>
          <w:p w:rsidR="003C2011" w:rsidRDefault="003C2011" w:rsidP="003C2011">
            <w:pPr>
              <w:pStyle w:val="SingleTxtG"/>
              <w:spacing w:after="60"/>
              <w:ind w:left="3359" w:hanging="2280"/>
            </w:pPr>
            <w:r w:rsidRPr="003C2011">
              <w:rPr>
                <w:b/>
              </w:rPr>
              <w:t>Executive</w:t>
            </w:r>
            <w:r w:rsidRPr="00325653">
              <w:rPr>
                <w:b/>
                <w:bCs/>
              </w:rPr>
              <w:t xml:space="preserve"> summary:</w:t>
            </w:r>
            <w:r w:rsidRPr="00AC759E">
              <w:tab/>
            </w:r>
            <w:r>
              <w:t>T</w:t>
            </w:r>
            <w:r w:rsidRPr="004F7602">
              <w:t xml:space="preserve">unnel restriction codes </w:t>
            </w:r>
            <w:r>
              <w:t xml:space="preserve">should </w:t>
            </w:r>
            <w:r w:rsidRPr="004F7602">
              <w:t xml:space="preserve">be assigned for entries under </w:t>
            </w:r>
            <w:r>
              <w:t xml:space="preserve">UN </w:t>
            </w:r>
            <w:r w:rsidRPr="004F7602">
              <w:t>3528 to 3530</w:t>
            </w:r>
          </w:p>
          <w:p w:rsidR="003C2011" w:rsidRPr="007D7F66" w:rsidRDefault="003C2011" w:rsidP="003C2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93"/>
              </w:tabs>
              <w:ind w:left="2793" w:hanging="2520"/>
            </w:pPr>
          </w:p>
        </w:tc>
      </w:tr>
      <w:tr w:rsidR="003C2011" w:rsidTr="003C2011">
        <w:tc>
          <w:tcPr>
            <w:tcW w:w="10051" w:type="dxa"/>
            <w:shd w:val="clear" w:color="auto" w:fill="auto"/>
          </w:tcPr>
          <w:p w:rsidR="003C2011" w:rsidRDefault="003C2011" w:rsidP="003C2011">
            <w:pPr>
              <w:pStyle w:val="SingleTxtG"/>
              <w:spacing w:after="60"/>
              <w:ind w:left="3359" w:hanging="2280"/>
              <w:rPr>
                <w:lang w:val="en-US"/>
              </w:rPr>
            </w:pPr>
            <w:r w:rsidRPr="00325653">
              <w:rPr>
                <w:b/>
                <w:bCs/>
              </w:rPr>
              <w:t>Action to be taken:</w:t>
            </w:r>
            <w:r w:rsidRPr="00AC759E">
              <w:tab/>
            </w:r>
            <w:r w:rsidRPr="00080574">
              <w:rPr>
                <w:lang w:val="en-US"/>
              </w:rPr>
              <w:t xml:space="preserve">Introduce tunnel restriction codes for entries under </w:t>
            </w:r>
            <w:r>
              <w:rPr>
                <w:lang w:val="en-US"/>
              </w:rPr>
              <w:t xml:space="preserve">UN </w:t>
            </w:r>
            <w:r w:rsidRPr="00080574">
              <w:rPr>
                <w:lang w:val="en-US"/>
              </w:rPr>
              <w:t>3528 to 3530 into column (15) of Table A of Chapter 3.2</w:t>
            </w:r>
          </w:p>
          <w:p w:rsidR="003C2011" w:rsidRPr="007D7F66" w:rsidRDefault="003C2011" w:rsidP="003C2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93"/>
              </w:tabs>
              <w:ind w:left="2793" w:hanging="2520"/>
            </w:pPr>
          </w:p>
        </w:tc>
      </w:tr>
      <w:tr w:rsidR="003C2011" w:rsidTr="003C2011">
        <w:tc>
          <w:tcPr>
            <w:tcW w:w="10051" w:type="dxa"/>
            <w:tcBorders>
              <w:bottom w:val="nil"/>
            </w:tcBorders>
            <w:shd w:val="clear" w:color="auto" w:fill="auto"/>
          </w:tcPr>
          <w:p w:rsidR="003C2011" w:rsidRDefault="003C2011" w:rsidP="003C2011">
            <w:pPr>
              <w:pStyle w:val="SingleTxtG"/>
              <w:spacing w:after="0"/>
              <w:ind w:left="3356" w:hanging="2279"/>
              <w:rPr>
                <w:lang w:val="en-US"/>
              </w:rPr>
            </w:pPr>
            <w:r w:rsidRPr="00325653">
              <w:rPr>
                <w:b/>
                <w:bCs/>
              </w:rPr>
              <w:t>Background documents:</w:t>
            </w:r>
            <w:r w:rsidRPr="00AC759E">
              <w:tab/>
            </w:r>
            <w:r w:rsidRPr="002E57C8">
              <w:rPr>
                <w:lang w:val="en-US"/>
              </w:rPr>
              <w:t>ECE/TRANS/WP.15/230 and</w:t>
            </w:r>
          </w:p>
          <w:p w:rsidR="003C2011" w:rsidRPr="007D7F66" w:rsidRDefault="003C2011" w:rsidP="003C2011">
            <w:pPr>
              <w:pStyle w:val="SingleTxtG"/>
              <w:spacing w:after="60"/>
              <w:ind w:left="3405"/>
            </w:pPr>
            <w:r w:rsidRPr="002E57C8">
              <w:rPr>
                <w:lang w:val="en-US"/>
              </w:rPr>
              <w:t>E</w:t>
            </w:r>
            <w:r w:rsidRPr="00527EAC">
              <w:rPr>
                <w:bCs/>
                <w:spacing w:val="-4"/>
              </w:rPr>
              <w:t>CE/TRANS/WP.15/AC.1/</w:t>
            </w:r>
            <w:r w:rsidRPr="001E388A">
              <w:rPr>
                <w:bCs/>
                <w:spacing w:val="-4"/>
              </w:rPr>
              <w:t>2016/15</w:t>
            </w:r>
            <w:r w:rsidRPr="001E388A">
              <w:rPr>
                <w:rFonts w:ascii="Open Sans" w:hAnsi="Open Sans"/>
                <w:bCs/>
                <w:spacing w:val="-4"/>
                <w:sz w:val="18"/>
                <w:szCs w:val="18"/>
              </w:rPr>
              <w:t> , ECE/TRANS/WP.15/2016/</w:t>
            </w:r>
            <w:r>
              <w:rPr>
                <w:rFonts w:ascii="Open Sans" w:hAnsi="Open Sans"/>
                <w:bCs/>
                <w:spacing w:val="-4"/>
                <w:sz w:val="18"/>
                <w:szCs w:val="18"/>
              </w:rPr>
              <w:t>4</w:t>
            </w:r>
          </w:p>
        </w:tc>
      </w:tr>
      <w:tr w:rsidR="003C2011" w:rsidTr="003C2011">
        <w:tc>
          <w:tcPr>
            <w:tcW w:w="10051" w:type="dxa"/>
            <w:tcBorders>
              <w:bottom w:val="single" w:sz="2" w:space="0" w:color="auto"/>
            </w:tcBorders>
            <w:shd w:val="clear" w:color="auto" w:fill="auto"/>
          </w:tcPr>
          <w:p w:rsidR="003C2011" w:rsidRPr="007D7F66" w:rsidRDefault="003C2011" w:rsidP="003C2011">
            <w:pPr>
              <w:pStyle w:val="SingleTxt"/>
            </w:pPr>
          </w:p>
        </w:tc>
      </w:tr>
    </w:tbl>
    <w:p w:rsidR="003C2011" w:rsidRDefault="003C2011" w:rsidP="003C2011">
      <w:pPr>
        <w:pStyle w:val="HChG"/>
      </w:pPr>
      <w:r w:rsidRPr="00AC759E">
        <w:tab/>
      </w:r>
      <w:r w:rsidRPr="00AC759E">
        <w:tab/>
        <w:t>Introduction</w:t>
      </w:r>
    </w:p>
    <w:p w:rsidR="003C2011" w:rsidRDefault="003C2011" w:rsidP="003C2011">
      <w:pPr>
        <w:pStyle w:val="SingleTxtG"/>
      </w:pPr>
      <w:r w:rsidRPr="00AC759E">
        <w:t>1.</w:t>
      </w:r>
      <w:r w:rsidRPr="00AC759E">
        <w:tab/>
      </w:r>
      <w:r w:rsidRPr="00BA2319">
        <w:t xml:space="preserve">The </w:t>
      </w:r>
      <w:r>
        <w:t>J</w:t>
      </w:r>
      <w:r w:rsidRPr="00BA2319">
        <w:t>o</w:t>
      </w:r>
      <w:r>
        <w:t>int meeting in March decided not to assign a</w:t>
      </w:r>
      <w:r w:rsidRPr="00BA2319">
        <w:t xml:space="preserve"> </w:t>
      </w:r>
      <w:r>
        <w:t xml:space="preserve">transport category </w:t>
      </w:r>
      <w:r w:rsidRPr="00BA2319">
        <w:t xml:space="preserve">for the </w:t>
      </w:r>
      <w:r>
        <w:t>entries for vehicles UN</w:t>
      </w:r>
      <w:r w:rsidRPr="00BA2319">
        <w:t xml:space="preserve"> 3166 and 3171</w:t>
      </w:r>
      <w:r>
        <w:t xml:space="preserve">. The </w:t>
      </w:r>
      <w:r w:rsidRPr="00BA2319">
        <w:t xml:space="preserve">majority </w:t>
      </w:r>
      <w:r>
        <w:t xml:space="preserve">of delegations of the JM </w:t>
      </w:r>
      <w:r w:rsidRPr="00BA2319">
        <w:t>considered</w:t>
      </w:r>
      <w:r>
        <w:t>,</w:t>
      </w:r>
      <w:r w:rsidRPr="00BA2319">
        <w:t xml:space="preserve"> </w:t>
      </w:r>
      <w:r>
        <w:t xml:space="preserve">in contradiction with the reasons explaining the introduction of the new requirements for lithium batteries installed on vehicles to conform to the provisions in 2.2.9.1.7 (see SP240, 312 and 385), that all vehicles carried as load a able to conform to the requirements laid down in SP666 so </w:t>
      </w:r>
      <w:r w:rsidRPr="00BA2319">
        <w:t xml:space="preserve">that </w:t>
      </w:r>
      <w:r>
        <w:t>there is no need to foresee carriages of vehicles outside this exemption. As a consequence of such an assumption there is no need to assign any transport category in order to allow exemptions in case of carriages performed outside the exemption in SP666 because all kind of vehicles can fulfil the exemption conditions.</w:t>
      </w:r>
    </w:p>
    <w:p w:rsidR="003C2011" w:rsidRDefault="003C2011" w:rsidP="003C2011">
      <w:pPr>
        <w:pStyle w:val="SingleTxtG"/>
      </w:pPr>
      <w:r w:rsidRPr="00AC759E">
        <w:t>2.</w:t>
      </w:r>
      <w:r w:rsidRPr="00AC759E">
        <w:tab/>
      </w:r>
      <w:r>
        <w:t xml:space="preserve">Also in the case of machinery and engines in UN 3528, 3528 and 3530 the JM ignored the evident possibility of existence of machinery and engines with lithium batteries not conforming to 2.2.9.1.7 which as a consequence could not benefit from the exemption in SP363. Given however the evidence of the existence of a packing instruction P005 for these entries outside the framework of the exemption laid down in SD363, the Joint </w:t>
      </w:r>
      <w:r w:rsidRPr="00BA2319">
        <w:t xml:space="preserve">meeting </w:t>
      </w:r>
      <w:r>
        <w:t>RID-ADR-ADN</w:t>
      </w:r>
      <w:r w:rsidRPr="00BA2319">
        <w:t xml:space="preserve"> has decided after discussion to send to the </w:t>
      </w:r>
      <w:r>
        <w:t xml:space="preserve">UN </w:t>
      </w:r>
      <w:r w:rsidRPr="00BA2319">
        <w:t xml:space="preserve">Sub-Committee of experts the question of the existence of </w:t>
      </w:r>
      <w:r>
        <w:t xml:space="preserve">P005 </w:t>
      </w:r>
      <w:r w:rsidRPr="00BA2319">
        <w:t xml:space="preserve">outside the framework of </w:t>
      </w:r>
      <w:r>
        <w:t>SP</w:t>
      </w:r>
      <w:r w:rsidRPr="00BA2319">
        <w:t xml:space="preserve">363 and </w:t>
      </w:r>
      <w:r>
        <w:t xml:space="preserve">also the </w:t>
      </w:r>
      <w:r>
        <w:lastRenderedPageBreak/>
        <w:t xml:space="preserve">question of </w:t>
      </w:r>
      <w:r w:rsidRPr="00BA2319">
        <w:t>the relationship between the two conditions of transport (</w:t>
      </w:r>
      <w:r>
        <w:t>SP</w:t>
      </w:r>
      <w:r w:rsidRPr="00BA2319">
        <w:t>363 and P005). The P005 presupposes that the transport of machinery and engines is done in accordance with all regulatory provisions</w:t>
      </w:r>
      <w:r>
        <w:t xml:space="preserve">. That means by applying only P005 the orange-coloured marking of the transport unit is also required. There is however no information in </w:t>
      </w:r>
      <w:r w:rsidRPr="00BA2319">
        <w:t xml:space="preserve">column (15) </w:t>
      </w:r>
      <w:r>
        <w:t xml:space="preserve">of Table A of chapter 3.2 about transport category or tunnel restriction </w:t>
      </w:r>
      <w:r w:rsidRPr="00BA2319">
        <w:t>code</w:t>
      </w:r>
      <w:r>
        <w:t xml:space="preserve">. The inexistence of a transport category precludes the possibility of exemptions like those in 1.1.3.1 c), 1.1.3.6, 1.10.4 (security) or 1.8.3.2 (safety advisor obligation) or the application of 1.8.5 in case of incidents. The inexistence of a tunnel restriction code linked to the obligatory presence of an orange-plate marking does impede the passage through any tunnel category. </w:t>
      </w:r>
    </w:p>
    <w:p w:rsidR="003C2011" w:rsidRPr="00AC759E" w:rsidRDefault="003C2011" w:rsidP="003C2011">
      <w:pPr>
        <w:pStyle w:val="SingleTxtG"/>
      </w:pPr>
      <w:r>
        <w:t>3.</w:t>
      </w:r>
      <w:r>
        <w:tab/>
        <w:t xml:space="preserve"> </w:t>
      </w:r>
      <w:r w:rsidRPr="00C850C8">
        <w:t xml:space="preserve">Given that the </w:t>
      </w:r>
      <w:r>
        <w:t xml:space="preserve">interpretation of the UN-Experts </w:t>
      </w:r>
      <w:r w:rsidRPr="00C850C8">
        <w:t xml:space="preserve">of the relationship between the P005 and the </w:t>
      </w:r>
      <w:r>
        <w:t>SP</w:t>
      </w:r>
      <w:r w:rsidRPr="00C850C8">
        <w:t xml:space="preserve">363 will </w:t>
      </w:r>
      <w:r>
        <w:t xml:space="preserve">come at the earliest </w:t>
      </w:r>
      <w:r w:rsidRPr="00C850C8">
        <w:t>in June</w:t>
      </w:r>
      <w:r>
        <w:t xml:space="preserve"> (or in December) and considering the possibility that the P005 allows the carriage of machinery and engines not meeting the requirements laid dawn in 2.2.9.1.7 and in SP363 and considering also </w:t>
      </w:r>
      <w:r w:rsidRPr="00C850C8">
        <w:t xml:space="preserve">that the new entries will appear as early as 1 January 2017 </w:t>
      </w:r>
      <w:r>
        <w:t>in ADR, it seems necessary to take a d</w:t>
      </w:r>
      <w:r w:rsidRPr="00C850C8">
        <w:t>ecision</w:t>
      </w:r>
      <w:r>
        <w:t xml:space="preserve"> </w:t>
      </w:r>
      <w:r w:rsidRPr="00C850C8">
        <w:t xml:space="preserve">in relation to </w:t>
      </w:r>
      <w:r>
        <w:t xml:space="preserve">exemptions linked to </w:t>
      </w:r>
      <w:r w:rsidRPr="00C850C8">
        <w:t xml:space="preserve">the </w:t>
      </w:r>
      <w:r>
        <w:t xml:space="preserve">transport category and in relation </w:t>
      </w:r>
      <w:r w:rsidRPr="00C850C8">
        <w:t xml:space="preserve">to </w:t>
      </w:r>
      <w:r>
        <w:t xml:space="preserve">tunnel </w:t>
      </w:r>
      <w:r w:rsidRPr="00C850C8">
        <w:t>restriction</w:t>
      </w:r>
      <w:r>
        <w:t xml:space="preserve"> codes</w:t>
      </w:r>
      <w:r w:rsidRPr="00C850C8">
        <w:t xml:space="preserve"> </w:t>
      </w:r>
      <w:r>
        <w:t>based on the actual texts independently of the decision of the UN-Experts.</w:t>
      </w:r>
      <w:r w:rsidRPr="00AC759E">
        <w:t>.</w:t>
      </w:r>
    </w:p>
    <w:p w:rsidR="003C2011" w:rsidRPr="00C850C8" w:rsidRDefault="003C2011" w:rsidP="003C2011">
      <w:pPr>
        <w:pStyle w:val="SingleTxtG"/>
        <w:rPr>
          <w:lang w:val="en-US"/>
        </w:rPr>
      </w:pPr>
      <w:r w:rsidRPr="00C850C8">
        <w:rPr>
          <w:lang w:val="en-US"/>
        </w:rPr>
        <w:t>4.</w:t>
      </w:r>
      <w:r w:rsidRPr="00C850C8">
        <w:rPr>
          <w:lang w:val="en-US"/>
        </w:rPr>
        <w:tab/>
      </w:r>
      <w:r>
        <w:rPr>
          <w:lang w:val="en-US"/>
        </w:rPr>
        <w:t xml:space="preserve">Because of the decision of the Joint Meeting of March not to adopt transport categories for these entries </w:t>
      </w:r>
      <w:r w:rsidRPr="00C850C8">
        <w:rPr>
          <w:lang w:val="en-US"/>
        </w:rPr>
        <w:t xml:space="preserve">we present an alternative to the </w:t>
      </w:r>
      <w:r>
        <w:rPr>
          <w:lang w:val="en-US"/>
        </w:rPr>
        <w:t>document ECE/TRANS/WP.15/</w:t>
      </w:r>
      <w:r w:rsidRPr="00C850C8">
        <w:rPr>
          <w:lang w:val="en-US"/>
        </w:rPr>
        <w:t xml:space="preserve">2016/4 which </w:t>
      </w:r>
      <w:r>
        <w:rPr>
          <w:lang w:val="en-US"/>
        </w:rPr>
        <w:t xml:space="preserve">does not deal anymore with the entries UN 3166 and 3171 and </w:t>
      </w:r>
      <w:r w:rsidRPr="00C850C8">
        <w:rPr>
          <w:lang w:val="en-US"/>
        </w:rPr>
        <w:t xml:space="preserve">is </w:t>
      </w:r>
      <w:r>
        <w:rPr>
          <w:lang w:val="en-US"/>
        </w:rPr>
        <w:t xml:space="preserve">no </w:t>
      </w:r>
      <w:r w:rsidRPr="00C850C8">
        <w:rPr>
          <w:lang w:val="en-US"/>
        </w:rPr>
        <w:t xml:space="preserve">more based on the existence of </w:t>
      </w:r>
      <w:r>
        <w:rPr>
          <w:lang w:val="en-US"/>
        </w:rPr>
        <w:t>a transport category. The WP.15 could however decide on the necessity to define a transport category for UN 3528, 3529 and 3530 in order to allow exemptions under certain quantities.</w:t>
      </w:r>
    </w:p>
    <w:p w:rsidR="003C2011" w:rsidRDefault="003C2011" w:rsidP="003C2011">
      <w:pPr>
        <w:pStyle w:val="SingleTxtG"/>
      </w:pPr>
      <w:r w:rsidRPr="00AC759E">
        <w:t>5.</w:t>
      </w:r>
      <w:r w:rsidRPr="00AC759E">
        <w:tab/>
      </w:r>
      <w:r>
        <w:t>From t</w:t>
      </w:r>
      <w:r w:rsidRPr="00C850C8">
        <w:t xml:space="preserve">he discussions that </w:t>
      </w:r>
      <w:r>
        <w:t xml:space="preserve">we experienced with some delegations during the JM </w:t>
      </w:r>
      <w:r w:rsidRPr="00C850C8">
        <w:t xml:space="preserve">in March </w:t>
      </w:r>
      <w:r>
        <w:t xml:space="preserve">we came to the conclusion </w:t>
      </w:r>
      <w:r w:rsidRPr="00C850C8">
        <w:t xml:space="preserve">that even if this </w:t>
      </w:r>
      <w:r>
        <w:t xml:space="preserve">only concerns </w:t>
      </w:r>
      <w:r w:rsidRPr="00C850C8">
        <w:t>very few transport</w:t>
      </w:r>
      <w:r>
        <w:t>s</w:t>
      </w:r>
      <w:r w:rsidRPr="00C850C8">
        <w:t xml:space="preserve">, </w:t>
      </w:r>
      <w:r>
        <w:t xml:space="preserve">it is worth to check in what extend </w:t>
      </w:r>
      <w:r w:rsidRPr="00C850C8">
        <w:t>the transport of fuels in machine</w:t>
      </w:r>
      <w:r>
        <w:t>ry</w:t>
      </w:r>
      <w:r w:rsidRPr="00C850C8">
        <w:t xml:space="preserve"> and engines in the case of passing tunnels should diverge </w:t>
      </w:r>
      <w:r>
        <w:t xml:space="preserve">or not </w:t>
      </w:r>
      <w:r w:rsidRPr="00C850C8">
        <w:t xml:space="preserve">from </w:t>
      </w:r>
      <w:r>
        <w:t xml:space="preserve">exemptions, respectively </w:t>
      </w:r>
      <w:r w:rsidRPr="00C850C8">
        <w:t>limitations and rules</w:t>
      </w:r>
      <w:r>
        <w:t>,</w:t>
      </w:r>
      <w:r w:rsidRPr="00C850C8">
        <w:t xml:space="preserve"> that govern these fuels when they are transported according to ADR rules. This case is different from th</w:t>
      </w:r>
      <w:r>
        <w:t xml:space="preserve">e one </w:t>
      </w:r>
      <w:r w:rsidRPr="00C850C8">
        <w:t xml:space="preserve">of vehicles and their equipment </w:t>
      </w:r>
      <w:r>
        <w:t>in</w:t>
      </w:r>
      <w:r w:rsidRPr="00C850C8">
        <w:t xml:space="preserve"> UN 3161 and 3171 </w:t>
      </w:r>
      <w:r>
        <w:t>because vehicles are</w:t>
      </w:r>
      <w:r w:rsidRPr="00C850C8">
        <w:t xml:space="preserve"> by definition designed to withstand </w:t>
      </w:r>
      <w:r>
        <w:t xml:space="preserve">transport </w:t>
      </w:r>
      <w:r w:rsidRPr="00C850C8">
        <w:t>conditions</w:t>
      </w:r>
      <w:r>
        <w:t xml:space="preserve">. This is not the case of machinery assigned to the UN-Nos 3528, 3529 and 3530 </w:t>
      </w:r>
      <w:r w:rsidRPr="00C850C8">
        <w:t xml:space="preserve">exempted according to the </w:t>
      </w:r>
      <w:r>
        <w:t>SP363. Those</w:t>
      </w:r>
      <w:r w:rsidRPr="00C850C8">
        <w:t xml:space="preserve">, by definition, </w:t>
      </w:r>
      <w:r>
        <w:t xml:space="preserve">are </w:t>
      </w:r>
      <w:r w:rsidRPr="00C850C8">
        <w:t xml:space="preserve">not designed for use during transport and do not meet the same safety requirements </w:t>
      </w:r>
      <w:r>
        <w:t>as vehicle equipment</w:t>
      </w:r>
      <w:r w:rsidRPr="00C850C8">
        <w:t xml:space="preserve"> destined for use during transport and </w:t>
      </w:r>
      <w:r>
        <w:t>exempted</w:t>
      </w:r>
      <w:r w:rsidRPr="00C850C8">
        <w:t xml:space="preserve"> according to the </w:t>
      </w:r>
      <w:r>
        <w:t>new SP</w:t>
      </w:r>
      <w:r w:rsidRPr="00C850C8">
        <w:t>666</w:t>
      </w:r>
      <w:r>
        <w:t xml:space="preserve">. </w:t>
      </w:r>
    </w:p>
    <w:p w:rsidR="003C2011" w:rsidRPr="00AC759E" w:rsidRDefault="003C2011" w:rsidP="003C2011">
      <w:pPr>
        <w:pStyle w:val="SingleTxtG"/>
      </w:pPr>
      <w:r>
        <w:t>6.</w:t>
      </w:r>
      <w:r>
        <w:tab/>
        <w:t xml:space="preserve">In order to apply </w:t>
      </w:r>
      <w:r w:rsidRPr="00185DCE">
        <w:t xml:space="preserve">restrictions in tunnels </w:t>
      </w:r>
      <w:r>
        <w:t>for carriages of m</w:t>
      </w:r>
      <w:r w:rsidRPr="00185DCE">
        <w:t>achine</w:t>
      </w:r>
      <w:r>
        <w:t>rie</w:t>
      </w:r>
      <w:r w:rsidRPr="00185DCE">
        <w:t xml:space="preserve">s </w:t>
      </w:r>
      <w:r>
        <w:t>of UN</w:t>
      </w:r>
      <w:r w:rsidRPr="00185DCE">
        <w:t xml:space="preserve"> 3528, 3529, 3530 </w:t>
      </w:r>
      <w:r>
        <w:t xml:space="preserve">either </w:t>
      </w:r>
      <w:r w:rsidRPr="00185DCE">
        <w:t xml:space="preserve">according to the exemption provided in </w:t>
      </w:r>
      <w:r>
        <w:t>SP</w:t>
      </w:r>
      <w:r w:rsidRPr="00185DCE">
        <w:t xml:space="preserve">363 or </w:t>
      </w:r>
      <w:r>
        <w:t>following all the rules of ADR according</w:t>
      </w:r>
      <w:r w:rsidRPr="00185DCE">
        <w:t xml:space="preserve"> </w:t>
      </w:r>
      <w:r>
        <w:t xml:space="preserve">to packing instruction </w:t>
      </w:r>
      <w:r w:rsidRPr="00185DCE">
        <w:t xml:space="preserve">P005 </w:t>
      </w:r>
      <w:r>
        <w:t>the transport unit</w:t>
      </w:r>
      <w:r w:rsidRPr="00185DCE">
        <w:t xml:space="preserve"> must </w:t>
      </w:r>
      <w:r>
        <w:t xml:space="preserve">be subject to an </w:t>
      </w:r>
      <w:r w:rsidRPr="00185DCE">
        <w:t>orange-coloured marking</w:t>
      </w:r>
      <w:r>
        <w:t>.</w:t>
      </w:r>
    </w:p>
    <w:p w:rsidR="003C2011" w:rsidRDefault="003C2011" w:rsidP="003C2011">
      <w:pPr>
        <w:pStyle w:val="SingleTxtG"/>
      </w:pPr>
      <w:r>
        <w:t>7</w:t>
      </w:r>
      <w:r w:rsidRPr="00AC759E">
        <w:t>.</w:t>
      </w:r>
      <w:r w:rsidRPr="00AC759E">
        <w:tab/>
      </w:r>
      <w:r w:rsidRPr="00294C86">
        <w:t xml:space="preserve">In the case of </w:t>
      </w:r>
      <w:r>
        <w:t xml:space="preserve">a </w:t>
      </w:r>
      <w:r w:rsidRPr="00294C86">
        <w:t xml:space="preserve">transport outside the </w:t>
      </w:r>
      <w:r>
        <w:t>framework of the exemption SP</w:t>
      </w:r>
      <w:r w:rsidRPr="00294C86">
        <w:t>363</w:t>
      </w:r>
      <w:r>
        <w:t xml:space="preserve"> </w:t>
      </w:r>
      <w:r w:rsidRPr="00294C86">
        <w:t xml:space="preserve">according to the </w:t>
      </w:r>
      <w:r>
        <w:t xml:space="preserve">P005 an </w:t>
      </w:r>
      <w:r w:rsidRPr="00294C86">
        <w:t xml:space="preserve">orange </w:t>
      </w:r>
      <w:r>
        <w:t>marking</w:t>
      </w:r>
      <w:r w:rsidRPr="00294C86">
        <w:t xml:space="preserve"> will always be required and such transport </w:t>
      </w:r>
      <w:r>
        <w:t xml:space="preserve">cannot benefit from any relaxation following 1.1.3.6 </w:t>
      </w:r>
      <w:r w:rsidRPr="00294C86">
        <w:t xml:space="preserve">because no </w:t>
      </w:r>
      <w:r>
        <w:t>transport category appears</w:t>
      </w:r>
      <w:r w:rsidRPr="00294C86">
        <w:t xml:space="preserve"> in column (15) </w:t>
      </w:r>
      <w:r>
        <w:t>of table 3.2. In principle for</w:t>
      </w:r>
      <w:r w:rsidRPr="00294C86">
        <w:t xml:space="preserve"> such </w:t>
      </w:r>
      <w:r>
        <w:t>a transport unit bearing orange plates,</w:t>
      </w:r>
      <w:r w:rsidRPr="00294C86">
        <w:t xml:space="preserve"> restrictions </w:t>
      </w:r>
      <w:r>
        <w:t>in</w:t>
      </w:r>
      <w:r w:rsidRPr="00294C86">
        <w:t xml:space="preserve"> tunnels shall apply</w:t>
      </w:r>
      <w:r>
        <w:t xml:space="preserve"> for any tunnel category and independently of the quantity of fuel</w:t>
      </w:r>
      <w:r w:rsidRPr="00294C86">
        <w:t xml:space="preserve">. Even in absence of a </w:t>
      </w:r>
      <w:r>
        <w:t xml:space="preserve">transport category and in </w:t>
      </w:r>
      <w:r w:rsidRPr="00294C86">
        <w:t xml:space="preserve">order to decide </w:t>
      </w:r>
      <w:r>
        <w:t xml:space="preserve">if </w:t>
      </w:r>
      <w:r w:rsidRPr="00294C86">
        <w:t>the passage through a given tunnel (B, C, D or E) is permitted</w:t>
      </w:r>
      <w:r>
        <w:t>,</w:t>
      </w:r>
      <w:r w:rsidRPr="00294C86">
        <w:t xml:space="preserve"> the tunnel managers need to know what tunnel restriction code the </w:t>
      </w:r>
      <w:r>
        <w:t>goods</w:t>
      </w:r>
      <w:r w:rsidRPr="00294C86">
        <w:t xml:space="preserve"> in question is assigned</w:t>
      </w:r>
      <w:r>
        <w:t xml:space="preserve"> to</w:t>
      </w:r>
      <w:r w:rsidRPr="00294C86">
        <w:t>. Explanation</w:t>
      </w:r>
      <w:r>
        <w:t>s</w:t>
      </w:r>
      <w:r w:rsidRPr="00294C86">
        <w:t xml:space="preserve"> </w:t>
      </w:r>
      <w:r>
        <w:t xml:space="preserve">bringing </w:t>
      </w:r>
      <w:r w:rsidRPr="00294C86">
        <w:t xml:space="preserve">to different tunnel restriction codes </w:t>
      </w:r>
      <w:r>
        <w:t xml:space="preserve">for these entries </w:t>
      </w:r>
      <w:r w:rsidRPr="00294C86">
        <w:t>w</w:t>
      </w:r>
      <w:r>
        <w:t xml:space="preserve">ere already </w:t>
      </w:r>
      <w:r w:rsidRPr="00294C86">
        <w:t>provided in document ECE/TRANS/WP.15/2016/4. This leads to the following table</w:t>
      </w:r>
      <w:r>
        <w:t xml:space="preserve"> where no transport category is assigned</w:t>
      </w:r>
      <w:r w:rsidRPr="00294C86">
        <w:t>:</w:t>
      </w:r>
    </w:p>
    <w:p w:rsidR="003C2011" w:rsidRDefault="003C2011" w:rsidP="003C2011">
      <w:pPr>
        <w:pStyle w:val="SingleTxt"/>
      </w:pPr>
    </w:p>
    <w:p w:rsidR="003C2011" w:rsidRPr="002E57C8" w:rsidRDefault="003C2011" w:rsidP="003C2011">
      <w:pPr>
        <w:pStyle w:val="HChG"/>
        <w:rPr>
          <w:lang w:val="en-US"/>
        </w:rPr>
      </w:pPr>
      <w:r>
        <w:rPr>
          <w:lang w:val="en-US"/>
        </w:rPr>
        <w:lastRenderedPageBreak/>
        <w:tab/>
      </w:r>
      <w:r>
        <w:rPr>
          <w:lang w:val="en-US"/>
        </w:rPr>
        <w:tab/>
      </w:r>
      <w:r w:rsidRPr="002E57C8">
        <w:rPr>
          <w:lang w:val="en-US"/>
        </w:rPr>
        <w:t>Proposal</w:t>
      </w:r>
      <w:r>
        <w:rPr>
          <w:lang w:val="en-US"/>
        </w:rPr>
        <w:t xml:space="preserve"> 1</w:t>
      </w:r>
    </w:p>
    <w:p w:rsidR="003C2011" w:rsidRPr="002E57C8" w:rsidRDefault="003C2011" w:rsidP="003C2011">
      <w:pPr>
        <w:pStyle w:val="SingleTxtG"/>
        <w:rPr>
          <w:lang w:val="en-US"/>
        </w:rPr>
      </w:pPr>
      <w:r w:rsidRPr="002E57C8">
        <w:rPr>
          <w:lang w:val="en-US"/>
        </w:rPr>
        <w:t>8.</w:t>
      </w:r>
      <w:r w:rsidRPr="002E57C8">
        <w:rPr>
          <w:lang w:val="en-US"/>
        </w:rPr>
        <w:tab/>
        <w:t xml:space="preserve">For entries 3528 to 3530, introduce the following </w:t>
      </w:r>
      <w:r>
        <w:rPr>
          <w:lang w:val="en-US"/>
        </w:rPr>
        <w:t xml:space="preserve">tunnel restriction codes </w:t>
      </w:r>
      <w:r w:rsidRPr="002E57C8">
        <w:rPr>
          <w:lang w:val="en-US"/>
        </w:rPr>
        <w:t>into column (15) of Table A of Chapter 3.2:</w:t>
      </w: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2835"/>
        <w:gridCol w:w="436"/>
        <w:gridCol w:w="497"/>
        <w:gridCol w:w="286"/>
        <w:gridCol w:w="287"/>
        <w:gridCol w:w="429"/>
        <w:gridCol w:w="390"/>
        <w:gridCol w:w="390"/>
        <w:gridCol w:w="530"/>
        <w:gridCol w:w="424"/>
        <w:gridCol w:w="584"/>
        <w:gridCol w:w="407"/>
        <w:gridCol w:w="407"/>
        <w:gridCol w:w="407"/>
        <w:gridCol w:w="407"/>
        <w:gridCol w:w="407"/>
      </w:tblGrid>
      <w:tr w:rsidR="003C2011" w:rsidTr="003C2011">
        <w:trPr>
          <w:cantSplit/>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bCs/>
                <w:sz w:val="18"/>
                <w:szCs w:val="18"/>
              </w:rPr>
            </w:pPr>
            <w:r>
              <w:rPr>
                <w:bCs/>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bCs/>
                <w:sz w:val="18"/>
                <w:szCs w:val="18"/>
              </w:rPr>
            </w:pPr>
            <w:r>
              <w:rPr>
                <w:bCs/>
                <w:sz w:val="18"/>
                <w:szCs w:val="18"/>
              </w:rPr>
              <w:t>(2)</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bCs/>
                <w:sz w:val="18"/>
                <w:szCs w:val="18"/>
              </w:rPr>
            </w:pPr>
            <w:r>
              <w:rPr>
                <w:bCs/>
                <w:sz w:val="18"/>
                <w:szCs w:val="18"/>
              </w:rPr>
              <w:t>(3a)</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bCs/>
                <w:sz w:val="18"/>
                <w:szCs w:val="18"/>
              </w:rPr>
            </w:pPr>
            <w:r>
              <w:rPr>
                <w:bCs/>
                <w:sz w:val="18"/>
                <w:szCs w:val="18"/>
              </w:rPr>
              <w:t>(3b)</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bCs/>
                <w:sz w:val="18"/>
                <w:szCs w:val="18"/>
              </w:rPr>
            </w:pPr>
            <w:r>
              <w:rPr>
                <w:bCs/>
                <w:sz w:val="18"/>
                <w:szCs w:val="18"/>
              </w:rPr>
              <w:t>(4)</w:t>
            </w:r>
          </w:p>
        </w:tc>
        <w:tc>
          <w:tcPr>
            <w:tcW w:w="28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sz w:val="18"/>
                <w:szCs w:val="18"/>
              </w:rPr>
            </w:pPr>
            <w:r>
              <w:rPr>
                <w:bCs/>
                <w:sz w:val="18"/>
                <w:szCs w:val="18"/>
              </w:rPr>
              <w:t>(5)</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bCs/>
                <w:sz w:val="18"/>
                <w:szCs w:val="18"/>
              </w:rPr>
            </w:pPr>
            <w:r>
              <w:rPr>
                <w:bCs/>
                <w:sz w:val="18"/>
                <w:szCs w:val="18"/>
              </w:rPr>
              <w:t>(6)</w:t>
            </w:r>
          </w:p>
        </w:tc>
        <w:tc>
          <w:tcPr>
            <w:tcW w:w="39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(7a)</w:t>
            </w:r>
          </w:p>
        </w:tc>
        <w:tc>
          <w:tcPr>
            <w:tcW w:w="39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(7b)</w:t>
            </w:r>
          </w:p>
        </w:tc>
        <w:tc>
          <w:tcPr>
            <w:tcW w:w="53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(8)</w:t>
            </w:r>
          </w:p>
        </w:tc>
        <w:tc>
          <w:tcPr>
            <w:tcW w:w="424"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w:t>
            </w:r>
          </w:p>
        </w:tc>
        <w:tc>
          <w:tcPr>
            <w:tcW w:w="584"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(15)</w:t>
            </w: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(16)</w:t>
            </w: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(17)</w:t>
            </w: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(18)</w:t>
            </w: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(19)</w:t>
            </w: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Cs/>
                <w:iCs/>
                <w:sz w:val="18"/>
                <w:szCs w:val="18"/>
              </w:rPr>
            </w:pPr>
            <w:r>
              <w:rPr>
                <w:bCs/>
                <w:iCs/>
                <w:sz w:val="18"/>
                <w:szCs w:val="18"/>
              </w:rPr>
              <w:t>(20)</w:t>
            </w:r>
          </w:p>
        </w:tc>
      </w:tr>
      <w:tr w:rsidR="003C2011" w:rsidTr="003C2011">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rPr>
                <w:sz w:val="18"/>
                <w:szCs w:val="18"/>
              </w:rPr>
            </w:pPr>
            <w:r>
              <w:rPr>
                <w:sz w:val="18"/>
                <w:szCs w:val="18"/>
              </w:rPr>
              <w:t>3528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2011" w:rsidRPr="00A36E31" w:rsidRDefault="003C2011" w:rsidP="003C2011">
            <w:pPr>
              <w:pStyle w:val="SingleTxtG"/>
              <w:spacing w:after="0" w:line="240" w:lineRule="auto"/>
              <w:ind w:left="0" w:right="0"/>
              <w:jc w:val="left"/>
              <w:rPr>
                <w:sz w:val="18"/>
                <w:szCs w:val="18"/>
                <w:lang w:val="en-US"/>
              </w:rPr>
            </w:pPr>
            <w:r w:rsidRPr="00A36E31">
              <w:rPr>
                <w:lang w:val="en-US"/>
              </w:rPr>
              <w:t>ENGINE, INTERNAL COMBUSTION, FLAMMABLE LIQUID POWERED or ENGINE, FUEL CELL, FLAMMABLE LIQUID POWERED or MACHINERY, INTERNAL COMBUSTION, FLAMMABLE LIQUID POWERED or MACHINERY, FUEL CELL, FLAMMABLE LIQUID POWERED</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rPr>
            </w:pPr>
            <w:r>
              <w:rPr>
                <w:sz w:val="18"/>
                <w:szCs w:val="18"/>
              </w:rPr>
              <w:t>3</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3</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r>
              <w:rPr>
                <w:b/>
                <w:sz w:val="18"/>
                <w:szCs w:val="18"/>
                <w:u w:val="single"/>
                <w:lang w:eastAsia="nb-NO"/>
              </w:rPr>
              <w:br/>
              <w:t>D/E</w:t>
            </w: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r>
      <w:tr w:rsidR="003C2011" w:rsidTr="003C2011">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rPr>
                <w:sz w:val="18"/>
                <w:szCs w:val="18"/>
              </w:rPr>
            </w:pPr>
            <w:r>
              <w:rPr>
                <w:sz w:val="18"/>
                <w:szCs w:val="18"/>
              </w:rPr>
              <w:t>3529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2011" w:rsidRPr="00A36E31" w:rsidRDefault="003C2011" w:rsidP="003C2011">
            <w:pPr>
              <w:suppressAutoHyphens w:val="0"/>
              <w:spacing w:line="240" w:lineRule="auto"/>
              <w:rPr>
                <w:sz w:val="18"/>
                <w:szCs w:val="18"/>
                <w:lang w:val="en-US"/>
              </w:rPr>
            </w:pPr>
            <w:r w:rsidRPr="004F7602">
              <w:t>ENGINE, INTERNAL COMBUSTION, FLAMMABLE GAS POWERED or ENGINE, FUEL CELL, FLAMMABLE GAS POWERED or MACHINERY, INTERNAL COMBUSTION, FLAMMABLE GAS POWERED or MACHINERY, FUEL CELL, FLAMMABLE GAS POWERED</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rPr>
            </w:pPr>
            <w:r>
              <w:rPr>
                <w:sz w:val="18"/>
                <w:szCs w:val="18"/>
              </w:rPr>
              <w:t>2</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2.1</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r>
              <w:rPr>
                <w:b/>
                <w:sz w:val="18"/>
                <w:szCs w:val="18"/>
                <w:u w:val="single"/>
                <w:lang w:eastAsia="nb-NO"/>
              </w:rPr>
              <w:br/>
              <w:t>B/D</w:t>
            </w: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r>
      <w:tr w:rsidR="003C2011" w:rsidTr="003C2011">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rPr>
                <w:sz w:val="18"/>
                <w:szCs w:val="18"/>
              </w:rPr>
            </w:pPr>
            <w:r>
              <w:rPr>
                <w:sz w:val="18"/>
                <w:szCs w:val="18"/>
              </w:rPr>
              <w:t>3530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2011" w:rsidRPr="004F7602" w:rsidRDefault="003C2011" w:rsidP="003C2011">
            <w:pPr>
              <w:tabs>
                <w:tab w:val="left" w:pos="288"/>
                <w:tab w:val="left" w:pos="576"/>
                <w:tab w:val="left" w:pos="864"/>
                <w:tab w:val="left" w:pos="1152"/>
              </w:tabs>
              <w:spacing w:before="40" w:after="120"/>
            </w:pPr>
            <w:r w:rsidRPr="004F7602">
              <w:t>ENGINE, INTERNAL COMBUSTION or MACHINERY, INTERNAL COMBUSTION</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9</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3C2011" w:rsidRDefault="003C2011" w:rsidP="003C2011">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b/>
                <w:sz w:val="18"/>
                <w:szCs w:val="18"/>
                <w:u w:val="single"/>
                <w:lang w:eastAsia="nb-NO"/>
              </w:rPr>
            </w:pPr>
            <w:r>
              <w:rPr>
                <w:b/>
                <w:sz w:val="18"/>
                <w:szCs w:val="18"/>
                <w:u w:val="single"/>
                <w:lang w:eastAsia="nb-NO"/>
              </w:rPr>
              <w:br/>
              <w:t>E</w:t>
            </w: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3C2011" w:rsidRDefault="003C2011" w:rsidP="003C2011">
            <w:pPr>
              <w:suppressAutoHyphens w:val="0"/>
              <w:spacing w:line="240" w:lineRule="auto"/>
              <w:jc w:val="center"/>
              <w:rPr>
                <w:sz w:val="18"/>
                <w:szCs w:val="18"/>
                <w:lang w:eastAsia="nb-NO"/>
              </w:rPr>
            </w:pPr>
          </w:p>
        </w:tc>
      </w:tr>
    </w:tbl>
    <w:p w:rsidR="003C2011" w:rsidRPr="006B0AD6" w:rsidRDefault="003C2011" w:rsidP="003C2011">
      <w:pPr>
        <w:pStyle w:val="SingleTxtG"/>
        <w:spacing w:before="120"/>
        <w:rPr>
          <w:lang w:val="en-US"/>
        </w:rPr>
      </w:pPr>
      <w:r>
        <w:rPr>
          <w:lang w:val="en-US"/>
        </w:rPr>
        <w:t>9.</w:t>
      </w:r>
      <w:r>
        <w:rPr>
          <w:lang w:val="en-US"/>
        </w:rPr>
        <w:tab/>
        <w:t>Even if the JM has not foreseen any transport category for UN 3528, 3529 and 3530, in case of carriages not using the exemption of SP363 and carried according to P005 it would be preferable to define quantities under which some exemptions apply. To achieve this and taking account of the kind of fuels used a</w:t>
      </w:r>
      <w:r w:rsidRPr="006B0AD6">
        <w:rPr>
          <w:lang w:val="en-US"/>
        </w:rPr>
        <w:t xml:space="preserve"> consequential amendment would be to add in the table in 1.1.3.6.3 </w:t>
      </w:r>
      <w:r>
        <w:rPr>
          <w:lang w:val="en-US"/>
        </w:rPr>
        <w:t xml:space="preserve">the entries </w:t>
      </w:r>
      <w:r w:rsidRPr="006B0AD6">
        <w:rPr>
          <w:lang w:val="en-US"/>
        </w:rPr>
        <w:t xml:space="preserve">as follows: </w:t>
      </w:r>
    </w:p>
    <w:p w:rsidR="003C2011" w:rsidRDefault="003C2011" w:rsidP="003C2011">
      <w:pPr>
        <w:pStyle w:val="SingleTxtG"/>
        <w:rPr>
          <w:lang w:val="en-US"/>
        </w:rPr>
      </w:pPr>
      <w:r w:rsidRPr="006B0AD6">
        <w:rPr>
          <w:lang w:val="en-US"/>
        </w:rPr>
        <w:t>1.1.3.</w:t>
      </w:r>
      <w:r>
        <w:rPr>
          <w:lang w:val="en-US"/>
        </w:rPr>
        <w:t>6.</w:t>
      </w:r>
      <w:r w:rsidRPr="006B0AD6">
        <w:rPr>
          <w:lang w:val="en-US"/>
        </w:rPr>
        <w:t xml:space="preserve">3 in the second column of the table, </w:t>
      </w:r>
    </w:p>
    <w:p w:rsidR="003C2011" w:rsidRPr="006B0AD6" w:rsidRDefault="003C2011" w:rsidP="003C2011">
      <w:pPr>
        <w:pStyle w:val="Bullet1G"/>
        <w:rPr>
          <w:lang w:val="en-US"/>
        </w:rPr>
      </w:pPr>
      <w:r>
        <w:rPr>
          <w:lang w:val="en-US"/>
        </w:rPr>
        <w:t>F</w:t>
      </w:r>
      <w:r w:rsidRPr="006B0AD6">
        <w:rPr>
          <w:lang w:val="en-US"/>
        </w:rPr>
        <w:t xml:space="preserve">or transport category 2: </w:t>
      </w:r>
    </w:p>
    <w:p w:rsidR="003C2011" w:rsidRDefault="003C2011" w:rsidP="003C2011">
      <w:pPr>
        <w:pStyle w:val="SingleTxt"/>
        <w:tabs>
          <w:tab w:val="clear" w:pos="1267"/>
          <w:tab w:val="left" w:pos="1701"/>
        </w:tabs>
        <w:ind w:left="1701"/>
        <w:rPr>
          <w:lang w:val="en-US"/>
        </w:rPr>
      </w:pPr>
      <w:r w:rsidRPr="006B0AD6">
        <w:rPr>
          <w:lang w:val="en-US"/>
        </w:rPr>
        <w:t xml:space="preserve">in the last line for class 2 after </w:t>
      </w:r>
      <w:r>
        <w:rPr>
          <w:lang w:val="en-US"/>
        </w:rPr>
        <w:t>UN</w:t>
      </w:r>
      <w:r w:rsidRPr="006B0AD6">
        <w:rPr>
          <w:lang w:val="en-US"/>
        </w:rPr>
        <w:t xml:space="preserve"> 3500 add 'and 3529</w:t>
      </w:r>
      <w:r>
        <w:rPr>
          <w:lang w:val="en-US"/>
        </w:rPr>
        <w:t>.</w:t>
      </w:r>
    </w:p>
    <w:p w:rsidR="003C2011" w:rsidRDefault="003C2011" w:rsidP="003C2011">
      <w:pPr>
        <w:pStyle w:val="SingleTxt"/>
        <w:tabs>
          <w:tab w:val="clear" w:pos="1267"/>
          <w:tab w:val="left" w:pos="1701"/>
        </w:tabs>
        <w:ind w:left="1701"/>
        <w:rPr>
          <w:lang w:val="en-US"/>
        </w:rPr>
      </w:pPr>
      <w:r>
        <w:rPr>
          <w:lang w:val="en-US"/>
        </w:rPr>
        <w:t xml:space="preserve">Before the </w:t>
      </w:r>
      <w:r w:rsidRPr="006B0AD6">
        <w:rPr>
          <w:lang w:val="en-US"/>
        </w:rPr>
        <w:t xml:space="preserve">line of class 4.1 </w:t>
      </w:r>
      <w:r>
        <w:rPr>
          <w:lang w:val="en-US"/>
        </w:rPr>
        <w:t>add "C</w:t>
      </w:r>
      <w:r w:rsidRPr="006B0AD6">
        <w:rPr>
          <w:lang w:val="en-US"/>
        </w:rPr>
        <w:t>lass 3: UN 3528</w:t>
      </w:r>
      <w:r>
        <w:rPr>
          <w:lang w:val="en-US"/>
        </w:rPr>
        <w:t>”</w:t>
      </w:r>
      <w:r w:rsidRPr="006B0AD6">
        <w:rPr>
          <w:lang w:val="en-US"/>
        </w:rPr>
        <w:t xml:space="preserve">. </w:t>
      </w:r>
    </w:p>
    <w:p w:rsidR="003C2011" w:rsidRDefault="003C2011" w:rsidP="003C2011">
      <w:pPr>
        <w:pStyle w:val="Bullet1G"/>
        <w:rPr>
          <w:lang w:val="en-US"/>
        </w:rPr>
      </w:pPr>
      <w:r w:rsidRPr="006B0AD6">
        <w:rPr>
          <w:lang w:val="en-US"/>
        </w:rPr>
        <w:t xml:space="preserve">For transport category 3 in </w:t>
      </w:r>
      <w:r>
        <w:rPr>
          <w:lang w:val="en-US"/>
        </w:rPr>
        <w:t xml:space="preserve">the </w:t>
      </w:r>
      <w:r w:rsidRPr="006B0AD6">
        <w:rPr>
          <w:lang w:val="en-US"/>
        </w:rPr>
        <w:t>line for class 3, after 3473 add ', 3530 '.</w:t>
      </w:r>
    </w:p>
    <w:p w:rsidR="003C2011" w:rsidRDefault="003C2011" w:rsidP="00191728">
      <w:pPr>
        <w:pStyle w:val="SingleTxtG"/>
        <w:spacing w:before="240"/>
        <w:rPr>
          <w:lang w:val="en-US"/>
        </w:rPr>
      </w:pPr>
      <w:r>
        <w:rPr>
          <w:lang w:val="en-US"/>
        </w:rPr>
        <w:t>10.</w:t>
      </w:r>
      <w:r>
        <w:rPr>
          <w:lang w:val="en-US"/>
        </w:rPr>
        <w:tab/>
        <w:t>The proposal in 9. implies a transport category 2 in case of gases and flammable liquids and 3 in case of non-flammable fuels of class 9. The WP.15 should consider if it remains necessary to add these transport categories also in Table A of chapter 3.2 as was proposed in our original document ECE/TRANS/WP.15/</w:t>
      </w:r>
      <w:r w:rsidRPr="00C850C8">
        <w:rPr>
          <w:lang w:val="en-US"/>
        </w:rPr>
        <w:t>2016/4</w:t>
      </w:r>
      <w:r>
        <w:rPr>
          <w:lang w:val="en-US"/>
        </w:rPr>
        <w:t xml:space="preserve"> even if this solution has not been considered opportune by the JM. In any case it is necessary in case of carriages bearing orange-</w:t>
      </w:r>
      <w:r w:rsidR="004448E4">
        <w:rPr>
          <w:lang w:val="en-US"/>
        </w:rPr>
        <w:t>colored</w:t>
      </w:r>
      <w:r>
        <w:rPr>
          <w:lang w:val="en-US"/>
        </w:rPr>
        <w:t xml:space="preserve"> plates to have such an explanation at least in 1.1.3.6 in order to decide if a given machinery is exempted in a given tunnel category and in what amount the exemption shall apply.</w:t>
      </w:r>
    </w:p>
    <w:p w:rsidR="003C2011" w:rsidRPr="006B0AD6" w:rsidRDefault="003C2011" w:rsidP="003C2011">
      <w:pPr>
        <w:pStyle w:val="SingleTxtG"/>
        <w:rPr>
          <w:lang w:val="en-US"/>
        </w:rPr>
      </w:pPr>
      <w:r>
        <w:rPr>
          <w:lang w:val="en-US"/>
        </w:rPr>
        <w:lastRenderedPageBreak/>
        <w:t>11</w:t>
      </w:r>
      <w:r w:rsidRPr="006B0AD6">
        <w:rPr>
          <w:lang w:val="en-US"/>
        </w:rPr>
        <w:t>.</w:t>
      </w:r>
      <w:r w:rsidRPr="006B0AD6">
        <w:rPr>
          <w:lang w:val="en-US"/>
        </w:rPr>
        <w:tab/>
      </w:r>
      <w:r>
        <w:rPr>
          <w:lang w:val="en-US"/>
        </w:rPr>
        <w:t>For</w:t>
      </w:r>
      <w:r w:rsidRPr="006B0AD6">
        <w:rPr>
          <w:lang w:val="en-US"/>
        </w:rPr>
        <w:t xml:space="preserve"> machine</w:t>
      </w:r>
      <w:r>
        <w:rPr>
          <w:lang w:val="en-US"/>
        </w:rPr>
        <w:t>ries</w:t>
      </w:r>
      <w:r w:rsidRPr="006B0AD6">
        <w:rPr>
          <w:lang w:val="en-US"/>
        </w:rPr>
        <w:t xml:space="preserve"> and engines exempted by the </w:t>
      </w:r>
      <w:r>
        <w:rPr>
          <w:lang w:val="en-US"/>
        </w:rPr>
        <w:t>SP</w:t>
      </w:r>
      <w:r w:rsidRPr="006B0AD6">
        <w:rPr>
          <w:lang w:val="en-US"/>
        </w:rPr>
        <w:t xml:space="preserve">363, </w:t>
      </w:r>
      <w:r>
        <w:rPr>
          <w:lang w:val="en-US"/>
        </w:rPr>
        <w:t>it should be considered</w:t>
      </w:r>
      <w:r w:rsidRPr="006B0AD6">
        <w:rPr>
          <w:lang w:val="en-US"/>
        </w:rPr>
        <w:t xml:space="preserve"> that </w:t>
      </w:r>
      <w:r>
        <w:rPr>
          <w:lang w:val="en-US"/>
        </w:rPr>
        <w:t>this exemption apply with no limits in quantities</w:t>
      </w:r>
      <w:r w:rsidRPr="006B0AD6">
        <w:rPr>
          <w:lang w:val="en-US"/>
        </w:rPr>
        <w:t>. Certain types of machine</w:t>
      </w:r>
      <w:r>
        <w:rPr>
          <w:lang w:val="en-US"/>
        </w:rPr>
        <w:t>ry</w:t>
      </w:r>
      <w:r w:rsidRPr="006B0AD6">
        <w:rPr>
          <w:lang w:val="en-US"/>
        </w:rPr>
        <w:t xml:space="preserve"> can contain thousands of litres of fuel, e.g. generators. The same fuels are limited </w:t>
      </w:r>
      <w:r>
        <w:rPr>
          <w:lang w:val="en-US"/>
        </w:rPr>
        <w:t xml:space="preserve">in tunnels </w:t>
      </w:r>
      <w:r w:rsidRPr="006B0AD6">
        <w:rPr>
          <w:lang w:val="en-US"/>
        </w:rPr>
        <w:t>when they are not exempt</w:t>
      </w:r>
      <w:r>
        <w:rPr>
          <w:lang w:val="en-US"/>
        </w:rPr>
        <w:t>ed</w:t>
      </w:r>
      <w:r w:rsidRPr="006B0AD6">
        <w:rPr>
          <w:lang w:val="en-US"/>
        </w:rPr>
        <w:t xml:space="preserve"> </w:t>
      </w:r>
      <w:r>
        <w:rPr>
          <w:lang w:val="en-US"/>
        </w:rPr>
        <w:t>either if</w:t>
      </w:r>
      <w:r w:rsidRPr="006B0AD6">
        <w:rPr>
          <w:lang w:val="en-US"/>
        </w:rPr>
        <w:t xml:space="preserve"> </w:t>
      </w:r>
      <w:r>
        <w:rPr>
          <w:lang w:val="en-US"/>
        </w:rPr>
        <w:t xml:space="preserve">they are </w:t>
      </w:r>
      <w:r w:rsidRPr="006B0AD6">
        <w:rPr>
          <w:lang w:val="en-US"/>
        </w:rPr>
        <w:t>contained in machin</w:t>
      </w:r>
      <w:r>
        <w:rPr>
          <w:lang w:val="en-US"/>
        </w:rPr>
        <w:t>ery</w:t>
      </w:r>
      <w:r w:rsidRPr="006B0AD6">
        <w:rPr>
          <w:lang w:val="en-US"/>
        </w:rPr>
        <w:t xml:space="preserve"> </w:t>
      </w:r>
      <w:r>
        <w:rPr>
          <w:lang w:val="en-US"/>
        </w:rPr>
        <w:t>under</w:t>
      </w:r>
      <w:r w:rsidRPr="006B0AD6">
        <w:rPr>
          <w:lang w:val="en-US"/>
        </w:rPr>
        <w:t xml:space="preserve"> these </w:t>
      </w:r>
      <w:r>
        <w:rPr>
          <w:lang w:val="en-US"/>
        </w:rPr>
        <w:t>entries</w:t>
      </w:r>
      <w:r w:rsidRPr="006B0AD6">
        <w:rPr>
          <w:lang w:val="en-US"/>
        </w:rPr>
        <w:t xml:space="preserve"> and transported in accordance with the P005 </w:t>
      </w:r>
      <w:r>
        <w:rPr>
          <w:lang w:val="en-US"/>
        </w:rPr>
        <w:t xml:space="preserve">(with no tunnel restriction code and no transport category this limit is to be considered zero) </w:t>
      </w:r>
      <w:r w:rsidRPr="006B0AD6">
        <w:rPr>
          <w:lang w:val="en-US"/>
        </w:rPr>
        <w:t xml:space="preserve">or </w:t>
      </w:r>
      <w:r>
        <w:rPr>
          <w:lang w:val="en-US"/>
        </w:rPr>
        <w:t xml:space="preserve">if they are </w:t>
      </w:r>
      <w:r w:rsidRPr="006B0AD6">
        <w:rPr>
          <w:lang w:val="en-US"/>
        </w:rPr>
        <w:t>transported in other UN entries</w:t>
      </w:r>
      <w:r>
        <w:rPr>
          <w:lang w:val="en-US"/>
        </w:rPr>
        <w:t xml:space="preserve"> (UN 1202, 1203, </w:t>
      </w:r>
      <w:r w:rsidR="004448E4">
        <w:rPr>
          <w:lang w:val="en-US"/>
        </w:rPr>
        <w:t>etc.</w:t>
      </w:r>
      <w:r>
        <w:rPr>
          <w:lang w:val="en-US"/>
        </w:rPr>
        <w:t>).</w:t>
      </w:r>
      <w:r w:rsidRPr="006B0AD6">
        <w:rPr>
          <w:lang w:val="en-US"/>
        </w:rPr>
        <w:t xml:space="preserve"> </w:t>
      </w:r>
      <w:r>
        <w:rPr>
          <w:lang w:val="en-US"/>
        </w:rPr>
        <w:t>Furthermore</w:t>
      </w:r>
      <w:r w:rsidRPr="006B0AD6">
        <w:rPr>
          <w:lang w:val="en-US"/>
        </w:rPr>
        <w:t xml:space="preserve"> </w:t>
      </w:r>
      <w:r>
        <w:rPr>
          <w:lang w:val="en-US"/>
        </w:rPr>
        <w:t xml:space="preserve">from now on </w:t>
      </w:r>
      <w:r w:rsidRPr="006B0AD6">
        <w:rPr>
          <w:lang w:val="en-US"/>
        </w:rPr>
        <w:t xml:space="preserve">these new </w:t>
      </w:r>
      <w:r>
        <w:rPr>
          <w:lang w:val="en-US"/>
        </w:rPr>
        <w:t>entries for machinery</w:t>
      </w:r>
      <w:r w:rsidRPr="006B0AD6">
        <w:rPr>
          <w:lang w:val="en-US"/>
        </w:rPr>
        <w:t xml:space="preserve"> are easily identified, it is therefore coherent to limit in the case of the passages in the tunnels the scope of the </w:t>
      </w:r>
      <w:r>
        <w:rPr>
          <w:lang w:val="en-US"/>
        </w:rPr>
        <w:t>SP</w:t>
      </w:r>
      <w:r w:rsidRPr="006B0AD6">
        <w:rPr>
          <w:lang w:val="en-US"/>
        </w:rPr>
        <w:t xml:space="preserve">363. The latter contains a limit of 1000 l </w:t>
      </w:r>
      <w:r>
        <w:rPr>
          <w:lang w:val="en-US"/>
        </w:rPr>
        <w:t xml:space="preserve">of </w:t>
      </w:r>
      <w:r w:rsidRPr="006B0AD6">
        <w:rPr>
          <w:lang w:val="en-US"/>
        </w:rPr>
        <w:t xml:space="preserve">content for liquid fuels and </w:t>
      </w:r>
      <w:r>
        <w:rPr>
          <w:lang w:val="en-US"/>
        </w:rPr>
        <w:t xml:space="preserve">of </w:t>
      </w:r>
      <w:r w:rsidRPr="006B0AD6">
        <w:rPr>
          <w:lang w:val="en-US"/>
        </w:rPr>
        <w:t xml:space="preserve">capacity </w:t>
      </w:r>
      <w:r>
        <w:rPr>
          <w:lang w:val="en-US"/>
        </w:rPr>
        <w:t>for</w:t>
      </w:r>
      <w:r w:rsidRPr="006B0AD6">
        <w:rPr>
          <w:lang w:val="en-US"/>
        </w:rPr>
        <w:t xml:space="preserve"> gases. Above this limit the machine must bear labels and a transport document </w:t>
      </w:r>
      <w:r>
        <w:rPr>
          <w:lang w:val="en-US"/>
        </w:rPr>
        <w:t>with the mention</w:t>
      </w:r>
      <w:r w:rsidRPr="006B0AD6">
        <w:rPr>
          <w:lang w:val="en-US"/>
        </w:rPr>
        <w:t xml:space="preserve"> "Carriage in accordance with special provision 363" </w:t>
      </w:r>
      <w:r>
        <w:rPr>
          <w:lang w:val="en-US"/>
        </w:rPr>
        <w:t>is</w:t>
      </w:r>
      <w:r w:rsidRPr="006B0AD6">
        <w:rPr>
          <w:lang w:val="en-US"/>
        </w:rPr>
        <w:t xml:space="preserve"> required. </w:t>
      </w:r>
    </w:p>
    <w:p w:rsidR="003C2011" w:rsidRDefault="00CC7A99" w:rsidP="003C2011">
      <w:pPr>
        <w:pStyle w:val="SingleTxtG"/>
        <w:rPr>
          <w:lang w:val="en-US"/>
        </w:rPr>
      </w:pPr>
      <w:r>
        <w:rPr>
          <w:lang w:val="en-US"/>
        </w:rPr>
        <w:t>12</w:t>
      </w:r>
      <w:r w:rsidR="003C2011" w:rsidRPr="00DA0345">
        <w:rPr>
          <w:lang w:val="en-US"/>
        </w:rPr>
        <w:t>.</w:t>
      </w:r>
      <w:r w:rsidR="003C2011" w:rsidRPr="00DA0345">
        <w:rPr>
          <w:lang w:val="en-US"/>
        </w:rPr>
        <w:tab/>
        <w:t xml:space="preserve">In order to submit a transport </w:t>
      </w:r>
      <w:r w:rsidR="003C2011">
        <w:rPr>
          <w:lang w:val="en-US"/>
        </w:rPr>
        <w:t xml:space="preserve">to </w:t>
      </w:r>
      <w:r w:rsidR="003C2011" w:rsidRPr="00DA0345">
        <w:rPr>
          <w:lang w:val="en-US"/>
        </w:rPr>
        <w:t xml:space="preserve">restrictions in tunnels </w:t>
      </w:r>
      <w:r w:rsidR="003C2011">
        <w:rPr>
          <w:lang w:val="en-US"/>
        </w:rPr>
        <w:t xml:space="preserve">the </w:t>
      </w:r>
      <w:r w:rsidR="003C2011" w:rsidRPr="00DA0345">
        <w:rPr>
          <w:lang w:val="en-US"/>
        </w:rPr>
        <w:t xml:space="preserve">transport unit </w:t>
      </w:r>
      <w:r w:rsidR="003C2011">
        <w:rPr>
          <w:lang w:val="en-US"/>
        </w:rPr>
        <w:t>has to be</w:t>
      </w:r>
      <w:r w:rsidR="003C2011" w:rsidRPr="00DA0345">
        <w:rPr>
          <w:lang w:val="en-US"/>
        </w:rPr>
        <w:t xml:space="preserve"> subject to an orange-</w:t>
      </w:r>
      <w:r w:rsidR="004448E4" w:rsidRPr="00DA0345">
        <w:rPr>
          <w:lang w:val="en-US"/>
        </w:rPr>
        <w:t>colored</w:t>
      </w:r>
      <w:r w:rsidR="003C2011" w:rsidRPr="00DA0345">
        <w:rPr>
          <w:lang w:val="en-US"/>
        </w:rPr>
        <w:t xml:space="preserve"> marking according to ADR 5.3.2. For this purpose we </w:t>
      </w:r>
      <w:r w:rsidR="003C2011">
        <w:rPr>
          <w:lang w:val="en-US"/>
        </w:rPr>
        <w:t xml:space="preserve">could </w:t>
      </w:r>
      <w:r w:rsidR="003C2011" w:rsidRPr="00DA0345">
        <w:rPr>
          <w:lang w:val="en-US"/>
        </w:rPr>
        <w:t xml:space="preserve">use the limits contained in the </w:t>
      </w:r>
      <w:r w:rsidR="003C2011">
        <w:rPr>
          <w:lang w:val="en-US"/>
        </w:rPr>
        <w:t>SP</w:t>
      </w:r>
      <w:r w:rsidR="003C2011" w:rsidRPr="00DA0345">
        <w:rPr>
          <w:lang w:val="en-US"/>
        </w:rPr>
        <w:t>363 itself so that the transport unit carrying a machin</w:t>
      </w:r>
      <w:r w:rsidR="003C2011">
        <w:rPr>
          <w:lang w:val="en-US"/>
        </w:rPr>
        <w:t>ery</w:t>
      </w:r>
      <w:r w:rsidR="003C2011" w:rsidRPr="00DA0345">
        <w:rPr>
          <w:lang w:val="en-US"/>
        </w:rPr>
        <w:t xml:space="preserve"> that is subject to the placarding </w:t>
      </w:r>
      <w:r w:rsidR="003C2011">
        <w:rPr>
          <w:lang w:val="en-US"/>
        </w:rPr>
        <w:t xml:space="preserve">should be </w:t>
      </w:r>
      <w:r w:rsidR="003C2011" w:rsidRPr="00DA0345">
        <w:rPr>
          <w:lang w:val="en-US"/>
        </w:rPr>
        <w:t>in</w:t>
      </w:r>
      <w:r w:rsidR="003C2011">
        <w:rPr>
          <w:lang w:val="en-US"/>
        </w:rPr>
        <w:t xml:space="preserve"> addition </w:t>
      </w:r>
      <w:r w:rsidR="003C2011" w:rsidRPr="00DA0345">
        <w:rPr>
          <w:lang w:val="en-US"/>
        </w:rPr>
        <w:t>subject to the orange-</w:t>
      </w:r>
      <w:r w:rsidR="004448E4" w:rsidRPr="00DA0345">
        <w:rPr>
          <w:lang w:val="en-US"/>
        </w:rPr>
        <w:t>colored</w:t>
      </w:r>
      <w:r w:rsidR="003C2011" w:rsidRPr="00DA0345">
        <w:rPr>
          <w:lang w:val="en-US"/>
        </w:rPr>
        <w:t xml:space="preserve"> marking according to 5.3.2. For this</w:t>
      </w:r>
      <w:r w:rsidR="003C2011">
        <w:rPr>
          <w:lang w:val="en-US"/>
        </w:rPr>
        <w:t>,</w:t>
      </w:r>
      <w:r w:rsidR="003C2011" w:rsidRPr="00DA0345">
        <w:rPr>
          <w:lang w:val="en-US"/>
        </w:rPr>
        <w:t xml:space="preserve"> a simple solution would be to amend the </w:t>
      </w:r>
      <w:r w:rsidR="003C2011">
        <w:rPr>
          <w:lang w:val="en-US"/>
        </w:rPr>
        <w:t>SP</w:t>
      </w:r>
      <w:r w:rsidR="003C2011" w:rsidRPr="00DA0345">
        <w:rPr>
          <w:lang w:val="en-US"/>
        </w:rPr>
        <w:t xml:space="preserve">363 by adding text under the </w:t>
      </w:r>
      <w:r w:rsidR="003C2011">
        <w:rPr>
          <w:lang w:val="en-US"/>
        </w:rPr>
        <w:t>SP</w:t>
      </w:r>
      <w:r w:rsidR="003C2011" w:rsidRPr="00DA0345">
        <w:rPr>
          <w:lang w:val="en-US"/>
        </w:rPr>
        <w:t xml:space="preserve">363) </w:t>
      </w:r>
      <w:r w:rsidR="003C2011">
        <w:rPr>
          <w:lang w:val="en-US"/>
        </w:rPr>
        <w:t xml:space="preserve">g) </w:t>
      </w:r>
      <w:r w:rsidR="003C2011" w:rsidRPr="00DA0345">
        <w:rPr>
          <w:lang w:val="en-US"/>
        </w:rPr>
        <w:t>vi) (proposal 2</w:t>
      </w:r>
      <w:r w:rsidR="003C2011">
        <w:rPr>
          <w:lang w:val="en-US"/>
        </w:rPr>
        <w:t>a</w:t>
      </w:r>
      <w:r w:rsidR="003C2011" w:rsidRPr="00DA0345">
        <w:rPr>
          <w:lang w:val="en-US"/>
        </w:rPr>
        <w:t xml:space="preserve">). Because it is a text which comes from the </w:t>
      </w:r>
      <w:r w:rsidR="003C2011">
        <w:rPr>
          <w:lang w:val="en-US"/>
        </w:rPr>
        <w:t>M</w:t>
      </w:r>
      <w:r w:rsidR="003C2011" w:rsidRPr="00DA0345">
        <w:rPr>
          <w:lang w:val="en-US"/>
        </w:rPr>
        <w:t xml:space="preserve">odel regulations and </w:t>
      </w:r>
      <w:r w:rsidR="003C2011">
        <w:rPr>
          <w:lang w:val="en-US"/>
        </w:rPr>
        <w:t xml:space="preserve">in case that </w:t>
      </w:r>
      <w:r w:rsidR="003C2011" w:rsidRPr="00DA0345">
        <w:rPr>
          <w:lang w:val="en-US"/>
        </w:rPr>
        <w:t>this option w</w:t>
      </w:r>
      <w:r w:rsidR="003C2011">
        <w:rPr>
          <w:lang w:val="en-US"/>
        </w:rPr>
        <w:t>ould</w:t>
      </w:r>
      <w:r w:rsidR="003C2011" w:rsidRPr="00DA0345">
        <w:rPr>
          <w:lang w:val="en-US"/>
        </w:rPr>
        <w:t xml:space="preserve"> not </w:t>
      </w:r>
      <w:r w:rsidR="003C2011">
        <w:rPr>
          <w:lang w:val="en-US"/>
        </w:rPr>
        <w:t xml:space="preserve">be </w:t>
      </w:r>
      <w:r w:rsidR="003C2011" w:rsidRPr="00DA0345">
        <w:rPr>
          <w:lang w:val="en-US"/>
        </w:rPr>
        <w:t>acceptable for this reason</w:t>
      </w:r>
      <w:r w:rsidR="003C2011">
        <w:rPr>
          <w:lang w:val="en-US"/>
        </w:rPr>
        <w:t>, another option c</w:t>
      </w:r>
      <w:r w:rsidR="003C2011" w:rsidRPr="00DA0345">
        <w:rPr>
          <w:lang w:val="en-US"/>
        </w:rPr>
        <w:t>ould be to clarify the requirement in a special provision ad hoc DXY</w:t>
      </w:r>
      <w:r w:rsidR="003C2011">
        <w:rPr>
          <w:lang w:val="en-US"/>
        </w:rPr>
        <w:t>Z</w:t>
      </w:r>
      <w:r w:rsidR="003C2011" w:rsidRPr="00DA0345">
        <w:rPr>
          <w:lang w:val="en-US"/>
        </w:rPr>
        <w:t xml:space="preserve"> (proposal 2b). Finally a third possibility is to introduce thi</w:t>
      </w:r>
      <w:bookmarkStart w:id="0" w:name="_GoBack"/>
      <w:bookmarkEnd w:id="0"/>
      <w:r w:rsidR="003C2011" w:rsidRPr="00DA0345">
        <w:rPr>
          <w:lang w:val="en-US"/>
        </w:rPr>
        <w:t xml:space="preserve">s limitation for tunnels directly </w:t>
      </w:r>
      <w:r w:rsidR="003C2011">
        <w:rPr>
          <w:lang w:val="en-US"/>
        </w:rPr>
        <w:t>in</w:t>
      </w:r>
      <w:r w:rsidR="003C2011" w:rsidRPr="00DA0345">
        <w:rPr>
          <w:lang w:val="en-US"/>
        </w:rPr>
        <w:t xml:space="preserve"> 1.9.5.3.6 and 8.6.3.1 (proposal 2</w:t>
      </w:r>
      <w:r w:rsidR="003C2011">
        <w:rPr>
          <w:lang w:val="en-US"/>
        </w:rPr>
        <w:t>c)</w:t>
      </w:r>
      <w:r w:rsidR="003C2011" w:rsidRPr="00DA0345">
        <w:rPr>
          <w:lang w:val="en-US"/>
        </w:rPr>
        <w:t>.</w:t>
      </w:r>
    </w:p>
    <w:p w:rsidR="003C2011" w:rsidRPr="00903DD7" w:rsidRDefault="003C2011" w:rsidP="003C2011">
      <w:pPr>
        <w:pStyle w:val="HChG"/>
        <w:rPr>
          <w:lang w:val="en-US"/>
        </w:rPr>
      </w:pPr>
      <w:r>
        <w:rPr>
          <w:lang w:val="en-US"/>
        </w:rPr>
        <w:tab/>
      </w:r>
      <w:r>
        <w:rPr>
          <w:lang w:val="en-US"/>
        </w:rPr>
        <w:tab/>
      </w:r>
      <w:r w:rsidRPr="00903DD7">
        <w:rPr>
          <w:lang w:val="en-US"/>
        </w:rPr>
        <w:t>Proposal 2a</w:t>
      </w:r>
    </w:p>
    <w:p w:rsidR="003C2011" w:rsidRPr="00903DD7" w:rsidRDefault="003C2011" w:rsidP="003C2011">
      <w:pPr>
        <w:pStyle w:val="SingleTxtG"/>
        <w:rPr>
          <w:lang w:val="en-US"/>
        </w:rPr>
      </w:pPr>
      <w:r w:rsidRPr="00903DD7">
        <w:rPr>
          <w:lang w:val="en-US"/>
        </w:rPr>
        <w:t>SP 363</w:t>
      </w:r>
    </w:p>
    <w:p w:rsidR="003C2011" w:rsidRPr="002D360D" w:rsidRDefault="003C2011" w:rsidP="003C2011">
      <w:pPr>
        <w:pStyle w:val="SingleTxtG"/>
        <w:rPr>
          <w:lang w:val="en-US"/>
        </w:rPr>
      </w:pPr>
      <w:r w:rsidRPr="002D360D">
        <w:rPr>
          <w:lang w:val="en-US"/>
        </w:rPr>
        <w:t>Change the text in SP363 g) vi) as follows (the added text is bold and un</w:t>
      </w:r>
      <w:r>
        <w:rPr>
          <w:lang w:val="en-US"/>
        </w:rPr>
        <w:t>d</w:t>
      </w:r>
      <w:r w:rsidRPr="002D360D">
        <w:rPr>
          <w:lang w:val="en-US"/>
        </w:rPr>
        <w:t>erlined):</w:t>
      </w:r>
    </w:p>
    <w:p w:rsidR="003C2011" w:rsidRPr="00903DD7" w:rsidRDefault="003C2011" w:rsidP="004448E4">
      <w:pPr>
        <w:pStyle w:val="ParNoG"/>
        <w:numPr>
          <w:ilvl w:val="0"/>
          <w:numId w:val="0"/>
        </w:numPr>
        <w:ind w:left="1701"/>
        <w:rPr>
          <w:lang w:val="en-US"/>
        </w:rPr>
      </w:pPr>
      <w:r w:rsidRPr="006D43F0">
        <w:rPr>
          <w:lang w:val="en-US"/>
        </w:rPr>
        <w:t>vi)</w:t>
      </w:r>
      <w:r w:rsidRPr="006D43F0">
        <w:rPr>
          <w:lang w:val="en-US"/>
        </w:rPr>
        <w:tab/>
      </w:r>
      <w:r w:rsidRPr="00903DD7">
        <w:rPr>
          <w:rFonts w:eastAsia="Calibri"/>
          <w:lang w:val="en-US"/>
        </w:rPr>
        <w:t xml:space="preserve">A transport document in accordance with 5.4.1 </w:t>
      </w:r>
      <w:r w:rsidRPr="009145AA">
        <w:rPr>
          <w:rFonts w:eastAsia="Calibri"/>
          <w:b/>
          <w:u w:val="single"/>
          <w:lang w:val="en-US"/>
        </w:rPr>
        <w:t>and an o</w:t>
      </w:r>
      <w:r w:rsidRPr="009145AA">
        <w:rPr>
          <w:b/>
          <w:u w:val="single"/>
          <w:lang w:val="en-US"/>
        </w:rPr>
        <w:t>range-</w:t>
      </w:r>
      <w:r w:rsidR="004448E4" w:rsidRPr="009145AA">
        <w:rPr>
          <w:b/>
          <w:u w:val="single"/>
          <w:lang w:val="en-US"/>
        </w:rPr>
        <w:t>colored</w:t>
      </w:r>
      <w:r w:rsidRPr="009145AA">
        <w:rPr>
          <w:b/>
          <w:u w:val="single"/>
          <w:lang w:val="en-US"/>
        </w:rPr>
        <w:t xml:space="preserve"> plate marking</w:t>
      </w:r>
      <w:r w:rsidRPr="009145AA">
        <w:rPr>
          <w:rFonts w:eastAsia="Calibri"/>
          <w:b/>
          <w:u w:val="single"/>
          <w:lang w:val="en-US"/>
        </w:rPr>
        <w:t xml:space="preserve"> in accordance with 5.3.2</w:t>
      </w:r>
      <w:r>
        <w:rPr>
          <w:rFonts w:eastAsia="Calibri"/>
          <w:lang w:val="en-US"/>
        </w:rPr>
        <w:t xml:space="preserve"> </w:t>
      </w:r>
      <w:r w:rsidRPr="00903DD7">
        <w:rPr>
          <w:rFonts w:eastAsia="Calibri"/>
          <w:lang w:val="en-US"/>
        </w:rPr>
        <w:t>is required only when the engine or machinery contains more than 1 000 l of liquid fuels, for UN 3528 and UN 3530, or the fuel tank has a water capacity of more than 1 000 l, for UN 3529</w:t>
      </w:r>
    </w:p>
    <w:p w:rsidR="003C2011" w:rsidRPr="00903DD7" w:rsidRDefault="003C2011" w:rsidP="003C2011">
      <w:pPr>
        <w:pStyle w:val="HChG"/>
        <w:rPr>
          <w:lang w:val="en-US"/>
        </w:rPr>
      </w:pPr>
      <w:r w:rsidRPr="00903DD7">
        <w:rPr>
          <w:lang w:val="en-US"/>
        </w:rPr>
        <w:tab/>
      </w:r>
      <w:r w:rsidR="004448E4">
        <w:rPr>
          <w:lang w:val="en-US"/>
        </w:rPr>
        <w:tab/>
      </w:r>
      <w:r w:rsidRPr="00903DD7">
        <w:rPr>
          <w:lang w:val="en-US"/>
        </w:rPr>
        <w:t>Proposal 2</w:t>
      </w:r>
      <w:r>
        <w:rPr>
          <w:lang w:val="en-US"/>
        </w:rPr>
        <w:t>b</w:t>
      </w:r>
    </w:p>
    <w:p w:rsidR="003C2011" w:rsidRDefault="003C2011" w:rsidP="004448E4">
      <w:pPr>
        <w:suppressAutoHyphens w:val="0"/>
        <w:spacing w:before="120" w:after="120" w:line="240" w:lineRule="auto"/>
        <w:ind w:left="1134"/>
      </w:pPr>
      <w:r>
        <w:t>SPXY</w:t>
      </w:r>
    </w:p>
    <w:p w:rsidR="003C2011" w:rsidRPr="006D43F0" w:rsidRDefault="004448E4" w:rsidP="004448E4">
      <w:pPr>
        <w:pStyle w:val="SingleTxtG"/>
        <w:spacing w:before="120"/>
        <w:rPr>
          <w:lang w:val="en-US"/>
        </w:rPr>
      </w:pPr>
      <w:r w:rsidRPr="006D43F0">
        <w:rPr>
          <w:lang w:val="en-US"/>
        </w:rPr>
        <w:t xml:space="preserve">In Table A of Chapter 3.2 by entries of UN-Numbers UN 3528, 3529 </w:t>
      </w:r>
      <w:r>
        <w:rPr>
          <w:lang w:val="en-US"/>
        </w:rPr>
        <w:t>and</w:t>
      </w:r>
      <w:r w:rsidRPr="006D43F0">
        <w:rPr>
          <w:lang w:val="en-US"/>
        </w:rPr>
        <w:t xml:space="preserve"> 3530 introd</w:t>
      </w:r>
      <w:r>
        <w:rPr>
          <w:lang w:val="en-US"/>
        </w:rPr>
        <w:t>uce following special provision</w:t>
      </w:r>
      <w:r w:rsidRPr="006D43F0">
        <w:rPr>
          <w:lang w:val="en-US"/>
        </w:rPr>
        <w:t>:</w:t>
      </w:r>
    </w:p>
    <w:p w:rsidR="003C2011" w:rsidRPr="006D43F0" w:rsidRDefault="004448E4" w:rsidP="004448E4">
      <w:pPr>
        <w:pStyle w:val="SingleTxtG"/>
        <w:spacing w:before="120"/>
        <w:rPr>
          <w:lang w:val="en-US"/>
        </w:rPr>
      </w:pPr>
      <w:r>
        <w:rPr>
          <w:lang w:val="en-US"/>
        </w:rPr>
        <w:t>«</w:t>
      </w:r>
      <w:r w:rsidR="003C2011">
        <w:rPr>
          <w:lang w:val="en-US"/>
        </w:rPr>
        <w:t>SPXYZ</w:t>
      </w:r>
      <w:r w:rsidR="003C2011" w:rsidRPr="006D43F0">
        <w:rPr>
          <w:lang w:val="en-US"/>
        </w:rPr>
        <w:t xml:space="preserve"> Transport units carrying engines and mach</w:t>
      </w:r>
      <w:r w:rsidR="003C2011">
        <w:rPr>
          <w:lang w:val="en-US"/>
        </w:rPr>
        <w:t>inery</w:t>
      </w:r>
      <w:r w:rsidR="003C2011" w:rsidRPr="006D43F0">
        <w:rPr>
          <w:lang w:val="en-US"/>
        </w:rPr>
        <w:t xml:space="preserve"> </w:t>
      </w:r>
      <w:r w:rsidR="003C2011">
        <w:rPr>
          <w:lang w:val="en-US"/>
        </w:rPr>
        <w:t>subject to t</w:t>
      </w:r>
      <w:r w:rsidR="003C2011" w:rsidRPr="006D43F0">
        <w:rPr>
          <w:lang w:val="en-US"/>
        </w:rPr>
        <w:t xml:space="preserve">he marking according to </w:t>
      </w:r>
      <w:r w:rsidR="003C2011">
        <w:rPr>
          <w:lang w:val="en-US"/>
        </w:rPr>
        <w:t>SP</w:t>
      </w:r>
      <w:r w:rsidR="003C2011" w:rsidRPr="006D43F0">
        <w:rPr>
          <w:lang w:val="en-US"/>
        </w:rPr>
        <w:t>363 g) vi) are subject to orange-</w:t>
      </w:r>
      <w:r w:rsidRPr="006D43F0">
        <w:rPr>
          <w:lang w:val="en-US"/>
        </w:rPr>
        <w:t>colored</w:t>
      </w:r>
      <w:r w:rsidR="003C2011" w:rsidRPr="006D43F0">
        <w:rPr>
          <w:lang w:val="en-US"/>
        </w:rPr>
        <w:t xml:space="preserve"> ma</w:t>
      </w:r>
      <w:r>
        <w:rPr>
          <w:lang w:val="en-US"/>
        </w:rPr>
        <w:t>rking in accordance with 5.3.2.</w:t>
      </w:r>
      <w:r w:rsidR="003C2011" w:rsidRPr="006D43F0">
        <w:rPr>
          <w:lang w:val="en-US"/>
        </w:rPr>
        <w:t>»</w:t>
      </w:r>
    </w:p>
    <w:p w:rsidR="003C2011" w:rsidRDefault="004448E4" w:rsidP="003C2011">
      <w:pPr>
        <w:pStyle w:val="HChG"/>
      </w:pPr>
      <w:r>
        <w:rPr>
          <w:lang w:val="en-US"/>
        </w:rPr>
        <w:tab/>
      </w:r>
      <w:r>
        <w:rPr>
          <w:lang w:val="en-US"/>
        </w:rPr>
        <w:tab/>
      </w:r>
      <w:r w:rsidR="003C2011">
        <w:t>Proposition 2c</w:t>
      </w:r>
    </w:p>
    <w:p w:rsidR="003C2011" w:rsidRPr="006D43F0" w:rsidRDefault="003C2011" w:rsidP="003C2011">
      <w:pPr>
        <w:pStyle w:val="SingleTxtG"/>
        <w:rPr>
          <w:lang w:val="en-US"/>
        </w:rPr>
      </w:pPr>
      <w:r w:rsidRPr="006D43F0">
        <w:rPr>
          <w:lang w:val="en-US"/>
        </w:rPr>
        <w:t>1.9.5.3.6 and 8.6.3.1</w:t>
      </w:r>
    </w:p>
    <w:p w:rsidR="003C2011" w:rsidRPr="006D43F0" w:rsidRDefault="003C2011" w:rsidP="003C2011">
      <w:pPr>
        <w:pStyle w:val="SingleTxtG"/>
        <w:rPr>
          <w:lang w:val="en-US"/>
        </w:rPr>
      </w:pPr>
      <w:r w:rsidRPr="006D43F0">
        <w:rPr>
          <w:lang w:val="en-US"/>
        </w:rPr>
        <w:t xml:space="preserve">In 1.9.5.3.6 and in 8.6.3.1 add </w:t>
      </w:r>
      <w:r>
        <w:rPr>
          <w:lang w:val="en-US"/>
        </w:rPr>
        <w:t xml:space="preserve">the following </w:t>
      </w:r>
      <w:r w:rsidRPr="006D43F0">
        <w:rPr>
          <w:lang w:val="en-US"/>
        </w:rPr>
        <w:t xml:space="preserve">second </w:t>
      </w:r>
      <w:r>
        <w:rPr>
          <w:lang w:val="en-US"/>
        </w:rPr>
        <w:t>sentence</w:t>
      </w:r>
      <w:r w:rsidRPr="006D43F0">
        <w:rPr>
          <w:lang w:val="en-US"/>
        </w:rPr>
        <w:t>:</w:t>
      </w:r>
    </w:p>
    <w:p w:rsidR="003C2011" w:rsidRPr="006D43F0" w:rsidRDefault="004448E4" w:rsidP="003C2011">
      <w:pPr>
        <w:pStyle w:val="SingleTxtG"/>
        <w:rPr>
          <w:lang w:val="en-US"/>
        </w:rPr>
      </w:pPr>
      <w:r>
        <w:rPr>
          <w:lang w:val="en-US"/>
        </w:rPr>
        <w:t>«</w:t>
      </w:r>
      <w:r w:rsidR="003C2011">
        <w:rPr>
          <w:lang w:val="en-US"/>
        </w:rPr>
        <w:t xml:space="preserve">These restrictions </w:t>
      </w:r>
      <w:r w:rsidR="003C2011" w:rsidRPr="006D43F0">
        <w:rPr>
          <w:lang w:val="en-US"/>
        </w:rPr>
        <w:t>apply also to dangerous goods assigned to UN-Numbers 3528, 3529 et 3530 sub</w:t>
      </w:r>
      <w:r w:rsidR="003C2011">
        <w:rPr>
          <w:lang w:val="en-US"/>
        </w:rPr>
        <w:t>ject</w:t>
      </w:r>
      <w:r w:rsidR="003C2011" w:rsidRPr="006D43F0">
        <w:rPr>
          <w:lang w:val="en-US"/>
        </w:rPr>
        <w:t xml:space="preserve"> to mar</w:t>
      </w:r>
      <w:r>
        <w:rPr>
          <w:lang w:val="en-US"/>
        </w:rPr>
        <w:t>king according to SP363 g) vi).</w:t>
      </w:r>
      <w:r w:rsidR="003C2011" w:rsidRPr="006D43F0">
        <w:rPr>
          <w:lang w:val="en-US"/>
        </w:rPr>
        <w:t>».</w:t>
      </w:r>
    </w:p>
    <w:p w:rsidR="003C2011" w:rsidRPr="006D43F0" w:rsidRDefault="003C2011" w:rsidP="003C2011">
      <w:pPr>
        <w:pStyle w:val="SingleTxtG"/>
        <w:spacing w:before="240" w:after="0"/>
        <w:jc w:val="center"/>
        <w:rPr>
          <w:u w:val="single"/>
          <w:lang w:val="en-US"/>
        </w:rPr>
      </w:pPr>
      <w:r w:rsidRPr="006D43F0">
        <w:rPr>
          <w:u w:val="single"/>
          <w:lang w:val="en-US"/>
        </w:rPr>
        <w:tab/>
      </w:r>
      <w:r w:rsidRPr="006D43F0">
        <w:rPr>
          <w:u w:val="single"/>
          <w:lang w:val="en-US"/>
        </w:rPr>
        <w:tab/>
      </w:r>
      <w:r w:rsidRPr="006D43F0">
        <w:rPr>
          <w:u w:val="single"/>
          <w:lang w:val="en-US"/>
        </w:rPr>
        <w:tab/>
      </w:r>
    </w:p>
    <w:sectPr w:rsidR="003C2011" w:rsidRPr="006D43F0" w:rsidSect="006028D9">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11" w:rsidRDefault="003C2011"/>
  </w:endnote>
  <w:endnote w:type="continuationSeparator" w:id="0">
    <w:p w:rsidR="003C2011" w:rsidRDefault="003C2011"/>
  </w:endnote>
  <w:endnote w:type="continuationNotice" w:id="1">
    <w:p w:rsidR="003C2011" w:rsidRDefault="003C2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11" w:rsidRPr="003905A1" w:rsidRDefault="003C2011">
    <w:pPr>
      <w:pStyle w:val="Footer"/>
      <w:rPr>
        <w:b/>
        <w:sz w:val="18"/>
        <w:szCs w:val="18"/>
      </w:rPr>
    </w:pPr>
    <w:r w:rsidRPr="003905A1">
      <w:rPr>
        <w:b/>
        <w:sz w:val="18"/>
        <w:szCs w:val="18"/>
      </w:rPr>
      <w:fldChar w:fldCharType="begin"/>
    </w:r>
    <w:r w:rsidRPr="003905A1">
      <w:rPr>
        <w:b/>
        <w:sz w:val="18"/>
        <w:szCs w:val="18"/>
      </w:rPr>
      <w:instrText xml:space="preserve"> PAGE   \* MERGEFORMAT </w:instrText>
    </w:r>
    <w:r w:rsidRPr="003905A1">
      <w:rPr>
        <w:b/>
        <w:sz w:val="18"/>
        <w:szCs w:val="18"/>
      </w:rPr>
      <w:fldChar w:fldCharType="separate"/>
    </w:r>
    <w:r w:rsidR="00191728">
      <w:rPr>
        <w:b/>
        <w:noProof/>
        <w:sz w:val="18"/>
        <w:szCs w:val="18"/>
      </w:rPr>
      <w:t>2</w:t>
    </w:r>
    <w:r w:rsidRPr="003905A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11" w:rsidRPr="003905A1" w:rsidRDefault="003C2011">
    <w:pPr>
      <w:pStyle w:val="Footer"/>
      <w:jc w:val="right"/>
      <w:rPr>
        <w:b/>
        <w:sz w:val="18"/>
        <w:szCs w:val="18"/>
      </w:rPr>
    </w:pPr>
    <w:r w:rsidRPr="003905A1">
      <w:rPr>
        <w:b/>
        <w:sz w:val="18"/>
        <w:szCs w:val="18"/>
      </w:rPr>
      <w:fldChar w:fldCharType="begin"/>
    </w:r>
    <w:r w:rsidRPr="003905A1">
      <w:rPr>
        <w:b/>
        <w:sz w:val="18"/>
        <w:szCs w:val="18"/>
      </w:rPr>
      <w:instrText xml:space="preserve"> PAGE   \* MERGEFORMAT </w:instrText>
    </w:r>
    <w:r w:rsidRPr="003905A1">
      <w:rPr>
        <w:b/>
        <w:sz w:val="18"/>
        <w:szCs w:val="18"/>
      </w:rPr>
      <w:fldChar w:fldCharType="separate"/>
    </w:r>
    <w:r w:rsidR="00191728">
      <w:rPr>
        <w:b/>
        <w:noProof/>
        <w:sz w:val="18"/>
        <w:szCs w:val="18"/>
      </w:rPr>
      <w:t>3</w:t>
    </w:r>
    <w:r w:rsidRPr="003905A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11" w:rsidRPr="000B175B" w:rsidRDefault="003C2011" w:rsidP="000B175B">
      <w:pPr>
        <w:tabs>
          <w:tab w:val="right" w:pos="2155"/>
        </w:tabs>
        <w:spacing w:after="80"/>
        <w:ind w:left="680"/>
        <w:rPr>
          <w:u w:val="single"/>
        </w:rPr>
      </w:pPr>
      <w:r>
        <w:rPr>
          <w:u w:val="single"/>
        </w:rPr>
        <w:tab/>
      </w:r>
    </w:p>
  </w:footnote>
  <w:footnote w:type="continuationSeparator" w:id="0">
    <w:p w:rsidR="003C2011" w:rsidRPr="00FC68B7" w:rsidRDefault="003C2011" w:rsidP="00FC68B7">
      <w:pPr>
        <w:tabs>
          <w:tab w:val="left" w:pos="2155"/>
        </w:tabs>
        <w:spacing w:after="80"/>
        <w:ind w:left="680"/>
        <w:rPr>
          <w:u w:val="single"/>
        </w:rPr>
      </w:pPr>
      <w:r>
        <w:rPr>
          <w:u w:val="single"/>
        </w:rPr>
        <w:tab/>
      </w:r>
    </w:p>
  </w:footnote>
  <w:footnote w:type="continuationNotice" w:id="1">
    <w:p w:rsidR="003C2011" w:rsidRDefault="003C2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11" w:rsidRDefault="003C2011" w:rsidP="003905A1">
    <w:pPr>
      <w:pStyle w:val="Header"/>
      <w:pBdr>
        <w:bottom w:val="single" w:sz="4" w:space="1" w:color="auto"/>
      </w:pBdr>
    </w:pPr>
    <w:r>
      <w:t>INF.</w:t>
    </w:r>
    <w:r w:rsidR="00C86440">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11" w:rsidRDefault="003C2011" w:rsidP="003905A1">
    <w:pPr>
      <w:pStyle w:val="Header"/>
      <w:jc w:val="right"/>
    </w:pPr>
    <w:r>
      <w:t>INF.</w:t>
    </w:r>
    <w:r w:rsidR="00C86440">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1500F"/>
    <w:multiLevelType w:val="hybridMultilevel"/>
    <w:tmpl w:val="559E27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286AEC"/>
    <w:multiLevelType w:val="hybridMultilevel"/>
    <w:tmpl w:val="85D23B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4105CE"/>
    <w:multiLevelType w:val="hybridMultilevel"/>
    <w:tmpl w:val="9F8C34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9"/>
  </w:num>
  <w:num w:numId="15">
    <w:abstractNumId w:val="13"/>
  </w:num>
  <w:num w:numId="16">
    <w:abstractNumId w:val="11"/>
  </w:num>
  <w:num w:numId="17">
    <w:abstractNumId w:val="17"/>
  </w:num>
  <w:num w:numId="18">
    <w:abstractNumId w:val="18"/>
  </w:num>
  <w:num w:numId="19">
    <w:abstractNumId w:val="12"/>
  </w:num>
  <w:num w:numId="20">
    <w:abstractNumId w:val="1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Freezor">
    <w15:presenceInfo w15:providerId="AD" w15:userId="S-1-5-21-1250619057-357794088-2486035735-76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14929"/>
    <w:rsid w:val="00017916"/>
    <w:rsid w:val="00037F90"/>
    <w:rsid w:val="00046B1F"/>
    <w:rsid w:val="00047472"/>
    <w:rsid w:val="00050F6B"/>
    <w:rsid w:val="00057E97"/>
    <w:rsid w:val="00072C8C"/>
    <w:rsid w:val="000733B5"/>
    <w:rsid w:val="00081815"/>
    <w:rsid w:val="000931C0"/>
    <w:rsid w:val="00096262"/>
    <w:rsid w:val="000A3752"/>
    <w:rsid w:val="000A7267"/>
    <w:rsid w:val="000B0595"/>
    <w:rsid w:val="000B175B"/>
    <w:rsid w:val="000B2553"/>
    <w:rsid w:val="000B3A0F"/>
    <w:rsid w:val="000B4EF7"/>
    <w:rsid w:val="000B633F"/>
    <w:rsid w:val="000C2C03"/>
    <w:rsid w:val="000C2D2E"/>
    <w:rsid w:val="000C4D51"/>
    <w:rsid w:val="000C7F79"/>
    <w:rsid w:val="000E0415"/>
    <w:rsid w:val="000E5044"/>
    <w:rsid w:val="0010391C"/>
    <w:rsid w:val="00104CDA"/>
    <w:rsid w:val="001103AA"/>
    <w:rsid w:val="0011666B"/>
    <w:rsid w:val="00125117"/>
    <w:rsid w:val="00155068"/>
    <w:rsid w:val="0015701A"/>
    <w:rsid w:val="0015724D"/>
    <w:rsid w:val="00165F3A"/>
    <w:rsid w:val="00191728"/>
    <w:rsid w:val="001A57BD"/>
    <w:rsid w:val="001A6E55"/>
    <w:rsid w:val="001B13A5"/>
    <w:rsid w:val="001B2BDE"/>
    <w:rsid w:val="001B4B04"/>
    <w:rsid w:val="001C6663"/>
    <w:rsid w:val="001C7895"/>
    <w:rsid w:val="001D0C8C"/>
    <w:rsid w:val="001D1419"/>
    <w:rsid w:val="001D26DF"/>
    <w:rsid w:val="001D284F"/>
    <w:rsid w:val="001D3A03"/>
    <w:rsid w:val="001E0B9E"/>
    <w:rsid w:val="001E7B67"/>
    <w:rsid w:val="001F7435"/>
    <w:rsid w:val="00200C45"/>
    <w:rsid w:val="00202DA8"/>
    <w:rsid w:val="00203753"/>
    <w:rsid w:val="002102FF"/>
    <w:rsid w:val="0021114C"/>
    <w:rsid w:val="0021157B"/>
    <w:rsid w:val="00211E0B"/>
    <w:rsid w:val="00227D87"/>
    <w:rsid w:val="0024023A"/>
    <w:rsid w:val="00243217"/>
    <w:rsid w:val="0024594B"/>
    <w:rsid w:val="0025037B"/>
    <w:rsid w:val="00252290"/>
    <w:rsid w:val="00267F5F"/>
    <w:rsid w:val="00275CEC"/>
    <w:rsid w:val="00286B4D"/>
    <w:rsid w:val="00290DD3"/>
    <w:rsid w:val="002A3C85"/>
    <w:rsid w:val="002A603B"/>
    <w:rsid w:val="002B02D1"/>
    <w:rsid w:val="002D45BF"/>
    <w:rsid w:val="002D4643"/>
    <w:rsid w:val="002D4B6C"/>
    <w:rsid w:val="002F175C"/>
    <w:rsid w:val="00302E18"/>
    <w:rsid w:val="003050A4"/>
    <w:rsid w:val="0030606F"/>
    <w:rsid w:val="003229D8"/>
    <w:rsid w:val="003358CF"/>
    <w:rsid w:val="00345184"/>
    <w:rsid w:val="00346A10"/>
    <w:rsid w:val="00352709"/>
    <w:rsid w:val="003571EA"/>
    <w:rsid w:val="00371178"/>
    <w:rsid w:val="003905A1"/>
    <w:rsid w:val="003A6810"/>
    <w:rsid w:val="003B36D1"/>
    <w:rsid w:val="003C2011"/>
    <w:rsid w:val="003C2CC4"/>
    <w:rsid w:val="003D4B23"/>
    <w:rsid w:val="004071B8"/>
    <w:rsid w:val="00410C89"/>
    <w:rsid w:val="00420FCC"/>
    <w:rsid w:val="00422E03"/>
    <w:rsid w:val="00426B9B"/>
    <w:rsid w:val="004325CB"/>
    <w:rsid w:val="004356D2"/>
    <w:rsid w:val="00436D1A"/>
    <w:rsid w:val="00442A83"/>
    <w:rsid w:val="004448E4"/>
    <w:rsid w:val="0045495B"/>
    <w:rsid w:val="00464C81"/>
    <w:rsid w:val="0048397A"/>
    <w:rsid w:val="00491579"/>
    <w:rsid w:val="00492F5D"/>
    <w:rsid w:val="004A12F2"/>
    <w:rsid w:val="004A28A3"/>
    <w:rsid w:val="004C2461"/>
    <w:rsid w:val="004C7462"/>
    <w:rsid w:val="004D4E04"/>
    <w:rsid w:val="004D5426"/>
    <w:rsid w:val="004E0C05"/>
    <w:rsid w:val="004E2D02"/>
    <w:rsid w:val="004E77B2"/>
    <w:rsid w:val="00503DEB"/>
    <w:rsid w:val="00504B2D"/>
    <w:rsid w:val="00507993"/>
    <w:rsid w:val="005163BB"/>
    <w:rsid w:val="0052136D"/>
    <w:rsid w:val="00522B58"/>
    <w:rsid w:val="00523CD7"/>
    <w:rsid w:val="0052775E"/>
    <w:rsid w:val="005420F2"/>
    <w:rsid w:val="00543B68"/>
    <w:rsid w:val="00546993"/>
    <w:rsid w:val="005628B6"/>
    <w:rsid w:val="0059363D"/>
    <w:rsid w:val="005B3DB3"/>
    <w:rsid w:val="005B4E13"/>
    <w:rsid w:val="005C68F0"/>
    <w:rsid w:val="005D2A29"/>
    <w:rsid w:val="005D7BE7"/>
    <w:rsid w:val="005E6A77"/>
    <w:rsid w:val="005F7B75"/>
    <w:rsid w:val="006001EE"/>
    <w:rsid w:val="006028D9"/>
    <w:rsid w:val="00605042"/>
    <w:rsid w:val="00611FC4"/>
    <w:rsid w:val="00614DB7"/>
    <w:rsid w:val="00615B82"/>
    <w:rsid w:val="006176FB"/>
    <w:rsid w:val="00630BAF"/>
    <w:rsid w:val="00640B26"/>
    <w:rsid w:val="00652D0A"/>
    <w:rsid w:val="006623D5"/>
    <w:rsid w:val="00662BB6"/>
    <w:rsid w:val="00666268"/>
    <w:rsid w:val="00667F8F"/>
    <w:rsid w:val="006741F1"/>
    <w:rsid w:val="00684C21"/>
    <w:rsid w:val="006A2530"/>
    <w:rsid w:val="006B1C12"/>
    <w:rsid w:val="006C047A"/>
    <w:rsid w:val="006C1B5E"/>
    <w:rsid w:val="006C3589"/>
    <w:rsid w:val="006D37AF"/>
    <w:rsid w:val="006D51D0"/>
    <w:rsid w:val="006E564B"/>
    <w:rsid w:val="006E7191"/>
    <w:rsid w:val="00703577"/>
    <w:rsid w:val="00705894"/>
    <w:rsid w:val="00722288"/>
    <w:rsid w:val="0072632A"/>
    <w:rsid w:val="007327D5"/>
    <w:rsid w:val="0073373B"/>
    <w:rsid w:val="007339AA"/>
    <w:rsid w:val="007611CF"/>
    <w:rsid w:val="00761787"/>
    <w:rsid w:val="007629C8"/>
    <w:rsid w:val="00764668"/>
    <w:rsid w:val="0077047D"/>
    <w:rsid w:val="00776430"/>
    <w:rsid w:val="00797575"/>
    <w:rsid w:val="007B5FF6"/>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4457D"/>
    <w:rsid w:val="00854501"/>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8E733A"/>
    <w:rsid w:val="009223CA"/>
    <w:rsid w:val="00940F93"/>
    <w:rsid w:val="0094558F"/>
    <w:rsid w:val="00961690"/>
    <w:rsid w:val="009678E3"/>
    <w:rsid w:val="009760F3"/>
    <w:rsid w:val="00981554"/>
    <w:rsid w:val="0098203C"/>
    <w:rsid w:val="0098205A"/>
    <w:rsid w:val="009A0E8D"/>
    <w:rsid w:val="009A3B13"/>
    <w:rsid w:val="009B1518"/>
    <w:rsid w:val="009B26E7"/>
    <w:rsid w:val="009C454F"/>
    <w:rsid w:val="009D2A5B"/>
    <w:rsid w:val="009E1D8E"/>
    <w:rsid w:val="00A00A3F"/>
    <w:rsid w:val="00A01489"/>
    <w:rsid w:val="00A125E6"/>
    <w:rsid w:val="00A3009E"/>
    <w:rsid w:val="00A3026E"/>
    <w:rsid w:val="00A338F1"/>
    <w:rsid w:val="00A635FF"/>
    <w:rsid w:val="00A72F22"/>
    <w:rsid w:val="00A7360F"/>
    <w:rsid w:val="00A748A6"/>
    <w:rsid w:val="00A769F4"/>
    <w:rsid w:val="00A776B4"/>
    <w:rsid w:val="00A94361"/>
    <w:rsid w:val="00AA293C"/>
    <w:rsid w:val="00AA66C0"/>
    <w:rsid w:val="00AD44C2"/>
    <w:rsid w:val="00AD48FA"/>
    <w:rsid w:val="00AE7CDD"/>
    <w:rsid w:val="00B10698"/>
    <w:rsid w:val="00B11BB4"/>
    <w:rsid w:val="00B1288D"/>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F15A1"/>
    <w:rsid w:val="00BF68A8"/>
    <w:rsid w:val="00C0006A"/>
    <w:rsid w:val="00C10FE6"/>
    <w:rsid w:val="00C11A03"/>
    <w:rsid w:val="00C22C0C"/>
    <w:rsid w:val="00C376EE"/>
    <w:rsid w:val="00C4527F"/>
    <w:rsid w:val="00C463DD"/>
    <w:rsid w:val="00C467C9"/>
    <w:rsid w:val="00C4724C"/>
    <w:rsid w:val="00C47D98"/>
    <w:rsid w:val="00C629A0"/>
    <w:rsid w:val="00C64629"/>
    <w:rsid w:val="00C73056"/>
    <w:rsid w:val="00C745C3"/>
    <w:rsid w:val="00C86440"/>
    <w:rsid w:val="00C93886"/>
    <w:rsid w:val="00CA642D"/>
    <w:rsid w:val="00CB3E03"/>
    <w:rsid w:val="00CC7A99"/>
    <w:rsid w:val="00CD57D2"/>
    <w:rsid w:val="00CE4A8F"/>
    <w:rsid w:val="00CF085D"/>
    <w:rsid w:val="00CF767E"/>
    <w:rsid w:val="00D00610"/>
    <w:rsid w:val="00D2031B"/>
    <w:rsid w:val="00D25906"/>
    <w:rsid w:val="00D25FE2"/>
    <w:rsid w:val="00D43252"/>
    <w:rsid w:val="00D47676"/>
    <w:rsid w:val="00D47DF6"/>
    <w:rsid w:val="00D47EEA"/>
    <w:rsid w:val="00D550D4"/>
    <w:rsid w:val="00D65303"/>
    <w:rsid w:val="00D773DF"/>
    <w:rsid w:val="00D80773"/>
    <w:rsid w:val="00D876F8"/>
    <w:rsid w:val="00D87E23"/>
    <w:rsid w:val="00D9255F"/>
    <w:rsid w:val="00D95303"/>
    <w:rsid w:val="00D95A0B"/>
    <w:rsid w:val="00D978C6"/>
    <w:rsid w:val="00DA3C1C"/>
    <w:rsid w:val="00DB6CA5"/>
    <w:rsid w:val="00DC6B0D"/>
    <w:rsid w:val="00DE339D"/>
    <w:rsid w:val="00E046DF"/>
    <w:rsid w:val="00E15557"/>
    <w:rsid w:val="00E1593D"/>
    <w:rsid w:val="00E27346"/>
    <w:rsid w:val="00E3232D"/>
    <w:rsid w:val="00E6029B"/>
    <w:rsid w:val="00E71BC8"/>
    <w:rsid w:val="00E7260F"/>
    <w:rsid w:val="00E73F5D"/>
    <w:rsid w:val="00E77E4E"/>
    <w:rsid w:val="00E83819"/>
    <w:rsid w:val="00E96630"/>
    <w:rsid w:val="00EC106A"/>
    <w:rsid w:val="00EC32A0"/>
    <w:rsid w:val="00ED7A2A"/>
    <w:rsid w:val="00EE6B3A"/>
    <w:rsid w:val="00EF1D7F"/>
    <w:rsid w:val="00F10C87"/>
    <w:rsid w:val="00F16B06"/>
    <w:rsid w:val="00F227A6"/>
    <w:rsid w:val="00F31E5F"/>
    <w:rsid w:val="00F36F0D"/>
    <w:rsid w:val="00F4272A"/>
    <w:rsid w:val="00F6100A"/>
    <w:rsid w:val="00F65701"/>
    <w:rsid w:val="00F66565"/>
    <w:rsid w:val="00F93781"/>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character" w:customStyle="1" w:styleId="FooterChar">
    <w:name w:val="Footer Char"/>
    <w:aliases w:val="3_G Char"/>
    <w:basedOn w:val="DefaultParagraphFont"/>
    <w:link w:val="Footer"/>
    <w:uiPriority w:val="99"/>
    <w:rsid w:val="003905A1"/>
    <w:rPr>
      <w:sz w:val="16"/>
      <w:lang w:val="en-GB" w:eastAsia="en-US"/>
    </w:rPr>
  </w:style>
  <w:style w:type="paragraph" w:customStyle="1" w:styleId="H1">
    <w:name w:val="_ H_1"/>
    <w:basedOn w:val="Normal"/>
    <w:next w:val="SingleTxt"/>
    <w:rsid w:val="003C20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3C2011"/>
    <w:pPr>
      <w:spacing w:line="300" w:lineRule="exact"/>
      <w:ind w:left="0" w:right="0" w:firstLine="0"/>
    </w:pPr>
    <w:rPr>
      <w:spacing w:val="-2"/>
      <w:sz w:val="28"/>
    </w:rPr>
  </w:style>
  <w:style w:type="paragraph" w:customStyle="1" w:styleId="H23">
    <w:name w:val="_ H_2/3"/>
    <w:basedOn w:val="H1"/>
    <w:next w:val="SingleTxt"/>
    <w:rsid w:val="003C2011"/>
    <w:pPr>
      <w:spacing w:line="240" w:lineRule="exact"/>
      <w:outlineLvl w:val="1"/>
    </w:pPr>
    <w:rPr>
      <w:spacing w:val="2"/>
      <w:sz w:val="20"/>
    </w:rPr>
  </w:style>
  <w:style w:type="paragraph" w:customStyle="1" w:styleId="SingleTxt">
    <w:name w:val="__Single Txt"/>
    <w:basedOn w:val="Normal"/>
    <w:rsid w:val="003C20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ParNoG">
    <w:name w:val="_ParNo_G"/>
    <w:basedOn w:val="Normal"/>
    <w:link w:val="ParNoGCar"/>
    <w:qFormat/>
    <w:rsid w:val="003C2011"/>
    <w:pPr>
      <w:numPr>
        <w:numId w:val="19"/>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ParNoGCar">
    <w:name w:val="_ParNo_G Car"/>
    <w:link w:val="ParNoG"/>
    <w:rsid w:val="003C2011"/>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character" w:customStyle="1" w:styleId="FooterChar">
    <w:name w:val="Footer Char"/>
    <w:aliases w:val="3_G Char"/>
    <w:basedOn w:val="DefaultParagraphFont"/>
    <w:link w:val="Footer"/>
    <w:uiPriority w:val="99"/>
    <w:rsid w:val="003905A1"/>
    <w:rPr>
      <w:sz w:val="16"/>
      <w:lang w:val="en-GB" w:eastAsia="en-US"/>
    </w:rPr>
  </w:style>
  <w:style w:type="paragraph" w:customStyle="1" w:styleId="H1">
    <w:name w:val="_ H_1"/>
    <w:basedOn w:val="Normal"/>
    <w:next w:val="SingleTxt"/>
    <w:rsid w:val="003C20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3C2011"/>
    <w:pPr>
      <w:spacing w:line="300" w:lineRule="exact"/>
      <w:ind w:left="0" w:right="0" w:firstLine="0"/>
    </w:pPr>
    <w:rPr>
      <w:spacing w:val="-2"/>
      <w:sz w:val="28"/>
    </w:rPr>
  </w:style>
  <w:style w:type="paragraph" w:customStyle="1" w:styleId="H23">
    <w:name w:val="_ H_2/3"/>
    <w:basedOn w:val="H1"/>
    <w:next w:val="SingleTxt"/>
    <w:rsid w:val="003C2011"/>
    <w:pPr>
      <w:spacing w:line="240" w:lineRule="exact"/>
      <w:outlineLvl w:val="1"/>
    </w:pPr>
    <w:rPr>
      <w:spacing w:val="2"/>
      <w:sz w:val="20"/>
    </w:rPr>
  </w:style>
  <w:style w:type="paragraph" w:customStyle="1" w:styleId="SingleTxt">
    <w:name w:val="__Single Txt"/>
    <w:basedOn w:val="Normal"/>
    <w:rsid w:val="003C20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ParNoG">
    <w:name w:val="_ParNo_G"/>
    <w:basedOn w:val="Normal"/>
    <w:link w:val="ParNoGCar"/>
    <w:qFormat/>
    <w:rsid w:val="003C2011"/>
    <w:pPr>
      <w:numPr>
        <w:numId w:val="19"/>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ParNoGCar">
    <w:name w:val="_ParNo_G Car"/>
    <w:link w:val="ParNoG"/>
    <w:rsid w:val="003C2011"/>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B4A8-0D58-48C3-B643-8D132779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1655</Words>
  <Characters>9437</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2016-04-13T07:29:00Z</cp:lastPrinted>
  <dcterms:created xsi:type="dcterms:W3CDTF">2016-04-15T12:21:00Z</dcterms:created>
  <dcterms:modified xsi:type="dcterms:W3CDTF">2016-04-15T12:25:00Z</dcterms:modified>
</cp:coreProperties>
</file>