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423BA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423BA9" w:rsidP="00423BA9">
            <w:pPr>
              <w:jc w:val="right"/>
            </w:pPr>
            <w:r w:rsidRPr="00423BA9">
              <w:rPr>
                <w:sz w:val="40"/>
              </w:rPr>
              <w:t>ECE</w:t>
            </w:r>
            <w:r>
              <w:t>/ADN/38</w:t>
            </w:r>
          </w:p>
        </w:tc>
      </w:tr>
      <w:tr w:rsidR="001433FD" w:rsidRPr="00DB58B5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B727A0" wp14:editId="4777D7C7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423BA9" w:rsidP="007D3236">
            <w:pPr>
              <w:spacing w:before="240"/>
            </w:pPr>
            <w:r>
              <w:t>Distr. générale</w:t>
            </w:r>
          </w:p>
          <w:p w:rsidR="00423BA9" w:rsidRDefault="0028505D" w:rsidP="00423BA9">
            <w:pPr>
              <w:spacing w:line="240" w:lineRule="exact"/>
            </w:pPr>
            <w:r>
              <w:t>31</w:t>
            </w:r>
            <w:r w:rsidR="00423BA9">
              <w:t xml:space="preserve"> août 2016</w:t>
            </w:r>
          </w:p>
          <w:p w:rsidR="00423BA9" w:rsidRDefault="00423BA9" w:rsidP="00423BA9">
            <w:pPr>
              <w:spacing w:line="240" w:lineRule="exact"/>
            </w:pPr>
            <w:r>
              <w:t>Français</w:t>
            </w:r>
          </w:p>
          <w:p w:rsidR="00423BA9" w:rsidRPr="00DB58B5" w:rsidRDefault="00423BA9" w:rsidP="00423BA9">
            <w:pPr>
              <w:spacing w:line="240" w:lineRule="exact"/>
            </w:pPr>
            <w:r>
              <w:t>Original</w:t>
            </w:r>
            <w:r w:rsidR="00596491">
              <w:t> :</w:t>
            </w:r>
            <w:r>
              <w:t xml:space="preserve">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423BA9" w:rsidRDefault="00541CAB" w:rsidP="00423BA9">
      <w:pPr>
        <w:spacing w:before="120" w:line="240" w:lineRule="auto"/>
        <w:rPr>
          <w:b/>
          <w:bCs/>
        </w:rPr>
      </w:pPr>
      <w:r w:rsidRPr="00820194">
        <w:rPr>
          <w:b/>
        </w:rPr>
        <w:t>Comité d</w:t>
      </w:r>
      <w:r>
        <w:rPr>
          <w:b/>
        </w:rPr>
        <w:t>’</w:t>
      </w:r>
      <w:r w:rsidRPr="00820194">
        <w:rPr>
          <w:b/>
        </w:rPr>
        <w:t>administration de l</w:t>
      </w:r>
      <w:r>
        <w:rPr>
          <w:b/>
        </w:rPr>
        <w:t>’</w:t>
      </w:r>
      <w:r w:rsidRPr="00820194">
        <w:rPr>
          <w:b/>
        </w:rPr>
        <w:t xml:space="preserve">Accord européen relatif </w:t>
      </w:r>
      <w:r w:rsidRPr="00820194">
        <w:rPr>
          <w:b/>
        </w:rPr>
        <w:br/>
        <w:t xml:space="preserve">au transport international des marchandises dangereuses </w:t>
      </w:r>
      <w:r>
        <w:rPr>
          <w:b/>
        </w:rPr>
        <w:br/>
      </w:r>
      <w:r w:rsidRPr="00820194">
        <w:rPr>
          <w:b/>
        </w:rPr>
        <w:t>par voies de navigation intérieures (ADN)</w:t>
      </w:r>
    </w:p>
    <w:p w:rsidR="00423BA9" w:rsidRPr="00491516" w:rsidRDefault="00541CAB" w:rsidP="00423BA9">
      <w:pPr>
        <w:spacing w:before="120" w:line="240" w:lineRule="auto"/>
        <w:rPr>
          <w:b/>
          <w:bCs/>
        </w:rPr>
      </w:pPr>
      <w:r w:rsidRPr="00820194">
        <w:rPr>
          <w:b/>
        </w:rPr>
        <w:t>Dix-septième session</w:t>
      </w:r>
    </w:p>
    <w:p w:rsidR="00423BA9" w:rsidRDefault="00541CAB" w:rsidP="00423BA9">
      <w:pPr>
        <w:spacing w:line="240" w:lineRule="auto"/>
      </w:pPr>
      <w:r w:rsidRPr="00820194">
        <w:t>Genève, 2</w:t>
      </w:r>
      <w:r>
        <w:t>6 août</w:t>
      </w:r>
      <w:r w:rsidRPr="00820194">
        <w:t xml:space="preserve"> 2016</w:t>
      </w:r>
    </w:p>
    <w:p w:rsidR="00423BA9" w:rsidRPr="00423BA9" w:rsidRDefault="00423BA9" w:rsidP="00423BA9">
      <w:pPr>
        <w:pStyle w:val="HChGR"/>
        <w:rPr>
          <w:bCs/>
          <w:lang w:val="fr-CH"/>
        </w:rPr>
      </w:pPr>
      <w:r w:rsidRPr="005234DA">
        <w:rPr>
          <w:lang w:val="fr-CH"/>
        </w:rPr>
        <w:tab/>
      </w:r>
      <w:r w:rsidRPr="005234DA">
        <w:rPr>
          <w:lang w:val="fr-CH"/>
        </w:rPr>
        <w:tab/>
      </w:r>
      <w:r w:rsidR="00541CAB">
        <w:rPr>
          <w:lang w:val="fr-FR"/>
        </w:rPr>
        <w:t>Rapport du Comité d’administration de l’Accord européen relatif au transport international des marchandises dangereuses par voies de navigation intérieures sur sa dix-septième session</w:t>
      </w:r>
      <w:r w:rsidR="0028505D" w:rsidRPr="0028505D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446FE5" w:rsidRPr="00423BA9" w:rsidRDefault="00423BA9" w:rsidP="00423BA9">
      <w:pPr>
        <w:spacing w:after="120"/>
        <w:rPr>
          <w:sz w:val="28"/>
        </w:rPr>
      </w:pPr>
      <w:r>
        <w:br w:type="page"/>
      </w:r>
      <w:r w:rsidRPr="00423BA9">
        <w:rPr>
          <w:sz w:val="28"/>
        </w:rPr>
        <w:lastRenderedPageBreak/>
        <w:t>Table des matières</w:t>
      </w:r>
    </w:p>
    <w:p w:rsidR="00423BA9" w:rsidRPr="00423BA9" w:rsidRDefault="00423BA9" w:rsidP="00423BA9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423BA9">
        <w:rPr>
          <w:i/>
          <w:sz w:val="18"/>
        </w:rPr>
        <w:tab/>
        <w:t>Paragraphes</w:t>
      </w:r>
      <w:r w:rsidRPr="00423BA9">
        <w:rPr>
          <w:i/>
          <w:sz w:val="18"/>
        </w:rPr>
        <w:tab/>
        <w:t>Page</w:t>
      </w:r>
    </w:p>
    <w:p w:rsidR="00423BA9" w:rsidRDefault="00423BA9" w:rsidP="00423BA9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="00D71CBE">
        <w:t>Participation</w:t>
      </w:r>
      <w:r>
        <w:tab/>
      </w:r>
      <w:r>
        <w:tab/>
      </w:r>
      <w:r w:rsidR="00D71CBE">
        <w:t>1-3</w:t>
      </w:r>
      <w:r>
        <w:tab/>
      </w:r>
      <w:r w:rsidR="00D71CBE">
        <w:t>3</w:t>
      </w:r>
    </w:p>
    <w:p w:rsidR="00D71CBE" w:rsidRDefault="00D71CBE" w:rsidP="00423BA9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  <w:t>II.</w:t>
      </w:r>
      <w:r>
        <w:tab/>
      </w:r>
      <w:r>
        <w:rPr>
          <w:lang w:val="fr-FR"/>
        </w:rPr>
        <w:t>Adoption de l’ordre du jour (point 1 de l’ordre du jour)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  <w:t>3</w:t>
      </w:r>
    </w:p>
    <w:p w:rsidR="00D71CBE" w:rsidRDefault="00D71CBE" w:rsidP="00423BA9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</w:r>
      <w:r w:rsidRPr="00541CAB">
        <w:rPr>
          <w:lang w:val="fr-FR"/>
        </w:rPr>
        <w:t xml:space="preserve">État de l’Accord européen relatif au transport international des marchandises </w:t>
      </w:r>
      <w:r>
        <w:rPr>
          <w:lang w:val="fr-FR"/>
        </w:rPr>
        <w:br/>
      </w:r>
      <w:r w:rsidRPr="00541CAB">
        <w:rPr>
          <w:lang w:val="fr-FR"/>
        </w:rPr>
        <w:t xml:space="preserve">dangereuses par voies de navigation intérieures (ADN) </w:t>
      </w:r>
      <w:r>
        <w:rPr>
          <w:lang w:val="fr-FR"/>
        </w:rPr>
        <w:br/>
      </w:r>
      <w:r w:rsidRPr="00541CAB">
        <w:rPr>
          <w:lang w:val="fr-FR"/>
        </w:rPr>
        <w:t>(point 2 de l’ordre du jour)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  <w:t>3</w:t>
      </w:r>
    </w:p>
    <w:p w:rsidR="00D71CBE" w:rsidRDefault="00D71CBE" w:rsidP="00423BA9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rPr>
          <w:lang w:val="fr-FR"/>
        </w:rPr>
        <w:tab/>
        <w:t>IV.</w:t>
      </w:r>
      <w:r>
        <w:rPr>
          <w:lang w:val="fr-FR"/>
        </w:rPr>
        <w:tab/>
      </w:r>
      <w:r w:rsidRPr="00541CAB">
        <w:rPr>
          <w:lang w:val="fr-FR"/>
        </w:rPr>
        <w:t>Questions relatives à la mise en œuvre de l’ADN (point 3 de l’ordre du jour)</w:t>
      </w:r>
      <w:r>
        <w:rPr>
          <w:lang w:val="fr-FR"/>
        </w:rPr>
        <w:tab/>
      </w:r>
      <w:r>
        <w:rPr>
          <w:lang w:val="fr-FR"/>
        </w:rPr>
        <w:tab/>
      </w:r>
      <w:r w:rsidR="00E92075">
        <w:rPr>
          <w:lang w:val="fr-FR"/>
        </w:rPr>
        <w:t>6-9</w:t>
      </w:r>
      <w:r>
        <w:rPr>
          <w:lang w:val="fr-FR"/>
        </w:rPr>
        <w:tab/>
        <w:t>3</w:t>
      </w:r>
    </w:p>
    <w:p w:rsidR="00423BA9" w:rsidRDefault="00423BA9" w:rsidP="00423BA9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>
        <w:t>A.</w:t>
      </w:r>
      <w:r>
        <w:tab/>
      </w:r>
      <w:r w:rsidR="00D71CBE">
        <w:rPr>
          <w:lang w:val="fr-FR"/>
        </w:rPr>
        <w:t>Sociétés de classification</w:t>
      </w:r>
      <w:r>
        <w:tab/>
      </w:r>
      <w:r>
        <w:tab/>
      </w:r>
      <w:r w:rsidR="00E92075">
        <w:t>6</w:t>
      </w:r>
      <w:r>
        <w:tab/>
      </w:r>
      <w:r w:rsidR="00D71CBE">
        <w:t>3</w:t>
      </w:r>
    </w:p>
    <w:p w:rsidR="00D71CBE" w:rsidRDefault="00D71CBE" w:rsidP="00423BA9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</w:pPr>
      <w:r w:rsidRPr="00541CAB">
        <w:rPr>
          <w:lang w:val="fr-FR"/>
        </w:rPr>
        <w:t>B.</w:t>
      </w:r>
      <w:r w:rsidRPr="00541CAB">
        <w:rPr>
          <w:lang w:val="fr-FR"/>
        </w:rPr>
        <w:tab/>
        <w:t>Autorisations spéciales, dérogations et équivalences</w:t>
      </w:r>
      <w:r>
        <w:rPr>
          <w:lang w:val="fr-FR"/>
        </w:rPr>
        <w:tab/>
      </w:r>
      <w:r>
        <w:rPr>
          <w:lang w:val="fr-FR"/>
        </w:rPr>
        <w:tab/>
      </w:r>
      <w:r w:rsidR="00E92075">
        <w:rPr>
          <w:lang w:val="fr-FR"/>
        </w:rPr>
        <w:t>7</w:t>
      </w:r>
      <w:r>
        <w:rPr>
          <w:lang w:val="fr-FR"/>
        </w:rPr>
        <w:t>-</w:t>
      </w:r>
      <w:r w:rsidR="00E92075">
        <w:rPr>
          <w:lang w:val="fr-FR"/>
        </w:rPr>
        <w:t>8</w:t>
      </w:r>
      <w:r>
        <w:rPr>
          <w:lang w:val="fr-FR"/>
        </w:rPr>
        <w:tab/>
        <w:t>3</w:t>
      </w:r>
    </w:p>
    <w:p w:rsidR="00423BA9" w:rsidRDefault="00D71CBE" w:rsidP="00423BA9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</w:pPr>
      <w:r w:rsidRPr="00541CAB">
        <w:rPr>
          <w:lang w:val="fr-FR"/>
        </w:rPr>
        <w:t>1.</w:t>
      </w:r>
      <w:r w:rsidRPr="00541CAB">
        <w:rPr>
          <w:lang w:val="fr-FR"/>
        </w:rPr>
        <w:tab/>
        <w:t xml:space="preserve">Dérogation temporaire pour le bateau pousseur </w:t>
      </w:r>
      <w:r>
        <w:rPr>
          <w:lang w:val="fr-FR"/>
        </w:rPr>
        <w:t>« </w:t>
      </w:r>
      <w:r w:rsidRPr="00541CAB">
        <w:rPr>
          <w:lang w:val="fr-FR"/>
        </w:rPr>
        <w:t>Donau</w:t>
      </w:r>
      <w:r>
        <w:rPr>
          <w:lang w:val="fr-FR"/>
        </w:rPr>
        <w:t> »</w:t>
      </w:r>
      <w:r w:rsidR="00423BA9">
        <w:tab/>
      </w:r>
      <w:r w:rsidR="00423BA9">
        <w:tab/>
      </w:r>
      <w:r w:rsidR="00E92075">
        <w:t>7</w:t>
      </w:r>
      <w:r w:rsidR="00423BA9">
        <w:tab/>
      </w:r>
      <w:r>
        <w:t>3</w:t>
      </w:r>
    </w:p>
    <w:p w:rsidR="00D71CBE" w:rsidRDefault="00D71CBE" w:rsidP="00423BA9">
      <w:pPr>
        <w:tabs>
          <w:tab w:val="right" w:leader="dot" w:pos="7654"/>
          <w:tab w:val="right" w:pos="8929"/>
          <w:tab w:val="right" w:pos="9638"/>
        </w:tabs>
        <w:spacing w:after="120"/>
        <w:ind w:left="1984" w:hanging="425"/>
        <w:rPr>
          <w:lang w:val="fr-FR"/>
        </w:rPr>
      </w:pPr>
      <w:r w:rsidRPr="00541CAB">
        <w:rPr>
          <w:lang w:val="fr-FR"/>
        </w:rPr>
        <w:t>2.</w:t>
      </w:r>
      <w:r w:rsidRPr="00541CAB">
        <w:rPr>
          <w:lang w:val="fr-FR"/>
        </w:rPr>
        <w:tab/>
        <w:t xml:space="preserve">Autorisation spéciale pour le transport du numéro ONU 1148 </w:t>
      </w:r>
      <w:r>
        <w:rPr>
          <w:lang w:val="fr-FR"/>
        </w:rPr>
        <w:br/>
      </w:r>
      <w:r w:rsidRPr="00541CAB">
        <w:rPr>
          <w:lang w:val="fr-FR"/>
        </w:rPr>
        <w:t>diacétone-alcool en bateau-citerne de la Belgique aux Pays-Bas</w:t>
      </w:r>
      <w:r>
        <w:rPr>
          <w:lang w:val="fr-FR"/>
        </w:rPr>
        <w:tab/>
      </w:r>
      <w:r>
        <w:rPr>
          <w:lang w:val="fr-FR"/>
        </w:rPr>
        <w:tab/>
      </w:r>
      <w:r w:rsidR="00E92075">
        <w:rPr>
          <w:lang w:val="fr-FR"/>
        </w:rPr>
        <w:t>8</w:t>
      </w:r>
      <w:r>
        <w:rPr>
          <w:lang w:val="fr-FR"/>
        </w:rPr>
        <w:tab/>
        <w:t>4</w:t>
      </w:r>
    </w:p>
    <w:p w:rsidR="00D71CBE" w:rsidRDefault="00D71CBE" w:rsidP="00D71CBE">
      <w:pPr>
        <w:tabs>
          <w:tab w:val="right" w:leader="dot" w:pos="7654"/>
          <w:tab w:val="right" w:pos="8929"/>
          <w:tab w:val="right" w:pos="9638"/>
        </w:tabs>
        <w:spacing w:after="120"/>
        <w:ind w:left="1559" w:hanging="425"/>
        <w:rPr>
          <w:lang w:val="fr-FR"/>
        </w:rPr>
      </w:pPr>
      <w:r w:rsidRPr="00541CAB">
        <w:rPr>
          <w:lang w:val="fr-FR"/>
        </w:rPr>
        <w:t>C.</w:t>
      </w:r>
      <w:r w:rsidRPr="00541CAB">
        <w:rPr>
          <w:lang w:val="fr-FR"/>
        </w:rPr>
        <w:tab/>
        <w:t>Notifications diverses</w:t>
      </w:r>
      <w:r>
        <w:rPr>
          <w:lang w:val="fr-FR"/>
        </w:rPr>
        <w:tab/>
      </w:r>
      <w:r>
        <w:rPr>
          <w:lang w:val="fr-FR"/>
        </w:rPr>
        <w:tab/>
      </w:r>
      <w:r w:rsidR="00E92075">
        <w:rPr>
          <w:lang w:val="fr-FR"/>
        </w:rPr>
        <w:t>9</w:t>
      </w:r>
      <w:r>
        <w:rPr>
          <w:lang w:val="fr-FR"/>
        </w:rPr>
        <w:tab/>
        <w:t>4</w:t>
      </w:r>
    </w:p>
    <w:p w:rsidR="00D71CBE" w:rsidRDefault="00D71CBE" w:rsidP="00D71CB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rPr>
          <w:lang w:val="fr-FR"/>
        </w:rPr>
        <w:tab/>
      </w:r>
      <w:r w:rsidRPr="00541CAB">
        <w:t>V.</w:t>
      </w:r>
      <w:r w:rsidRPr="00541CAB">
        <w:tab/>
        <w:t>Travaux du Comité de sécurité (point 4 de l’ordre du jour)</w:t>
      </w:r>
      <w:r>
        <w:tab/>
      </w:r>
      <w:r>
        <w:tab/>
        <w:t>1</w:t>
      </w:r>
      <w:r w:rsidR="00E92075">
        <w:t>0</w:t>
      </w:r>
      <w:r>
        <w:t>-1</w:t>
      </w:r>
      <w:r w:rsidR="00E92075">
        <w:t>1</w:t>
      </w:r>
      <w:r>
        <w:tab/>
        <w:t>4</w:t>
      </w:r>
    </w:p>
    <w:p w:rsidR="00D71CBE" w:rsidRDefault="00D71CBE" w:rsidP="00D71CB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</w:r>
      <w:r w:rsidRPr="00541CAB">
        <w:t>VI.</w:t>
      </w:r>
      <w:r>
        <w:tab/>
      </w:r>
      <w:r w:rsidRPr="00541CAB">
        <w:t xml:space="preserve">Programme de travail et calendrier des réunions </w:t>
      </w:r>
      <w:r w:rsidRPr="00541CAB">
        <w:rPr>
          <w:lang w:val="fr-FR"/>
        </w:rPr>
        <w:t>(point 5 de l’ordre du jour)</w:t>
      </w:r>
      <w:r>
        <w:rPr>
          <w:lang w:val="fr-FR"/>
        </w:rPr>
        <w:tab/>
      </w:r>
      <w:r>
        <w:rPr>
          <w:lang w:val="fr-FR"/>
        </w:rPr>
        <w:tab/>
      </w:r>
      <w:r w:rsidR="00E92075">
        <w:rPr>
          <w:lang w:val="fr-FR"/>
        </w:rPr>
        <w:t>12</w:t>
      </w:r>
      <w:r>
        <w:rPr>
          <w:lang w:val="fr-FR"/>
        </w:rPr>
        <w:tab/>
        <w:t>5</w:t>
      </w:r>
    </w:p>
    <w:p w:rsidR="00D71CBE" w:rsidRDefault="00D71CBE" w:rsidP="00D71CB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rPr>
          <w:lang w:val="fr-FR"/>
        </w:rPr>
        <w:tab/>
      </w:r>
      <w:r w:rsidRPr="00541CAB">
        <w:t>VII.</w:t>
      </w:r>
      <w:r w:rsidRPr="00541CAB">
        <w:tab/>
        <w:t>Questions diverses (point 6 de l’ordre du jour)</w:t>
      </w:r>
      <w:r>
        <w:tab/>
      </w:r>
      <w:r>
        <w:tab/>
      </w:r>
      <w:r w:rsidR="00E92075">
        <w:t>13</w:t>
      </w:r>
      <w:r>
        <w:tab/>
        <w:t>5</w:t>
      </w:r>
    </w:p>
    <w:p w:rsidR="00D71CBE" w:rsidRPr="00D71CBE" w:rsidRDefault="00D71CBE" w:rsidP="00D71CBE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  <w:rPr>
          <w:lang w:val="fr-FR"/>
        </w:rPr>
      </w:pPr>
      <w:r>
        <w:tab/>
      </w:r>
      <w:r w:rsidRPr="00541CAB">
        <w:t>VIII.</w:t>
      </w:r>
      <w:r w:rsidRPr="00541CAB">
        <w:tab/>
        <w:t>Adoption du rapport (point 7 de l’ordre du jour)</w:t>
      </w:r>
      <w:r>
        <w:tab/>
      </w:r>
      <w:r>
        <w:tab/>
      </w:r>
      <w:r w:rsidR="00E92075">
        <w:t>14</w:t>
      </w:r>
      <w:r>
        <w:tab/>
        <w:t>5</w:t>
      </w:r>
    </w:p>
    <w:p w:rsidR="00423BA9" w:rsidRPr="00423BA9" w:rsidRDefault="00D71CBE" w:rsidP="00423BA9">
      <w:pPr>
        <w:tabs>
          <w:tab w:val="right" w:pos="850"/>
        </w:tabs>
        <w:spacing w:after="120"/>
      </w:pPr>
      <w:r>
        <w:tab/>
        <w:t>Annexe</w:t>
      </w:r>
    </w:p>
    <w:p w:rsidR="00423BA9" w:rsidRPr="00D71CBE" w:rsidRDefault="00423BA9" w:rsidP="00423BA9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</w:r>
      <w:r>
        <w:tab/>
      </w:r>
      <w:r w:rsidR="00C26023" w:rsidRPr="00D71CBE">
        <w:t>Décision du Comité d</w:t>
      </w:r>
      <w:r w:rsidR="00541CAB" w:rsidRPr="00D71CBE">
        <w:t>’</w:t>
      </w:r>
      <w:r w:rsidR="00C26023" w:rsidRPr="00D71CBE">
        <w:t>administration de l</w:t>
      </w:r>
      <w:r w:rsidR="00541CAB" w:rsidRPr="00D71CBE">
        <w:t>’</w:t>
      </w:r>
      <w:r w:rsidR="00C26023" w:rsidRPr="00D71CBE">
        <w:t>ADN au sujet de l</w:t>
      </w:r>
      <w:r w:rsidR="00541CAB" w:rsidRPr="00D71CBE">
        <w:t>’</w:t>
      </w:r>
      <w:r w:rsidR="00C26023" w:rsidRPr="00D71CBE">
        <w:t xml:space="preserve">utilisation </w:t>
      </w:r>
      <w:r w:rsidR="00596491">
        <w:br/>
      </w:r>
      <w:r w:rsidR="00C26023" w:rsidRPr="00D71CBE">
        <w:t>d</w:t>
      </w:r>
      <w:r w:rsidR="00541CAB" w:rsidRPr="00D71CBE">
        <w:t>’</w:t>
      </w:r>
      <w:r w:rsidR="00C26023" w:rsidRPr="00D71CBE">
        <w:t>une installation d</w:t>
      </w:r>
      <w:r w:rsidR="00541CAB" w:rsidRPr="00D71CBE">
        <w:t>’</w:t>
      </w:r>
      <w:r w:rsidR="00C26023" w:rsidRPr="00D71CBE">
        <w:t>extinction d</w:t>
      </w:r>
      <w:r w:rsidR="00541CAB" w:rsidRPr="00D71CBE">
        <w:t>’</w:t>
      </w:r>
      <w:r w:rsidR="00C26023" w:rsidRPr="00D71CBE">
        <w:t>incendie générant un aérosol sec (Fire Pro)</w:t>
      </w:r>
      <w:r w:rsidR="00596491">
        <w:br/>
      </w:r>
      <w:r w:rsidR="00C26023" w:rsidRPr="00D71CBE">
        <w:t xml:space="preserve">sur le </w:t>
      </w:r>
      <w:r w:rsidR="00D71CBE" w:rsidRPr="00D71CBE">
        <w:t xml:space="preserve">pousseur </w:t>
      </w:r>
      <w:r w:rsidR="001514F1" w:rsidRPr="00D71CBE">
        <w:t>« DONAU » (06105358)</w:t>
      </w:r>
      <w:r w:rsidRPr="00D71CBE">
        <w:tab/>
      </w:r>
      <w:r w:rsidRPr="00D71CBE">
        <w:tab/>
      </w:r>
      <w:r w:rsidR="00596491">
        <w:t>6</w:t>
      </w:r>
    </w:p>
    <w:p w:rsidR="00423BA9" w:rsidRPr="004F2EA1" w:rsidRDefault="00423BA9" w:rsidP="00423BA9">
      <w:pPr>
        <w:pStyle w:val="HChGR"/>
        <w:rPr>
          <w:spacing w:val="0"/>
          <w:lang w:val="fr-CH"/>
        </w:rPr>
      </w:pPr>
      <w:r w:rsidRPr="005234DA">
        <w:rPr>
          <w:lang w:val="fr-CH"/>
        </w:rPr>
        <w:br w:type="page"/>
      </w:r>
      <w:r w:rsidRPr="005234DA">
        <w:rPr>
          <w:spacing w:val="0"/>
          <w:lang w:val="fr-CH"/>
        </w:rPr>
        <w:lastRenderedPageBreak/>
        <w:tab/>
        <w:t>I.</w:t>
      </w:r>
      <w:r w:rsidRPr="005234DA">
        <w:rPr>
          <w:spacing w:val="0"/>
          <w:lang w:val="fr-CH"/>
        </w:rPr>
        <w:tab/>
      </w:r>
      <w:r w:rsidR="00541CAB" w:rsidRPr="004F2EA1">
        <w:rPr>
          <w:spacing w:val="0"/>
          <w:lang w:val="fr-CH"/>
        </w:rPr>
        <w:t>Participation</w:t>
      </w:r>
    </w:p>
    <w:p w:rsidR="00423BA9" w:rsidRPr="005234DA" w:rsidRDefault="00423BA9" w:rsidP="00423BA9">
      <w:pPr>
        <w:pStyle w:val="SingleTxtGR"/>
        <w:rPr>
          <w:bCs/>
          <w:spacing w:val="0"/>
          <w:lang w:val="fr-CH"/>
        </w:rPr>
      </w:pPr>
      <w:r w:rsidRPr="005234DA">
        <w:rPr>
          <w:bCs/>
          <w:spacing w:val="0"/>
          <w:lang w:val="fr-CH"/>
        </w:rPr>
        <w:t>1.</w:t>
      </w:r>
      <w:r w:rsidRPr="005234DA">
        <w:rPr>
          <w:bCs/>
          <w:spacing w:val="0"/>
          <w:lang w:val="fr-CH"/>
        </w:rPr>
        <w:tab/>
      </w:r>
      <w:r w:rsidR="00541CAB" w:rsidRPr="004F2EA1">
        <w:rPr>
          <w:spacing w:val="0"/>
          <w:lang w:val="fr-FR"/>
        </w:rPr>
        <w:t>Le Comité d’administration de l’Accord européen</w:t>
      </w:r>
      <w:r w:rsidR="00596491" w:rsidRPr="004F2EA1">
        <w:rPr>
          <w:spacing w:val="0"/>
          <w:lang w:val="fr-FR"/>
        </w:rPr>
        <w:t xml:space="preserve"> </w:t>
      </w:r>
      <w:r w:rsidR="00541CAB" w:rsidRPr="004F2EA1">
        <w:rPr>
          <w:spacing w:val="0"/>
          <w:lang w:val="fr-FR"/>
        </w:rPr>
        <w:t>relatif au transport international des marchandises</w:t>
      </w:r>
      <w:r w:rsidR="00596491" w:rsidRPr="004F2EA1">
        <w:rPr>
          <w:spacing w:val="0"/>
          <w:lang w:val="fr-FR"/>
        </w:rPr>
        <w:t xml:space="preserve"> </w:t>
      </w:r>
      <w:r w:rsidR="00541CAB" w:rsidRPr="004F2EA1">
        <w:rPr>
          <w:spacing w:val="0"/>
          <w:lang w:val="fr-FR"/>
        </w:rPr>
        <w:t>dangereuses par voies de navigation intérieures a tenu sa dix-</w:t>
      </w:r>
      <w:r w:rsidR="00596491" w:rsidRPr="004F2EA1">
        <w:rPr>
          <w:spacing w:val="0"/>
          <w:lang w:val="fr-FR"/>
        </w:rPr>
        <w:t>septième session à Genève le 26 </w:t>
      </w:r>
      <w:r w:rsidR="00541CAB" w:rsidRPr="004F2EA1">
        <w:rPr>
          <w:spacing w:val="0"/>
          <w:lang w:val="fr-FR"/>
        </w:rPr>
        <w:t>août 2016, sous la présidence de M.</w:t>
      </w:r>
      <w:r w:rsidR="00596491" w:rsidRPr="004F2EA1">
        <w:rPr>
          <w:spacing w:val="0"/>
          <w:lang w:val="fr-FR"/>
        </w:rPr>
        <w:t> </w:t>
      </w:r>
      <w:r w:rsidR="00541CAB" w:rsidRPr="004F2EA1">
        <w:rPr>
          <w:spacing w:val="0"/>
          <w:lang w:val="fr-FR"/>
        </w:rPr>
        <w:t>H.</w:t>
      </w:r>
      <w:r w:rsidR="00596491" w:rsidRPr="004F2EA1">
        <w:rPr>
          <w:spacing w:val="0"/>
          <w:lang w:val="fr-FR"/>
        </w:rPr>
        <w:t> </w:t>
      </w:r>
      <w:r w:rsidR="00541CAB" w:rsidRPr="004F2EA1">
        <w:rPr>
          <w:spacing w:val="0"/>
          <w:lang w:val="fr-FR"/>
        </w:rPr>
        <w:t>Rein (Allemag</w:t>
      </w:r>
      <w:r w:rsidR="00596491" w:rsidRPr="004F2EA1">
        <w:rPr>
          <w:spacing w:val="0"/>
          <w:lang w:val="fr-FR"/>
        </w:rPr>
        <w:t>ne) et la vice-présidence de M. </w:t>
      </w:r>
      <w:r w:rsidR="00541CAB" w:rsidRPr="004F2EA1">
        <w:rPr>
          <w:spacing w:val="0"/>
          <w:lang w:val="fr-FR"/>
        </w:rPr>
        <w:t>B.</w:t>
      </w:r>
      <w:r w:rsidR="00596491" w:rsidRPr="004F2EA1">
        <w:rPr>
          <w:spacing w:val="0"/>
          <w:lang w:val="fr-FR"/>
        </w:rPr>
        <w:t> </w:t>
      </w:r>
      <w:r w:rsidR="00541CAB" w:rsidRPr="004F2EA1">
        <w:rPr>
          <w:spacing w:val="0"/>
          <w:lang w:val="fr-FR"/>
        </w:rPr>
        <w:t>Birklhuber (Autriche). Des représentants des Parties contractantes ci-après ont pris</w:t>
      </w:r>
      <w:r w:rsidR="00596491" w:rsidRPr="004F2EA1">
        <w:rPr>
          <w:spacing w:val="0"/>
          <w:lang w:val="fr-FR"/>
        </w:rPr>
        <w:t xml:space="preserve"> part aux travaux de la session </w:t>
      </w:r>
      <w:r w:rsidR="00541CAB" w:rsidRPr="004F2EA1">
        <w:rPr>
          <w:spacing w:val="0"/>
          <w:lang w:val="fr-FR"/>
        </w:rPr>
        <w:t>: Allemagne, Autriche, Belgique, Bulgarie, Croatie, Fédération de Russie, France, Luxembourg, Pays-Bas, Roumanie, Serbie, Suisse et Ukraine.</w:t>
      </w:r>
    </w:p>
    <w:p w:rsidR="00423BA9" w:rsidRPr="005234DA" w:rsidRDefault="00423BA9" w:rsidP="00423BA9">
      <w:pPr>
        <w:pStyle w:val="SingleTxtGR"/>
        <w:rPr>
          <w:bCs/>
          <w:spacing w:val="0"/>
          <w:lang w:val="fr-CH"/>
        </w:rPr>
      </w:pPr>
      <w:r w:rsidRPr="005234DA">
        <w:rPr>
          <w:bCs/>
          <w:spacing w:val="0"/>
          <w:lang w:val="fr-CH"/>
        </w:rPr>
        <w:t>2.</w:t>
      </w:r>
      <w:r w:rsidRPr="005234DA">
        <w:rPr>
          <w:bCs/>
          <w:spacing w:val="0"/>
          <w:lang w:val="fr-CH"/>
        </w:rPr>
        <w:tab/>
      </w:r>
      <w:r w:rsidR="00C26023" w:rsidRPr="004F2EA1">
        <w:rPr>
          <w:bCs/>
          <w:spacing w:val="0"/>
          <w:lang w:val="fr-FR"/>
        </w:rPr>
        <w:t>Le Comité d</w:t>
      </w:r>
      <w:r w:rsidR="00541CAB" w:rsidRPr="004F2EA1">
        <w:rPr>
          <w:bCs/>
          <w:spacing w:val="0"/>
          <w:lang w:val="fr-FR"/>
        </w:rPr>
        <w:t>’</w:t>
      </w:r>
      <w:r w:rsidR="00C26023" w:rsidRPr="004F2EA1">
        <w:rPr>
          <w:bCs/>
          <w:spacing w:val="0"/>
          <w:lang w:val="fr-FR"/>
        </w:rPr>
        <w:t>administration a noté que le quorum nécessaire à toute prise de décisions, soit la moitié des Parties contractantes, était atteint.</w:t>
      </w:r>
    </w:p>
    <w:p w:rsidR="00423BA9" w:rsidRPr="005234DA" w:rsidRDefault="00423BA9" w:rsidP="00423BA9">
      <w:pPr>
        <w:pStyle w:val="SingleTxtGR"/>
        <w:rPr>
          <w:bCs/>
          <w:spacing w:val="0"/>
          <w:lang w:val="fr-CH"/>
        </w:rPr>
      </w:pPr>
      <w:r w:rsidRPr="005234DA">
        <w:rPr>
          <w:bCs/>
          <w:spacing w:val="0"/>
          <w:lang w:val="fr-CH"/>
        </w:rPr>
        <w:t>3.</w:t>
      </w:r>
      <w:r w:rsidRPr="005234DA">
        <w:rPr>
          <w:bCs/>
          <w:spacing w:val="0"/>
          <w:lang w:val="fr-CH"/>
        </w:rPr>
        <w:tab/>
      </w:r>
      <w:r w:rsidR="00541CAB" w:rsidRPr="004F2EA1">
        <w:rPr>
          <w:spacing w:val="0"/>
          <w:lang w:val="fr-FR"/>
        </w:rPr>
        <w:t>Conformément au paragraphe 2 de l’article 17 de l’ADN, et comme suite à une décision du Comité (ECE/ADN/2, par.</w:t>
      </w:r>
      <w:r w:rsidR="00596491" w:rsidRPr="004F2EA1">
        <w:rPr>
          <w:spacing w:val="0"/>
          <w:lang w:val="fr-FR"/>
        </w:rPr>
        <w:t> </w:t>
      </w:r>
      <w:r w:rsidR="00541CAB" w:rsidRPr="004F2EA1">
        <w:rPr>
          <w:spacing w:val="0"/>
          <w:lang w:val="fr-FR"/>
        </w:rPr>
        <w:t>8), un représentant de la Commission centrale pour la navigation du Rhin (CCNR) a pris part à la session en qualité d’observateur.</w:t>
      </w:r>
    </w:p>
    <w:p w:rsidR="00423BA9" w:rsidRPr="005234DA" w:rsidRDefault="00423BA9" w:rsidP="00423BA9">
      <w:pPr>
        <w:pStyle w:val="HChGR"/>
        <w:rPr>
          <w:spacing w:val="0"/>
          <w:lang w:val="fr-CH"/>
        </w:rPr>
      </w:pPr>
      <w:r w:rsidRPr="005234DA">
        <w:rPr>
          <w:spacing w:val="0"/>
          <w:lang w:val="fr-CH"/>
        </w:rPr>
        <w:tab/>
        <w:t>II.</w:t>
      </w:r>
      <w:r w:rsidRPr="005234DA">
        <w:rPr>
          <w:spacing w:val="0"/>
          <w:lang w:val="fr-CH"/>
        </w:rPr>
        <w:tab/>
      </w:r>
      <w:r w:rsidR="00541CAB" w:rsidRPr="004F2EA1">
        <w:rPr>
          <w:spacing w:val="0"/>
          <w:lang w:val="fr-FR"/>
        </w:rPr>
        <w:t>Adoption de l’ordre du jour (point 1 de l’ordre du jour)</w:t>
      </w:r>
    </w:p>
    <w:p w:rsidR="00423BA9" w:rsidRPr="004F2EA1" w:rsidRDefault="00541CAB" w:rsidP="00541CAB">
      <w:pPr>
        <w:pStyle w:val="H4G"/>
      </w:pPr>
      <w:r w:rsidRPr="004F2EA1">
        <w:rPr>
          <w:iCs/>
        </w:rPr>
        <w:tab/>
      </w:r>
      <w:r w:rsidRPr="004F2EA1">
        <w:rPr>
          <w:iCs/>
        </w:rPr>
        <w:tab/>
      </w:r>
      <w:r w:rsidRPr="004F2EA1">
        <w:rPr>
          <w:lang w:val="fr-FR"/>
        </w:rPr>
        <w:t xml:space="preserve">Document : </w:t>
      </w:r>
      <w:r w:rsidRPr="004F2EA1">
        <w:rPr>
          <w:i w:val="0"/>
          <w:lang w:val="fr-FR"/>
        </w:rPr>
        <w:t>ECE/ADN/37 et Add.1</w:t>
      </w:r>
    </w:p>
    <w:p w:rsidR="00423BA9" w:rsidRPr="005234DA" w:rsidRDefault="00423BA9" w:rsidP="00423BA9">
      <w:pPr>
        <w:pStyle w:val="SingleTxtGR"/>
        <w:rPr>
          <w:bCs/>
          <w:spacing w:val="0"/>
          <w:lang w:val="fr-CH"/>
        </w:rPr>
      </w:pPr>
      <w:r w:rsidRPr="005234DA">
        <w:rPr>
          <w:bCs/>
          <w:spacing w:val="0"/>
          <w:lang w:val="fr-CH"/>
        </w:rPr>
        <w:t>4.</w:t>
      </w:r>
      <w:r w:rsidRPr="005234DA">
        <w:rPr>
          <w:bCs/>
          <w:spacing w:val="0"/>
          <w:lang w:val="fr-CH"/>
        </w:rPr>
        <w:tab/>
      </w:r>
      <w:r w:rsidR="00541CAB" w:rsidRPr="004F2EA1">
        <w:rPr>
          <w:spacing w:val="0"/>
          <w:lang w:val="fr-FR"/>
        </w:rPr>
        <w:t>Le Comité d’administration a adopté l’ordre du jour établi par le secrétariat.</w:t>
      </w:r>
    </w:p>
    <w:p w:rsidR="007C2D10" w:rsidRPr="004F2EA1" w:rsidRDefault="00C26023" w:rsidP="001C684F">
      <w:pPr>
        <w:pStyle w:val="HChG"/>
      </w:pPr>
      <w:r w:rsidRPr="004F2EA1">
        <w:rPr>
          <w:lang w:val="fr-FR"/>
        </w:rPr>
        <w:tab/>
        <w:t>III.</w:t>
      </w:r>
      <w:r w:rsidRPr="004F2EA1">
        <w:rPr>
          <w:lang w:val="fr-FR"/>
        </w:rPr>
        <w:tab/>
        <w:t>État de l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Accord européen relatif au transport international des marchandises dangereuses par voies de navigation intérieures (ADN) (point 2 de l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ordre du jour)</w:t>
      </w:r>
    </w:p>
    <w:p w:rsidR="007C2D10" w:rsidRPr="004F2EA1" w:rsidRDefault="00C26023" w:rsidP="00541CAB">
      <w:pPr>
        <w:pStyle w:val="SingleTxtG"/>
      </w:pPr>
      <w:r w:rsidRPr="004F2EA1">
        <w:rPr>
          <w:lang w:val="fr-FR"/>
        </w:rPr>
        <w:t>5.</w:t>
      </w:r>
      <w:r w:rsidRPr="004F2EA1">
        <w:rPr>
          <w:lang w:val="fr-FR"/>
        </w:rPr>
        <w:tab/>
        <w:t>Le Comité d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administration a noté que le nombre de Parties contractantes à l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ADN s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était maintenu à 18, à savoir</w:t>
      </w:r>
      <w:r w:rsidR="00596491" w:rsidRPr="004F2EA1">
        <w:rPr>
          <w:lang w:val="fr-FR"/>
        </w:rPr>
        <w:t> </w:t>
      </w:r>
      <w:r w:rsidRPr="004F2EA1">
        <w:rPr>
          <w:lang w:val="fr-FR"/>
        </w:rPr>
        <w:t>: Allemagne, Autriche, Belgique, Bulgarie, Croatie, Fédération de Russie, France, Hongrie, Luxembourg, Pays-Bas, Pologne, République de Moldova, République tchèque, Roumanie, Serbie, Slovaquie, Suisse et Ukraine.</w:t>
      </w:r>
    </w:p>
    <w:p w:rsidR="007C2D10" w:rsidRPr="004F2EA1" w:rsidRDefault="00C26023" w:rsidP="001C684F">
      <w:pPr>
        <w:pStyle w:val="HChG"/>
      </w:pPr>
      <w:r w:rsidRPr="004F2EA1">
        <w:rPr>
          <w:lang w:val="fr-FR"/>
        </w:rPr>
        <w:tab/>
        <w:t>IV.</w:t>
      </w:r>
      <w:r w:rsidRPr="004F2EA1">
        <w:rPr>
          <w:lang w:val="fr-FR"/>
        </w:rPr>
        <w:tab/>
        <w:t>Questions relatives à la mise en œuvre de l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 xml:space="preserve">ADN </w:t>
      </w:r>
      <w:r w:rsidR="00D71CBE" w:rsidRPr="004F2EA1">
        <w:rPr>
          <w:lang w:val="fr-FR"/>
        </w:rPr>
        <w:br/>
      </w:r>
      <w:r w:rsidRPr="004F2EA1">
        <w:rPr>
          <w:lang w:val="fr-FR"/>
        </w:rPr>
        <w:t>(point 3 de l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ordre du jour)</w:t>
      </w:r>
    </w:p>
    <w:p w:rsidR="007C2D10" w:rsidRPr="004F2EA1" w:rsidRDefault="005F1910" w:rsidP="001C684F">
      <w:pPr>
        <w:pStyle w:val="H1G"/>
      </w:pPr>
      <w:r w:rsidRPr="004F2EA1">
        <w:rPr>
          <w:lang w:val="fr-FR"/>
        </w:rPr>
        <w:tab/>
        <w:t>A.</w:t>
      </w:r>
      <w:r w:rsidRPr="004F2EA1">
        <w:rPr>
          <w:lang w:val="fr-FR"/>
        </w:rPr>
        <w:tab/>
        <w:t>Sociétés de classification</w:t>
      </w:r>
    </w:p>
    <w:p w:rsidR="007C2D10" w:rsidRPr="004F2EA1" w:rsidRDefault="00CF5FD6" w:rsidP="00541CAB">
      <w:pPr>
        <w:pStyle w:val="SingleTxtG"/>
      </w:pPr>
      <w:r w:rsidRPr="004F2EA1">
        <w:rPr>
          <w:lang w:val="fr-FR"/>
        </w:rPr>
        <w:t>6</w:t>
      </w:r>
      <w:r w:rsidR="00C26023" w:rsidRPr="004F2EA1">
        <w:rPr>
          <w:lang w:val="fr-FR"/>
        </w:rPr>
        <w:t>.</w:t>
      </w:r>
      <w:r w:rsidR="00C26023" w:rsidRPr="004F2EA1">
        <w:rPr>
          <w:lang w:val="fr-FR"/>
        </w:rPr>
        <w:tab/>
        <w:t>Le Comité d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administration a noté que Bureau Veritas et Lloyds Register avaient</w:t>
      </w:r>
      <w:r w:rsidR="00596491" w:rsidRPr="004F2EA1">
        <w:rPr>
          <w:lang w:val="fr-FR"/>
        </w:rPr>
        <w:t xml:space="preserve"> </w:t>
      </w:r>
      <w:r w:rsidR="00C26023" w:rsidRPr="004F2EA1">
        <w:rPr>
          <w:lang w:val="fr-FR"/>
        </w:rPr>
        <w:t>fourni des renseignements au Comité de sécurité au sujet de leur accréditation ISO 17020:2012 (v</w:t>
      </w:r>
      <w:r w:rsidR="005F1910" w:rsidRPr="004F2EA1">
        <w:rPr>
          <w:lang w:val="fr-FR"/>
        </w:rPr>
        <w:t>oir ECE/TRANS/WP.15/AC.20, par. </w:t>
      </w:r>
      <w:r w:rsidR="00C26023" w:rsidRPr="004F2EA1">
        <w:rPr>
          <w:lang w:val="fr-FR"/>
        </w:rPr>
        <w:t>21 et 22).</w:t>
      </w:r>
    </w:p>
    <w:p w:rsidR="007C2D10" w:rsidRPr="004F2EA1" w:rsidRDefault="00C26023" w:rsidP="001C684F">
      <w:pPr>
        <w:pStyle w:val="H1G"/>
      </w:pPr>
      <w:r w:rsidRPr="004F2EA1">
        <w:rPr>
          <w:lang w:val="fr-FR"/>
        </w:rPr>
        <w:tab/>
        <w:t>B.</w:t>
      </w:r>
      <w:r w:rsidRPr="004F2EA1">
        <w:rPr>
          <w:lang w:val="fr-FR"/>
        </w:rPr>
        <w:tab/>
        <w:t>Autorisations spéciales, dérogations et équivalences</w:t>
      </w:r>
    </w:p>
    <w:p w:rsidR="007C2D10" w:rsidRPr="004F2EA1" w:rsidRDefault="00C26023" w:rsidP="001C684F">
      <w:pPr>
        <w:pStyle w:val="H23G"/>
      </w:pPr>
      <w:r w:rsidRPr="004F2EA1">
        <w:rPr>
          <w:lang w:val="fr-FR"/>
        </w:rPr>
        <w:tab/>
        <w:t>1.</w:t>
      </w:r>
      <w:r w:rsidRPr="004F2EA1">
        <w:rPr>
          <w:lang w:val="fr-FR"/>
        </w:rPr>
        <w:tab/>
        <w:t xml:space="preserve">Dérogation temporaire pour le bateau pousseur </w:t>
      </w:r>
      <w:r w:rsidR="005F1910" w:rsidRPr="004F2EA1">
        <w:rPr>
          <w:lang w:val="fr-FR"/>
        </w:rPr>
        <w:t>« </w:t>
      </w:r>
      <w:r w:rsidRPr="004F2EA1">
        <w:rPr>
          <w:lang w:val="fr-FR"/>
        </w:rPr>
        <w:t>Donau</w:t>
      </w:r>
      <w:r w:rsidR="005F1910" w:rsidRPr="004F2EA1">
        <w:rPr>
          <w:lang w:val="fr-FR"/>
        </w:rPr>
        <w:t> »</w:t>
      </w:r>
    </w:p>
    <w:p w:rsidR="007C2D10" w:rsidRPr="004F2EA1" w:rsidRDefault="005F1910" w:rsidP="005F1910">
      <w:pPr>
        <w:pStyle w:val="H4G"/>
        <w:rPr>
          <w:i w:val="0"/>
        </w:rPr>
      </w:pPr>
      <w:r w:rsidRPr="004F2EA1">
        <w:rPr>
          <w:lang w:val="fr-FR"/>
        </w:rPr>
        <w:tab/>
      </w:r>
      <w:r w:rsidRPr="004F2EA1">
        <w:rPr>
          <w:lang w:val="fr-FR"/>
        </w:rPr>
        <w:tab/>
      </w:r>
      <w:r w:rsidR="00C26023" w:rsidRPr="004F2EA1">
        <w:rPr>
          <w:lang w:val="fr-FR"/>
        </w:rPr>
        <w:t>Document</w:t>
      </w:r>
      <w:r w:rsidRPr="004F2EA1">
        <w:rPr>
          <w:lang w:val="fr-FR"/>
        </w:rPr>
        <w:t> </w:t>
      </w:r>
      <w:r w:rsidR="00C26023" w:rsidRPr="004F2EA1">
        <w:rPr>
          <w:lang w:val="fr-FR"/>
        </w:rPr>
        <w:t>:</w:t>
      </w:r>
      <w:r w:rsidR="00F27106">
        <w:rPr>
          <w:i w:val="0"/>
          <w:lang w:val="fr-FR"/>
        </w:rPr>
        <w:t xml:space="preserve"> </w:t>
      </w:r>
      <w:r w:rsidR="00C26023" w:rsidRPr="004F2EA1">
        <w:rPr>
          <w:i w:val="0"/>
          <w:lang w:val="fr-FR"/>
        </w:rPr>
        <w:t>ECE/TRAN</w:t>
      </w:r>
      <w:r w:rsidRPr="004F2EA1">
        <w:rPr>
          <w:i w:val="0"/>
          <w:lang w:val="fr-FR"/>
        </w:rPr>
        <w:t>S/WP.15/AC.2/2016/48 (Belgique)</w:t>
      </w:r>
    </w:p>
    <w:p w:rsidR="007C2D10" w:rsidRPr="004F2EA1" w:rsidRDefault="00CF5FD6" w:rsidP="00541CAB">
      <w:pPr>
        <w:pStyle w:val="SingleTxtG"/>
      </w:pPr>
      <w:r w:rsidRPr="004F2EA1">
        <w:rPr>
          <w:lang w:val="fr-FR"/>
        </w:rPr>
        <w:t>7</w:t>
      </w:r>
      <w:r w:rsidR="00C26023" w:rsidRPr="004F2EA1">
        <w:rPr>
          <w:lang w:val="fr-FR"/>
        </w:rPr>
        <w:t>.</w:t>
      </w:r>
      <w:r w:rsidR="00C26023" w:rsidRPr="004F2EA1">
        <w:rPr>
          <w:lang w:val="fr-FR"/>
        </w:rPr>
        <w:tab/>
        <w:t>Le Comité d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administration a approuvé la recommandation du Comité de sécurité</w:t>
      </w:r>
      <w:r w:rsidR="005F1910" w:rsidRPr="004F2EA1">
        <w:rPr>
          <w:lang w:val="fr-FR"/>
        </w:rPr>
        <w:t xml:space="preserve"> (ECE/TRANS/WP.15/AC.2/60, par. </w:t>
      </w:r>
      <w:r w:rsidR="00C26023" w:rsidRPr="004F2EA1">
        <w:rPr>
          <w:lang w:val="fr-FR"/>
        </w:rPr>
        <w:t>8) autorisant l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 xml:space="preserve">autorité compétente de la Belgique à délivrer, conformément au paragraphe 1.5.3.2, une dérogation temporaire pour le bateau </w:t>
      </w:r>
      <w:r w:rsidR="00C26023" w:rsidRPr="004F2EA1">
        <w:rPr>
          <w:lang w:val="fr-FR"/>
        </w:rPr>
        <w:lastRenderedPageBreak/>
        <w:t xml:space="preserve">pousseur </w:t>
      </w:r>
      <w:r w:rsidR="005F1910" w:rsidRPr="004F2EA1">
        <w:rPr>
          <w:lang w:val="fr-FR"/>
        </w:rPr>
        <w:t>« </w:t>
      </w:r>
      <w:r w:rsidR="00C26023" w:rsidRPr="004F2EA1">
        <w:rPr>
          <w:lang w:val="fr-FR"/>
        </w:rPr>
        <w:t>Donau</w:t>
      </w:r>
      <w:r w:rsidR="005F1910" w:rsidRPr="004F2EA1">
        <w:rPr>
          <w:lang w:val="fr-FR"/>
        </w:rPr>
        <w:t> »</w:t>
      </w:r>
      <w:r w:rsidR="00C26023" w:rsidRPr="004F2EA1">
        <w:rPr>
          <w:lang w:val="fr-FR"/>
        </w:rPr>
        <w:t>, qui lui permettrait d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utiliser une installation d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extinction d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incendie générant un aérosol sec (voir annexe).</w:t>
      </w:r>
    </w:p>
    <w:p w:rsidR="007C2D10" w:rsidRPr="004F2EA1" w:rsidRDefault="00C26023" w:rsidP="005F1910">
      <w:pPr>
        <w:pStyle w:val="H23G"/>
      </w:pPr>
      <w:r w:rsidRPr="004F2EA1">
        <w:rPr>
          <w:lang w:val="fr-FR"/>
        </w:rPr>
        <w:tab/>
        <w:t>2.</w:t>
      </w:r>
      <w:r w:rsidRPr="004F2EA1">
        <w:rPr>
          <w:lang w:val="fr-FR"/>
        </w:rPr>
        <w:tab/>
        <w:t xml:space="preserve">Autorisation spéciale pour le transport du numéro ONU 1148 diacétone-alcool </w:t>
      </w:r>
      <w:r w:rsidR="005F1910" w:rsidRPr="004F2EA1">
        <w:rPr>
          <w:lang w:val="fr-FR"/>
        </w:rPr>
        <w:br/>
      </w:r>
      <w:r w:rsidRPr="004F2EA1">
        <w:rPr>
          <w:lang w:val="fr-FR"/>
        </w:rPr>
        <w:t>en bateau-citerne de la Belgique aux Pays-Bas</w:t>
      </w:r>
    </w:p>
    <w:p w:rsidR="007C2D10" w:rsidRPr="004F2EA1" w:rsidRDefault="005F1910" w:rsidP="005F1910">
      <w:pPr>
        <w:pStyle w:val="H4G"/>
      </w:pPr>
      <w:r w:rsidRPr="004F2EA1">
        <w:rPr>
          <w:lang w:val="fr-FR"/>
        </w:rPr>
        <w:tab/>
      </w:r>
      <w:r w:rsidRPr="004F2EA1">
        <w:rPr>
          <w:lang w:val="fr-FR"/>
        </w:rPr>
        <w:tab/>
      </w:r>
      <w:r w:rsidR="00C26023" w:rsidRPr="004F2EA1">
        <w:rPr>
          <w:lang w:val="fr-FR"/>
        </w:rPr>
        <w:t>Document informel</w:t>
      </w:r>
      <w:r w:rsidRPr="004F2EA1">
        <w:rPr>
          <w:lang w:val="fr-FR"/>
        </w:rPr>
        <w:t> </w:t>
      </w:r>
      <w:r w:rsidR="00C26023" w:rsidRPr="004F2EA1">
        <w:rPr>
          <w:lang w:val="fr-FR"/>
        </w:rPr>
        <w:t>:</w:t>
      </w:r>
      <w:r w:rsidR="00596491" w:rsidRPr="004F2EA1">
        <w:rPr>
          <w:i w:val="0"/>
          <w:lang w:val="fr-FR"/>
        </w:rPr>
        <w:t xml:space="preserve"> </w:t>
      </w:r>
      <w:r w:rsidR="00C26023" w:rsidRPr="004F2EA1">
        <w:rPr>
          <w:i w:val="0"/>
          <w:lang w:val="fr-FR"/>
        </w:rPr>
        <w:t>INF.2 (Belgique)</w:t>
      </w:r>
    </w:p>
    <w:p w:rsidR="007C2D10" w:rsidRPr="004F2EA1" w:rsidRDefault="00CF5FD6" w:rsidP="00541CAB">
      <w:pPr>
        <w:pStyle w:val="SingleTxtG"/>
      </w:pPr>
      <w:r w:rsidRPr="004F2EA1">
        <w:rPr>
          <w:lang w:val="fr-FR"/>
        </w:rPr>
        <w:t>8</w:t>
      </w:r>
      <w:r w:rsidR="00C26023" w:rsidRPr="004F2EA1">
        <w:rPr>
          <w:lang w:val="fr-FR"/>
        </w:rPr>
        <w:t>.</w:t>
      </w:r>
      <w:r w:rsidR="00C26023" w:rsidRPr="004F2EA1">
        <w:rPr>
          <w:lang w:val="fr-FR"/>
        </w:rPr>
        <w:tab/>
        <w:t>Le Comité d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 xml:space="preserve">administration a noté que les Gouvernements belge et néerlandais avaient autorisé la compagnie </w:t>
      </w:r>
      <w:r w:rsidR="005F1910" w:rsidRPr="004F2EA1">
        <w:rPr>
          <w:lang w:val="fr-FR"/>
        </w:rPr>
        <w:t>« </w:t>
      </w:r>
      <w:r w:rsidR="00C26023" w:rsidRPr="004F2EA1">
        <w:rPr>
          <w:lang w:val="fr-FR"/>
        </w:rPr>
        <w:t>Monument Chemical</w:t>
      </w:r>
      <w:r w:rsidR="005F1910" w:rsidRPr="004F2EA1">
        <w:rPr>
          <w:lang w:val="fr-FR"/>
        </w:rPr>
        <w:t> »</w:t>
      </w:r>
      <w:r w:rsidR="00C26023" w:rsidRPr="004F2EA1">
        <w:rPr>
          <w:lang w:val="fr-FR"/>
        </w:rPr>
        <w:t xml:space="preserve"> à transporter du diacétone-alcool en bateaux-citernes sur leur territoire dans les conditions précisées dans le document informel INF.2 (Autorisation spéciale 2016/01). Ces conditions ont été renvoyées par le Comité de sécurité de l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ADN à son groupe de travail informel sur les matières afin que soit établie une modification correspondante du tableau C du Règlement annexé à l</w:t>
      </w:r>
      <w:r w:rsidR="00541CAB" w:rsidRPr="004F2EA1">
        <w:rPr>
          <w:lang w:val="fr-FR"/>
        </w:rPr>
        <w:t>’</w:t>
      </w:r>
      <w:r w:rsidR="00C26023" w:rsidRPr="004F2EA1">
        <w:rPr>
          <w:lang w:val="fr-FR"/>
        </w:rPr>
        <w:t>ADN.</w:t>
      </w:r>
    </w:p>
    <w:p w:rsidR="007C2D10" w:rsidRPr="004F2EA1" w:rsidRDefault="00C26023" w:rsidP="005F1910">
      <w:pPr>
        <w:pStyle w:val="H1G"/>
      </w:pPr>
      <w:r w:rsidRPr="004F2EA1">
        <w:rPr>
          <w:lang w:val="fr-FR"/>
        </w:rPr>
        <w:tab/>
        <w:t>C.</w:t>
      </w:r>
      <w:r w:rsidRPr="004F2EA1">
        <w:rPr>
          <w:lang w:val="fr-FR"/>
        </w:rPr>
        <w:tab/>
        <w:t>Notifications diverses</w:t>
      </w:r>
    </w:p>
    <w:p w:rsidR="007C2D10" w:rsidRPr="004F2EA1" w:rsidRDefault="005F1910" w:rsidP="005F1910">
      <w:pPr>
        <w:pStyle w:val="H4G"/>
      </w:pPr>
      <w:r w:rsidRPr="004F2EA1">
        <w:rPr>
          <w:lang w:val="fr-FR"/>
        </w:rPr>
        <w:tab/>
      </w:r>
      <w:r w:rsidRPr="004F2EA1">
        <w:rPr>
          <w:lang w:val="fr-FR"/>
        </w:rPr>
        <w:tab/>
      </w:r>
      <w:r w:rsidR="00C26023" w:rsidRPr="004F2EA1">
        <w:rPr>
          <w:lang w:val="fr-FR"/>
        </w:rPr>
        <w:t>Document informel</w:t>
      </w:r>
      <w:r w:rsidRPr="004F2EA1">
        <w:rPr>
          <w:lang w:val="fr-FR"/>
        </w:rPr>
        <w:t> </w:t>
      </w:r>
      <w:r w:rsidR="00C26023" w:rsidRPr="004F2EA1">
        <w:rPr>
          <w:lang w:val="fr-FR"/>
        </w:rPr>
        <w:t>:</w:t>
      </w:r>
      <w:r w:rsidRPr="004F2EA1">
        <w:rPr>
          <w:lang w:val="fr-FR"/>
        </w:rPr>
        <w:t xml:space="preserve"> </w:t>
      </w:r>
      <w:r w:rsidR="00C26023" w:rsidRPr="004F2EA1">
        <w:rPr>
          <w:i w:val="0"/>
          <w:lang w:val="fr-FR"/>
        </w:rPr>
        <w:t>INF.1 (Slovaquie)</w:t>
      </w:r>
    </w:p>
    <w:p w:rsidR="007C2D10" w:rsidRPr="004F2EA1" w:rsidRDefault="00CF5FD6" w:rsidP="00541CAB">
      <w:pPr>
        <w:pStyle w:val="SingleTxtG"/>
      </w:pPr>
      <w:r w:rsidRPr="004F2EA1">
        <w:t>9</w:t>
      </w:r>
      <w:r w:rsidR="00C26023" w:rsidRPr="004F2EA1">
        <w:t>.</w:t>
      </w:r>
      <w:r w:rsidR="00C26023" w:rsidRPr="004F2EA1">
        <w:tab/>
        <w:t>Le Com</w:t>
      </w:r>
      <w:r w:rsidR="005F1910" w:rsidRPr="004F2EA1">
        <w:t>ité a noté</w:t>
      </w:r>
      <w:r w:rsidR="00C26023" w:rsidRPr="004F2EA1">
        <w:t xml:space="preserve"> avec satisfaction que le Gouvernement slovaque avait fourni des renseignements au sujet des stat</w:t>
      </w:r>
      <w:r w:rsidR="005F1910" w:rsidRPr="004F2EA1">
        <w:t xml:space="preserve">istiques sur la formation pour </w:t>
      </w:r>
      <w:r w:rsidR="00C26023" w:rsidRPr="004F2EA1">
        <w:t>2014-2015 et a décidé de renvoyer ces statistiques au groupe de travail informel sur la formation des experts du Comité de la sécurité. Il a également été informé que la Slovaquie n</w:t>
      </w:r>
      <w:r w:rsidR="00541CAB" w:rsidRPr="004F2EA1">
        <w:t>’</w:t>
      </w:r>
      <w:r w:rsidR="00C26023" w:rsidRPr="004F2EA1">
        <w:t>avait encore reconnu aucun organisme de visite conformément à l</w:t>
      </w:r>
      <w:r w:rsidR="00541CAB" w:rsidRPr="004F2EA1">
        <w:t>’</w:t>
      </w:r>
      <w:r w:rsidR="00C26023" w:rsidRPr="004F2EA1">
        <w:t>article 1.16.4 du Règlement annexé à l</w:t>
      </w:r>
      <w:r w:rsidR="00541CAB" w:rsidRPr="004F2EA1">
        <w:t>’</w:t>
      </w:r>
      <w:r w:rsidR="00C26023" w:rsidRPr="004F2EA1">
        <w:t xml:space="preserve">ADN. </w:t>
      </w:r>
    </w:p>
    <w:p w:rsidR="007C2D10" w:rsidRPr="004F2EA1" w:rsidRDefault="00C26023" w:rsidP="005F1910">
      <w:pPr>
        <w:pStyle w:val="HChG"/>
      </w:pPr>
      <w:r w:rsidRPr="004F2EA1">
        <w:tab/>
        <w:t>V.</w:t>
      </w:r>
      <w:r w:rsidRPr="004F2EA1">
        <w:tab/>
        <w:t>Travaux du Comité de sécurité (point 4 de l</w:t>
      </w:r>
      <w:r w:rsidR="00541CAB" w:rsidRPr="004F2EA1">
        <w:t>’</w:t>
      </w:r>
      <w:r w:rsidRPr="004F2EA1">
        <w:t>ordre du jour)</w:t>
      </w:r>
    </w:p>
    <w:p w:rsidR="007C2D10" w:rsidRPr="004F2EA1" w:rsidRDefault="00C26023" w:rsidP="00541CAB">
      <w:pPr>
        <w:pStyle w:val="SingleTxtG"/>
      </w:pPr>
      <w:r w:rsidRPr="004F2EA1">
        <w:rPr>
          <w:lang w:val="fr-FR"/>
        </w:rPr>
        <w:t>1</w:t>
      </w:r>
      <w:r w:rsidR="00CF5FD6" w:rsidRPr="004F2EA1">
        <w:rPr>
          <w:lang w:val="fr-FR"/>
        </w:rPr>
        <w:t>0</w:t>
      </w:r>
      <w:r w:rsidRPr="004F2EA1">
        <w:rPr>
          <w:lang w:val="fr-FR"/>
        </w:rPr>
        <w:t>.</w:t>
      </w:r>
      <w:r w:rsidRPr="004F2EA1">
        <w:rPr>
          <w:lang w:val="fr-FR"/>
        </w:rPr>
        <w:tab/>
        <w:t>Le Comité a pris note du rapport du Comité de sécurité sur sa vingt-neuvième session (ECE/TRANS/WP.15/AC.2/60) et a adopté</w:t>
      </w:r>
      <w:r w:rsidR="005F1910" w:rsidRPr="004F2EA1">
        <w:rPr>
          <w:lang w:val="fr-FR"/>
        </w:rPr>
        <w:t> </w:t>
      </w:r>
      <w:r w:rsidRPr="004F2EA1">
        <w:rPr>
          <w:lang w:val="fr-FR"/>
        </w:rPr>
        <w:t>:</w:t>
      </w:r>
    </w:p>
    <w:p w:rsidR="007C2D10" w:rsidRPr="004F2EA1" w:rsidRDefault="00C26023" w:rsidP="001514F1">
      <w:pPr>
        <w:pStyle w:val="SingleTxtG"/>
        <w:ind w:firstLine="567"/>
      </w:pPr>
      <w:r w:rsidRPr="004F2EA1">
        <w:t>a)</w:t>
      </w:r>
      <w:r w:rsidRPr="004F2EA1">
        <w:tab/>
        <w:t>Les amendements proposés pour mettre le Règlement annexé à l</w:t>
      </w:r>
      <w:r w:rsidR="00541CAB" w:rsidRPr="004F2EA1">
        <w:t>’</w:t>
      </w:r>
      <w:r w:rsidRPr="004F2EA1">
        <w:t>ADN en conformité avec les versions modifiées de l</w:t>
      </w:r>
      <w:r w:rsidR="00541CAB" w:rsidRPr="004F2EA1">
        <w:t>’</w:t>
      </w:r>
      <w:r w:rsidRPr="004F2EA1">
        <w:t>ADR et du RID qui devraient être applicables dès le 1</w:t>
      </w:r>
      <w:r w:rsidRPr="0028505D">
        <w:rPr>
          <w:vertAlign w:val="superscript"/>
        </w:rPr>
        <w:t>er</w:t>
      </w:r>
      <w:r w:rsidR="0028505D">
        <w:t> </w:t>
      </w:r>
      <w:r w:rsidRPr="004F2EA1">
        <w:t>janvier 2017 (voir l</w:t>
      </w:r>
      <w:r w:rsidR="00541CAB" w:rsidRPr="004F2EA1">
        <w:t>’</w:t>
      </w:r>
      <w:r w:rsidRPr="004F2EA1">
        <w:t>annexe I du document ECE/TRANS/WP.15/AC.2/60). Le secrétariat a été prié de les publier sous la forme d</w:t>
      </w:r>
      <w:r w:rsidR="00541CAB" w:rsidRPr="004F2EA1">
        <w:t>’</w:t>
      </w:r>
      <w:r w:rsidRPr="004F2EA1">
        <w:t xml:space="preserve">un additif au document ECE/ADN/36 (ECE/ADN/36/Add.1) et de les transmettre aux Parties contractantes au </w:t>
      </w:r>
      <w:r w:rsidR="005F1910" w:rsidRPr="004F2EA1">
        <w:t>plus tard le 1</w:t>
      </w:r>
      <w:r w:rsidR="005F1910" w:rsidRPr="004F2EA1">
        <w:rPr>
          <w:vertAlign w:val="superscript"/>
        </w:rPr>
        <w:t>er</w:t>
      </w:r>
      <w:r w:rsidR="005F1910" w:rsidRPr="004F2EA1">
        <w:t xml:space="preserve"> septembre </w:t>
      </w:r>
      <w:r w:rsidRPr="004F2EA1">
        <w:t>2016, conformément à la procédure énoncée au paragraphe 5 a) de l</w:t>
      </w:r>
      <w:r w:rsidR="00541CAB" w:rsidRPr="004F2EA1">
        <w:t>’</w:t>
      </w:r>
      <w:r w:rsidRPr="004F2EA1">
        <w:t>article 20 de l</w:t>
      </w:r>
      <w:r w:rsidR="00541CAB" w:rsidRPr="004F2EA1">
        <w:t>’</w:t>
      </w:r>
      <w:r w:rsidRPr="004F2EA1">
        <w:t>ADN, afin qu</w:t>
      </w:r>
      <w:r w:rsidR="00541CAB" w:rsidRPr="004F2EA1">
        <w:t>’</w:t>
      </w:r>
      <w:r w:rsidRPr="004F2EA1">
        <w:t>elles puissent entrer en vigueur le 1</w:t>
      </w:r>
      <w:r w:rsidRPr="004F2EA1">
        <w:rPr>
          <w:vertAlign w:val="superscript"/>
        </w:rPr>
        <w:t>er</w:t>
      </w:r>
      <w:r w:rsidR="005F1910" w:rsidRPr="004F2EA1">
        <w:t> </w:t>
      </w:r>
      <w:r w:rsidRPr="004F2EA1">
        <w:t>janvier 2017, c</w:t>
      </w:r>
      <w:r w:rsidR="00541CAB" w:rsidRPr="004F2EA1">
        <w:t>’</w:t>
      </w:r>
      <w:r w:rsidRPr="004F2EA1">
        <w:t>est-à-dire un mois après leur acceptation par les Parties contractantes</w:t>
      </w:r>
      <w:r w:rsidR="005F1910" w:rsidRPr="004F2EA1">
        <w:t> </w:t>
      </w:r>
      <w:r w:rsidRPr="004F2EA1">
        <w:t>;</w:t>
      </w:r>
    </w:p>
    <w:p w:rsidR="007C2D10" w:rsidRPr="004F2EA1" w:rsidRDefault="00C26023" w:rsidP="001514F1">
      <w:pPr>
        <w:pStyle w:val="SingleTxtG"/>
        <w:ind w:firstLine="567"/>
      </w:pPr>
      <w:r w:rsidRPr="004F2EA1">
        <w:t>b)</w:t>
      </w:r>
      <w:r w:rsidRPr="004F2EA1">
        <w:tab/>
        <w:t>Toutes les corrections proposées concernant les amendements au Règlement annexé à l</w:t>
      </w:r>
      <w:r w:rsidR="00541CAB" w:rsidRPr="004F2EA1">
        <w:t>’</w:t>
      </w:r>
      <w:r w:rsidRPr="004F2EA1">
        <w:t>ADN précédemment notifiés (ECE/ADN/36) (voir l</w:t>
      </w:r>
      <w:r w:rsidR="00541CAB" w:rsidRPr="004F2EA1">
        <w:t>’</w:t>
      </w:r>
      <w:r w:rsidRPr="004F2EA1">
        <w:t>annexe II du document ECE/TRANS/WP.15/AC.2/60). Étant donné que ces corrections dépendent de l</w:t>
      </w:r>
      <w:r w:rsidR="00541CAB" w:rsidRPr="004F2EA1">
        <w:t>’</w:t>
      </w:r>
      <w:r w:rsidRPr="004F2EA1">
        <w:t>acceptation des amendements én</w:t>
      </w:r>
      <w:r w:rsidR="005F1910" w:rsidRPr="004F2EA1">
        <w:t xml:space="preserve">umérés dans le document </w:t>
      </w:r>
      <w:r w:rsidRPr="004F2EA1">
        <w:t>ECE/ADN/36, le secrétariat a été prié de les publier sous la forme d</w:t>
      </w:r>
      <w:r w:rsidR="00541CAB" w:rsidRPr="004F2EA1">
        <w:t>’</w:t>
      </w:r>
      <w:r w:rsidRPr="004F2EA1">
        <w:t>un rectificatif au document ECE/ADN/36 (ECE/ADN/36/Corr.1) et de faire en sorte qu</w:t>
      </w:r>
      <w:r w:rsidR="00541CAB" w:rsidRPr="004F2EA1">
        <w:t>’</w:t>
      </w:r>
      <w:r w:rsidRPr="004F2EA1">
        <w:t>elles soient transmises aux Parties contractantes le 1</w:t>
      </w:r>
      <w:r w:rsidRPr="0028505D">
        <w:rPr>
          <w:vertAlign w:val="superscript"/>
        </w:rPr>
        <w:t>er</w:t>
      </w:r>
      <w:r w:rsidR="0028505D">
        <w:t> </w:t>
      </w:r>
      <w:r w:rsidRPr="004F2EA1">
        <w:t>octobre 2016 (date de l</w:t>
      </w:r>
      <w:r w:rsidR="00541CAB" w:rsidRPr="004F2EA1">
        <w:t>’</w:t>
      </w:r>
      <w:r w:rsidRPr="004F2EA1">
        <w:t>acceptation des amendements) pour acceptation conformément à la procédure habituellement suivie pour les corrections, afin qu</w:t>
      </w:r>
      <w:r w:rsidR="00541CAB" w:rsidRPr="004F2EA1">
        <w:t>’</w:t>
      </w:r>
      <w:r w:rsidRPr="004F2EA1">
        <w:t>elles entrent en vigu</w:t>
      </w:r>
      <w:r w:rsidR="005F1910" w:rsidRPr="004F2EA1">
        <w:t>eur au plus tard le 1</w:t>
      </w:r>
      <w:r w:rsidR="005F1910" w:rsidRPr="004F2EA1">
        <w:rPr>
          <w:vertAlign w:val="superscript"/>
        </w:rPr>
        <w:t>er</w:t>
      </w:r>
      <w:r w:rsidR="005F1910" w:rsidRPr="004F2EA1">
        <w:t xml:space="preserve"> janvier </w:t>
      </w:r>
      <w:r w:rsidRPr="004F2EA1">
        <w:t>2017</w:t>
      </w:r>
      <w:r w:rsidR="00596491" w:rsidRPr="004F2EA1">
        <w:t> ;</w:t>
      </w:r>
      <w:r w:rsidRPr="004F2EA1">
        <w:t xml:space="preserve"> </w:t>
      </w:r>
    </w:p>
    <w:p w:rsidR="007C2D10" w:rsidRPr="004F2EA1" w:rsidRDefault="00C26023" w:rsidP="001514F1">
      <w:pPr>
        <w:pStyle w:val="SingleTxtG"/>
        <w:ind w:firstLine="567"/>
      </w:pPr>
      <w:r w:rsidRPr="004F2EA1">
        <w:t>c)</w:t>
      </w:r>
      <w:r w:rsidRPr="004F2EA1">
        <w:tab/>
        <w:t>Toutes les corrections proposées au Règlement annexé à l</w:t>
      </w:r>
      <w:r w:rsidR="00541CAB" w:rsidRPr="004F2EA1">
        <w:t>’</w:t>
      </w:r>
      <w:r w:rsidRPr="004F2EA1">
        <w:t>ADN, telles qu</w:t>
      </w:r>
      <w:r w:rsidR="00541CAB" w:rsidRPr="004F2EA1">
        <w:t>’</w:t>
      </w:r>
      <w:r w:rsidRPr="004F2EA1">
        <w:t>elles sont énumérées à l</w:t>
      </w:r>
      <w:r w:rsidR="00541CAB" w:rsidRPr="004F2EA1">
        <w:t>’</w:t>
      </w:r>
      <w:r w:rsidRPr="004F2EA1">
        <w:t>annexe III du document ECE/TRANS/WP.15/AC.2/60. Il a été demandé au secrétariat de faire en sorte qu</w:t>
      </w:r>
      <w:r w:rsidR="00541CAB" w:rsidRPr="004F2EA1">
        <w:t>’</w:t>
      </w:r>
      <w:r w:rsidRPr="004F2EA1">
        <w:t>elles soient transmises aux Parties contractantes au plus tard le 1</w:t>
      </w:r>
      <w:r w:rsidRPr="004F2EA1">
        <w:rPr>
          <w:vertAlign w:val="superscript"/>
        </w:rPr>
        <w:t>er</w:t>
      </w:r>
      <w:r w:rsidR="001514F1" w:rsidRPr="004F2EA1">
        <w:t> </w:t>
      </w:r>
      <w:r w:rsidRPr="004F2EA1">
        <w:t xml:space="preserve">octobre 2016 pour acceptation conformément à la procédure </w:t>
      </w:r>
      <w:r w:rsidRPr="004F2EA1">
        <w:lastRenderedPageBreak/>
        <w:t>habituellement suivie pour les corrections, afin qu</w:t>
      </w:r>
      <w:r w:rsidR="00541CAB" w:rsidRPr="004F2EA1">
        <w:t>’</w:t>
      </w:r>
      <w:r w:rsidRPr="004F2EA1">
        <w:t>elles entrent en vigueur au plus tard le 1</w:t>
      </w:r>
      <w:r w:rsidRPr="004F2EA1">
        <w:rPr>
          <w:vertAlign w:val="superscript"/>
        </w:rPr>
        <w:t>er</w:t>
      </w:r>
      <w:r w:rsidR="001514F1" w:rsidRPr="004F2EA1">
        <w:t> </w:t>
      </w:r>
      <w:r w:rsidRPr="004F2EA1">
        <w:t>janvier 2017.</w:t>
      </w:r>
    </w:p>
    <w:p w:rsidR="007C2D10" w:rsidRPr="004F2EA1" w:rsidRDefault="00C26023" w:rsidP="00541CAB">
      <w:pPr>
        <w:pStyle w:val="SingleTxtG"/>
        <w:rPr>
          <w:lang w:val="fr-FR"/>
        </w:rPr>
      </w:pPr>
      <w:r w:rsidRPr="004F2EA1">
        <w:rPr>
          <w:lang w:val="fr-FR"/>
        </w:rPr>
        <w:t>1</w:t>
      </w:r>
      <w:r w:rsidR="00CF5FD6" w:rsidRPr="004F2EA1">
        <w:rPr>
          <w:lang w:val="fr-FR"/>
        </w:rPr>
        <w:t>1</w:t>
      </w:r>
      <w:r w:rsidRPr="004F2EA1">
        <w:rPr>
          <w:lang w:val="fr-FR"/>
        </w:rPr>
        <w:t>.</w:t>
      </w:r>
      <w:r w:rsidRPr="004F2EA1">
        <w:rPr>
          <w:lang w:val="fr-FR"/>
        </w:rPr>
        <w:tab/>
      </w:r>
      <w:r w:rsidRPr="004F2EA1">
        <w:t>Le Comité d</w:t>
      </w:r>
      <w:r w:rsidR="00541CAB" w:rsidRPr="004F2EA1">
        <w:t>’</w:t>
      </w:r>
      <w:r w:rsidRPr="004F2EA1">
        <w:t>administration a noté que le Comité de sécurité de l</w:t>
      </w:r>
      <w:r w:rsidR="00541CAB" w:rsidRPr="004F2EA1">
        <w:t>’</w:t>
      </w:r>
      <w:r w:rsidRPr="004F2EA1">
        <w:t>ADN avait adopté des amendements au Règlement annexé à l</w:t>
      </w:r>
      <w:r w:rsidR="00541CAB" w:rsidRPr="004F2EA1">
        <w:t>’</w:t>
      </w:r>
      <w:r w:rsidRPr="004F2EA1">
        <w:t>ADN pour entrée en vigueur le 1</w:t>
      </w:r>
      <w:r w:rsidRPr="004F2EA1">
        <w:rPr>
          <w:vertAlign w:val="superscript"/>
        </w:rPr>
        <w:t>er</w:t>
      </w:r>
      <w:r w:rsidR="001514F1" w:rsidRPr="004F2EA1">
        <w:t> </w:t>
      </w:r>
      <w:r w:rsidRPr="004F2EA1">
        <w:t xml:space="preserve">janvier </w:t>
      </w:r>
      <w:r w:rsidRPr="004F2EA1">
        <w:rPr>
          <w:lang w:val="fr-FR"/>
        </w:rPr>
        <w:t>2019 (ECE/TRANS/WP.15/AC.2/60, annexe IV). Étant donné que le Comité de sécurité devait en principe adopter des amendements supplémentaires lors de ses futures sessions pour entrée en vigueur le 1</w:t>
      </w:r>
      <w:r w:rsidRPr="004F2EA1">
        <w:rPr>
          <w:vertAlign w:val="superscript"/>
          <w:lang w:val="fr-FR"/>
        </w:rPr>
        <w:t>er</w:t>
      </w:r>
      <w:r w:rsidR="001514F1" w:rsidRPr="004F2EA1">
        <w:rPr>
          <w:lang w:val="fr-FR"/>
        </w:rPr>
        <w:t> </w:t>
      </w:r>
      <w:r w:rsidRPr="004F2EA1">
        <w:rPr>
          <w:lang w:val="fr-FR"/>
        </w:rPr>
        <w:t xml:space="preserve">janvier 2019, </w:t>
      </w:r>
      <w:r w:rsidRPr="004F2EA1">
        <w:t>le Comité d</w:t>
      </w:r>
      <w:r w:rsidR="00541CAB" w:rsidRPr="004F2EA1">
        <w:t>’</w:t>
      </w:r>
      <w:r w:rsidRPr="004F2EA1">
        <w:t>administration a décidé de les examiner ultérieurement.</w:t>
      </w:r>
    </w:p>
    <w:p w:rsidR="007C2D10" w:rsidRPr="004F2EA1" w:rsidRDefault="00C26023" w:rsidP="001514F1">
      <w:pPr>
        <w:pStyle w:val="HChG"/>
      </w:pPr>
      <w:r w:rsidRPr="004F2EA1">
        <w:rPr>
          <w:lang w:val="fr-FR"/>
        </w:rPr>
        <w:tab/>
      </w:r>
      <w:r w:rsidRPr="004F2EA1">
        <w:t>VI.</w:t>
      </w:r>
      <w:r w:rsidR="00D71CBE" w:rsidRPr="004F2EA1">
        <w:tab/>
      </w:r>
      <w:r w:rsidRPr="004F2EA1">
        <w:t xml:space="preserve">Programme de travail et calendrier des réunions </w:t>
      </w:r>
      <w:r w:rsidR="001514F1" w:rsidRPr="004F2EA1">
        <w:br/>
      </w:r>
      <w:r w:rsidRPr="004F2EA1">
        <w:rPr>
          <w:lang w:val="fr-FR"/>
        </w:rPr>
        <w:t>(point 5 de l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ordre du jour)</w:t>
      </w:r>
    </w:p>
    <w:p w:rsidR="007C2D10" w:rsidRPr="004F2EA1" w:rsidRDefault="00C26023" w:rsidP="00541CAB">
      <w:pPr>
        <w:pStyle w:val="SingleTxtG"/>
      </w:pPr>
      <w:r w:rsidRPr="004F2EA1">
        <w:rPr>
          <w:lang w:val="fr-FR"/>
        </w:rPr>
        <w:t>1</w:t>
      </w:r>
      <w:r w:rsidR="00CF5FD6" w:rsidRPr="004F2EA1">
        <w:rPr>
          <w:lang w:val="fr-FR"/>
        </w:rPr>
        <w:t>2</w:t>
      </w:r>
      <w:r w:rsidRPr="004F2EA1">
        <w:rPr>
          <w:lang w:val="fr-FR"/>
        </w:rPr>
        <w:t>.</w:t>
      </w:r>
      <w:r w:rsidRPr="004F2EA1">
        <w:rPr>
          <w:lang w:val="fr-FR"/>
        </w:rPr>
        <w:tab/>
      </w:r>
      <w:r w:rsidRPr="004F2EA1">
        <w:t>Le Comité d</w:t>
      </w:r>
      <w:r w:rsidR="00541CAB" w:rsidRPr="004F2EA1">
        <w:t>’</w:t>
      </w:r>
      <w:r w:rsidRPr="004F2EA1">
        <w:t>administration a noté qu</w:t>
      </w:r>
      <w:r w:rsidR="00541CAB" w:rsidRPr="004F2EA1">
        <w:t>’</w:t>
      </w:r>
      <w:r w:rsidRPr="004F2EA1">
        <w:t xml:space="preserve">il était prévu que sa prochaine session ait lieu </w:t>
      </w:r>
      <w:r w:rsidR="001514F1" w:rsidRPr="004F2EA1">
        <w:rPr>
          <w:lang w:val="fr-FR"/>
        </w:rPr>
        <w:t>le 2</w:t>
      </w:r>
      <w:r w:rsidR="0028505D">
        <w:rPr>
          <w:lang w:val="fr-FR"/>
        </w:rPr>
        <w:t>7</w:t>
      </w:r>
      <w:r w:rsidR="001514F1" w:rsidRPr="004F2EA1">
        <w:rPr>
          <w:lang w:val="fr-FR"/>
        </w:rPr>
        <w:t> </w:t>
      </w:r>
      <w:r w:rsidRPr="004F2EA1">
        <w:rPr>
          <w:lang w:val="fr-FR"/>
        </w:rPr>
        <w:t>janvier 2017 à midi et que la date limite de soumission des documents pour cette réunion était le 28</w:t>
      </w:r>
      <w:r w:rsidR="001514F1" w:rsidRPr="004F2EA1">
        <w:rPr>
          <w:lang w:val="fr-FR"/>
        </w:rPr>
        <w:t> </w:t>
      </w:r>
      <w:r w:rsidRPr="004F2EA1">
        <w:rPr>
          <w:lang w:val="fr-FR"/>
        </w:rPr>
        <w:t xml:space="preserve">octobre 2016. La </w:t>
      </w:r>
      <w:r w:rsidRPr="004F2EA1">
        <w:t>session d</w:t>
      </w:r>
      <w:r w:rsidR="00541CAB" w:rsidRPr="004F2EA1">
        <w:t>’</w:t>
      </w:r>
      <w:r w:rsidRPr="004F2EA1">
        <w:t>été devrait avoir lieu le 31</w:t>
      </w:r>
      <w:r w:rsidR="001514F1" w:rsidRPr="004F2EA1">
        <w:t> </w:t>
      </w:r>
      <w:r w:rsidRPr="004F2EA1">
        <w:t>août 2017.</w:t>
      </w:r>
    </w:p>
    <w:p w:rsidR="007C2D10" w:rsidRPr="004F2EA1" w:rsidRDefault="00C26023" w:rsidP="001514F1">
      <w:pPr>
        <w:pStyle w:val="HChG"/>
      </w:pPr>
      <w:r w:rsidRPr="004F2EA1">
        <w:tab/>
        <w:t>VII.</w:t>
      </w:r>
      <w:r w:rsidRPr="004F2EA1">
        <w:tab/>
        <w:t>Questions diverses (point 6 de l</w:t>
      </w:r>
      <w:r w:rsidR="00541CAB" w:rsidRPr="004F2EA1">
        <w:t>’</w:t>
      </w:r>
      <w:r w:rsidRPr="004F2EA1">
        <w:t>ordre du jour)</w:t>
      </w:r>
    </w:p>
    <w:p w:rsidR="007C2D10" w:rsidRPr="004F2EA1" w:rsidRDefault="00C26023" w:rsidP="00541CAB">
      <w:pPr>
        <w:pStyle w:val="SingleTxtG"/>
      </w:pPr>
      <w:r w:rsidRPr="004F2EA1">
        <w:t>1</w:t>
      </w:r>
      <w:r w:rsidR="00CF5FD6" w:rsidRPr="004F2EA1">
        <w:t>3</w:t>
      </w:r>
      <w:r w:rsidRPr="004F2EA1">
        <w:t>.</w:t>
      </w:r>
      <w:r w:rsidRPr="004F2EA1">
        <w:tab/>
        <w:t>Le Comité d</w:t>
      </w:r>
      <w:r w:rsidR="00541CAB" w:rsidRPr="004F2EA1">
        <w:t>’</w:t>
      </w:r>
      <w:r w:rsidRPr="004F2EA1">
        <w:t>administration a demandé au secrétariat de tenir compte de toutes les corrections et de tous les amendements adoptés à la session dans la nouvelle édition récapitulative (2017) de l</w:t>
      </w:r>
      <w:r w:rsidR="00541CAB" w:rsidRPr="004F2EA1">
        <w:t>’</w:t>
      </w:r>
      <w:r w:rsidRPr="004F2EA1">
        <w:t>ADN qui était en préparation.</w:t>
      </w:r>
    </w:p>
    <w:p w:rsidR="007C2D10" w:rsidRPr="004F2EA1" w:rsidRDefault="00C26023" w:rsidP="001514F1">
      <w:pPr>
        <w:pStyle w:val="HChG"/>
      </w:pPr>
      <w:r w:rsidRPr="004F2EA1">
        <w:tab/>
        <w:t>VIII.</w:t>
      </w:r>
      <w:r w:rsidRPr="004F2EA1">
        <w:tab/>
        <w:t>Adoption du rapport (point 7 de l</w:t>
      </w:r>
      <w:r w:rsidR="00541CAB" w:rsidRPr="004F2EA1">
        <w:t>’</w:t>
      </w:r>
      <w:r w:rsidRPr="004F2EA1">
        <w:t>ordre du jour)</w:t>
      </w:r>
    </w:p>
    <w:p w:rsidR="007C2D10" w:rsidRPr="004F2EA1" w:rsidRDefault="00C26023" w:rsidP="00541CAB">
      <w:pPr>
        <w:pStyle w:val="SingleTxtG"/>
      </w:pPr>
      <w:r w:rsidRPr="004F2EA1">
        <w:t>1</w:t>
      </w:r>
      <w:r w:rsidR="00CF5FD6" w:rsidRPr="004F2EA1">
        <w:t>4</w:t>
      </w:r>
      <w:r w:rsidRPr="004F2EA1">
        <w:t>.</w:t>
      </w:r>
      <w:r w:rsidRPr="004F2EA1">
        <w:tab/>
        <w:t>Le Comité d</w:t>
      </w:r>
      <w:r w:rsidR="00541CAB" w:rsidRPr="004F2EA1">
        <w:t>’</w:t>
      </w:r>
      <w:r w:rsidRPr="004F2EA1">
        <w:t>administration a adopté le rapport sur sa dix-septième session en se fondant sur un projet établi par le secrétariat et l</w:t>
      </w:r>
      <w:r w:rsidR="00541CAB" w:rsidRPr="004F2EA1">
        <w:t>’</w:t>
      </w:r>
      <w:r w:rsidRPr="004F2EA1">
        <w:t>a envoyé aux délégations pour approbation par courrier électronique après la session.</w:t>
      </w:r>
    </w:p>
    <w:p w:rsidR="007C2D10" w:rsidRPr="004F2EA1" w:rsidRDefault="001514F1" w:rsidP="001514F1">
      <w:pPr>
        <w:pStyle w:val="HChG"/>
      </w:pPr>
      <w:r w:rsidRPr="004F2EA1">
        <w:br w:type="page"/>
      </w:r>
      <w:r w:rsidR="00C26023" w:rsidRPr="004F2EA1">
        <w:lastRenderedPageBreak/>
        <w:t xml:space="preserve">Annexe </w:t>
      </w:r>
    </w:p>
    <w:p w:rsidR="007C2D10" w:rsidRPr="004F2EA1" w:rsidRDefault="00C26023" w:rsidP="001514F1">
      <w:pPr>
        <w:pStyle w:val="HChG"/>
      </w:pPr>
      <w:r w:rsidRPr="004F2EA1">
        <w:tab/>
      </w:r>
      <w:r w:rsidRPr="004F2EA1">
        <w:tab/>
        <w:t>Décision du Comité d</w:t>
      </w:r>
      <w:r w:rsidR="00541CAB" w:rsidRPr="004F2EA1">
        <w:t>’</w:t>
      </w:r>
      <w:r w:rsidRPr="004F2EA1">
        <w:t>administration de l</w:t>
      </w:r>
      <w:r w:rsidR="00541CAB" w:rsidRPr="004F2EA1">
        <w:t>’</w:t>
      </w:r>
      <w:r w:rsidRPr="004F2EA1">
        <w:t xml:space="preserve">ADN </w:t>
      </w:r>
      <w:r w:rsidR="001514F1" w:rsidRPr="004F2EA1">
        <w:br/>
      </w:r>
      <w:r w:rsidRPr="004F2EA1">
        <w:t>au sujet de l</w:t>
      </w:r>
      <w:r w:rsidR="00541CAB" w:rsidRPr="004F2EA1">
        <w:t>’</w:t>
      </w:r>
      <w:r w:rsidRPr="004F2EA1">
        <w:t>utilisation d</w:t>
      </w:r>
      <w:r w:rsidR="00541CAB" w:rsidRPr="004F2EA1">
        <w:t>’</w:t>
      </w:r>
      <w:r w:rsidRPr="004F2EA1">
        <w:t>une installation d</w:t>
      </w:r>
      <w:r w:rsidR="00541CAB" w:rsidRPr="004F2EA1">
        <w:t>’</w:t>
      </w:r>
      <w:r w:rsidRPr="004F2EA1">
        <w:t>extinction d</w:t>
      </w:r>
      <w:r w:rsidR="00541CAB" w:rsidRPr="004F2EA1">
        <w:t>’</w:t>
      </w:r>
      <w:r w:rsidRPr="004F2EA1">
        <w:t xml:space="preserve">incendie générant un aérosol sec (Fire Pro) </w:t>
      </w:r>
      <w:r w:rsidR="001514F1" w:rsidRPr="004F2EA1">
        <w:br/>
      </w:r>
      <w:r w:rsidRPr="004F2EA1">
        <w:t xml:space="preserve">sur le </w:t>
      </w:r>
      <w:r w:rsidR="001514F1" w:rsidRPr="004F2EA1">
        <w:t>pousseur « DONAU » (06105358)</w:t>
      </w:r>
    </w:p>
    <w:p w:rsidR="007C2D10" w:rsidRPr="004F2EA1" w:rsidRDefault="00C26023" w:rsidP="001514F1">
      <w:pPr>
        <w:pStyle w:val="H23G"/>
        <w:rPr>
          <w:lang w:val="fr-FR"/>
        </w:rPr>
      </w:pPr>
      <w:r w:rsidRPr="004F2EA1">
        <w:tab/>
      </w:r>
      <w:r w:rsidRPr="004F2EA1">
        <w:tab/>
      </w:r>
      <w:r w:rsidRPr="004F2EA1">
        <w:rPr>
          <w:lang w:val="fr-FR"/>
        </w:rPr>
        <w:t>Dérogation n</w:t>
      </w:r>
      <w:r w:rsidRPr="004F2EA1">
        <w:rPr>
          <w:vertAlign w:val="superscript"/>
          <w:lang w:val="fr-FR"/>
        </w:rPr>
        <w:t>o</w:t>
      </w:r>
      <w:r w:rsidR="001514F1" w:rsidRPr="004F2EA1">
        <w:rPr>
          <w:lang w:val="fr-FR"/>
        </w:rPr>
        <w:t> </w:t>
      </w:r>
      <w:r w:rsidRPr="004F2EA1">
        <w:rPr>
          <w:lang w:val="fr-FR"/>
        </w:rPr>
        <w:t xml:space="preserve">2/2016 en date du 26 août 2016 </w:t>
      </w:r>
    </w:p>
    <w:p w:rsidR="007C2D10" w:rsidRPr="004F2EA1" w:rsidRDefault="00C26023" w:rsidP="001514F1">
      <w:pPr>
        <w:pStyle w:val="SingleTxtG"/>
        <w:ind w:firstLine="567"/>
      </w:pPr>
      <w:r w:rsidRPr="004F2EA1">
        <w:t>L</w:t>
      </w:r>
      <w:r w:rsidR="00541CAB" w:rsidRPr="004F2EA1">
        <w:t>’</w:t>
      </w:r>
      <w:r w:rsidRPr="004F2EA1">
        <w:t>autorité compétente de la Belgique est autorisée à délivrer un complément pour le certificat d</w:t>
      </w:r>
      <w:r w:rsidR="00541CAB" w:rsidRPr="004F2EA1">
        <w:t>’</w:t>
      </w:r>
      <w:r w:rsidRPr="004F2EA1">
        <w:t>agrément du pousseur « DONAU » (06105358) aux fins de l</w:t>
      </w:r>
      <w:r w:rsidR="00541CAB" w:rsidRPr="004F2EA1">
        <w:t>’</w:t>
      </w:r>
      <w:r w:rsidRPr="004F2EA1">
        <w:t>utilisation d</w:t>
      </w:r>
      <w:r w:rsidR="00541CAB" w:rsidRPr="004F2EA1">
        <w:t>’</w:t>
      </w:r>
      <w:r w:rsidRPr="004F2EA1">
        <w:t>une installation d</w:t>
      </w:r>
      <w:r w:rsidR="00541CAB" w:rsidRPr="004F2EA1">
        <w:t>’</w:t>
      </w:r>
      <w:r w:rsidRPr="004F2EA1">
        <w:t>extinction d</w:t>
      </w:r>
      <w:r w:rsidR="00541CAB" w:rsidRPr="004F2EA1">
        <w:t>’</w:t>
      </w:r>
      <w:r w:rsidRPr="004F2EA1">
        <w:t>incendie générant un aérosol sec (Fire Pro).</w:t>
      </w:r>
    </w:p>
    <w:p w:rsidR="007C2D10" w:rsidRPr="004F2EA1" w:rsidRDefault="00C26023" w:rsidP="001514F1">
      <w:pPr>
        <w:pStyle w:val="SingleTxtG"/>
        <w:ind w:firstLine="567"/>
      </w:pPr>
      <w:r w:rsidRPr="004F2EA1">
        <w:t>Conformément au paragraphe 1.5.3.2 du Règlement annexé à l</w:t>
      </w:r>
      <w:r w:rsidR="00541CAB" w:rsidRPr="004F2EA1">
        <w:t>’</w:t>
      </w:r>
      <w:r w:rsidRPr="004F2EA1">
        <w:t xml:space="preserve">ADN, le bateau susmentionné peut déroger </w:t>
      </w:r>
      <w:r w:rsidR="001C684F" w:rsidRPr="004F2EA1">
        <w:t xml:space="preserve">à la prescription du paragraphe </w:t>
      </w:r>
      <w:r w:rsidRPr="004F2EA1">
        <w:t>9.1.0.40.2.1 jusqu</w:t>
      </w:r>
      <w:r w:rsidR="00541CAB" w:rsidRPr="004F2EA1">
        <w:t>’</w:t>
      </w:r>
      <w:r w:rsidRPr="004F2EA1">
        <w:t>au 31 décembre 2018. Agent extincteur : l</w:t>
      </w:r>
      <w:r w:rsidR="00541CAB" w:rsidRPr="004F2EA1">
        <w:t>’</w:t>
      </w:r>
      <w:r w:rsidRPr="004F2EA1">
        <w:t>agent extincteur n</w:t>
      </w:r>
      <w:r w:rsidR="00541CAB" w:rsidRPr="004F2EA1">
        <w:t>’</w:t>
      </w:r>
      <w:r w:rsidRPr="004F2EA1">
        <w:t>est pas indiqué dans le paragraphe. Le bateau est équipé d</w:t>
      </w:r>
      <w:r w:rsidR="00541CAB" w:rsidRPr="004F2EA1">
        <w:t>’</w:t>
      </w:r>
      <w:r w:rsidRPr="004F2EA1">
        <w:t>une installation d</w:t>
      </w:r>
      <w:r w:rsidR="00541CAB" w:rsidRPr="004F2EA1">
        <w:t>’</w:t>
      </w:r>
      <w:r w:rsidRPr="004F2EA1">
        <w:t>extinction d</w:t>
      </w:r>
      <w:r w:rsidR="00541CAB" w:rsidRPr="004F2EA1">
        <w:t>’</w:t>
      </w:r>
      <w:r w:rsidRPr="004F2EA1">
        <w:t>incendie générant un aérosol sec, fixée à demeure (Fire Pro).</w:t>
      </w:r>
    </w:p>
    <w:p w:rsidR="007C2D10" w:rsidRPr="004F2EA1" w:rsidRDefault="00C26023" w:rsidP="001514F1">
      <w:pPr>
        <w:pStyle w:val="SingleTxtG"/>
        <w:ind w:firstLine="567"/>
      </w:pPr>
      <w:r w:rsidRPr="004F2EA1">
        <w:t>Le Comité d</w:t>
      </w:r>
      <w:r w:rsidR="00541CAB" w:rsidRPr="004F2EA1">
        <w:t>’</w:t>
      </w:r>
      <w:r w:rsidRPr="004F2EA1">
        <w:t>administration décide que l</w:t>
      </w:r>
      <w:r w:rsidR="00541CAB" w:rsidRPr="004F2EA1">
        <w:t>’</w:t>
      </w:r>
      <w:r w:rsidRPr="004F2EA1">
        <w:t>utilisation de cette installation d</w:t>
      </w:r>
      <w:r w:rsidR="00541CAB" w:rsidRPr="004F2EA1">
        <w:t>’</w:t>
      </w:r>
      <w:r w:rsidRPr="004F2EA1">
        <w:t>extinction d</w:t>
      </w:r>
      <w:r w:rsidR="00541CAB" w:rsidRPr="004F2EA1">
        <w:t>’</w:t>
      </w:r>
      <w:r w:rsidRPr="004F2EA1">
        <w:t>incendie générant un aérosol sec est réputée suffisamment sûre si les conditions posées par la Commission centrale pour la navigation du Rhin (CCNR)</w:t>
      </w:r>
      <w:r w:rsidR="001514F1" w:rsidRPr="004F2EA1">
        <w:rPr>
          <w:rStyle w:val="FootnoteReference"/>
          <w:sz w:val="20"/>
          <w:vertAlign w:val="baseline"/>
        </w:rPr>
        <w:footnoteReference w:customMarkFollows="1" w:id="3"/>
        <w:t>*</w:t>
      </w:r>
      <w:r w:rsidRPr="004F2EA1">
        <w:t xml:space="preserve"> sont respectées en toute circonstance.</w:t>
      </w:r>
    </w:p>
    <w:p w:rsidR="007C2D10" w:rsidRPr="004F2EA1" w:rsidRDefault="00C26023" w:rsidP="001514F1">
      <w:pPr>
        <w:pStyle w:val="SingleTxtG"/>
        <w:ind w:firstLine="567"/>
      </w:pPr>
      <w:r w:rsidRPr="004F2EA1">
        <w:rPr>
          <w:lang w:val="fr-FR"/>
        </w:rPr>
        <w:t>Les conditions ci-après s</w:t>
      </w:r>
      <w:r w:rsidR="00541CAB" w:rsidRPr="004F2EA1">
        <w:rPr>
          <w:lang w:val="fr-FR"/>
        </w:rPr>
        <w:t>’</w:t>
      </w:r>
      <w:r w:rsidRPr="004F2EA1">
        <w:rPr>
          <w:lang w:val="fr-FR"/>
        </w:rPr>
        <w:t>appliquent également</w:t>
      </w:r>
      <w:r w:rsidR="001514F1" w:rsidRPr="004F2EA1">
        <w:rPr>
          <w:lang w:val="fr-FR"/>
        </w:rPr>
        <w:t> </w:t>
      </w:r>
      <w:r w:rsidRPr="004F2EA1">
        <w:rPr>
          <w:lang w:val="fr-FR"/>
        </w:rPr>
        <w:t>:</w:t>
      </w:r>
    </w:p>
    <w:p w:rsidR="007C2D10" w:rsidRPr="004F2EA1" w:rsidRDefault="00C26023" w:rsidP="00541CAB">
      <w:pPr>
        <w:pStyle w:val="SingleTxtG"/>
      </w:pPr>
      <w:r w:rsidRPr="004F2EA1">
        <w:t>1.</w:t>
      </w:r>
      <w:r w:rsidRPr="004F2EA1">
        <w:tab/>
        <w:t>Toutes les données concernant l</w:t>
      </w:r>
      <w:r w:rsidR="00541CAB" w:rsidRPr="004F2EA1">
        <w:t>’</w:t>
      </w:r>
      <w:r w:rsidRPr="004F2EA1">
        <w:t>utilisation de l</w:t>
      </w:r>
      <w:r w:rsidR="00541CAB" w:rsidRPr="004F2EA1">
        <w:t>’</w:t>
      </w:r>
      <w:r w:rsidRPr="004F2EA1">
        <w:t>installation d</w:t>
      </w:r>
      <w:r w:rsidR="00541CAB" w:rsidRPr="004F2EA1">
        <w:t>’</w:t>
      </w:r>
      <w:r w:rsidRPr="004F2EA1">
        <w:t>extinction d</w:t>
      </w:r>
      <w:r w:rsidR="00541CAB" w:rsidRPr="004F2EA1">
        <w:t>’</w:t>
      </w:r>
      <w:r w:rsidRPr="004F2EA1">
        <w:t>incendie générant un aérosol sec (Fire Pro) sont recueillies par le transporteur. Les données sont envoyées, sur demande, à l</w:t>
      </w:r>
      <w:r w:rsidR="00541CAB" w:rsidRPr="004F2EA1">
        <w:t>’</w:t>
      </w:r>
      <w:r w:rsidRPr="004F2EA1">
        <w:t>autorité compétente.</w:t>
      </w:r>
    </w:p>
    <w:p w:rsidR="007C2D10" w:rsidRPr="004F2EA1" w:rsidRDefault="00C26023" w:rsidP="00541CAB">
      <w:pPr>
        <w:pStyle w:val="SingleTxtG"/>
      </w:pPr>
      <w:r w:rsidRPr="004F2EA1">
        <w:t>2.</w:t>
      </w:r>
      <w:r w:rsidRPr="004F2EA1">
        <w:tab/>
        <w:t>Après utilisation de l</w:t>
      </w:r>
      <w:r w:rsidR="00541CAB" w:rsidRPr="004F2EA1">
        <w:t>’</w:t>
      </w:r>
      <w:r w:rsidRPr="004F2EA1">
        <w:t>installation d</w:t>
      </w:r>
      <w:r w:rsidR="00541CAB" w:rsidRPr="004F2EA1">
        <w:t>’</w:t>
      </w:r>
      <w:r w:rsidRPr="004F2EA1">
        <w:t>extinction d</w:t>
      </w:r>
      <w:r w:rsidR="00541CAB" w:rsidRPr="004F2EA1">
        <w:t>’</w:t>
      </w:r>
      <w:r w:rsidRPr="004F2EA1">
        <w:t>incendie fixée à demeure, un rapport d</w:t>
      </w:r>
      <w:r w:rsidR="00541CAB" w:rsidRPr="004F2EA1">
        <w:t>’</w:t>
      </w:r>
      <w:r w:rsidRPr="004F2EA1">
        <w:t>évaluation est adressé au secrétariat de la CEE pour informer le Comité d</w:t>
      </w:r>
      <w:r w:rsidR="00541CAB" w:rsidRPr="004F2EA1">
        <w:t>’</w:t>
      </w:r>
      <w:r w:rsidRPr="004F2EA1">
        <w:t>administration, lequel rapport comprend notamment les données de fonctionnement et le rapport d</w:t>
      </w:r>
      <w:r w:rsidR="00541CAB" w:rsidRPr="004F2EA1">
        <w:t>’</w:t>
      </w:r>
      <w:r w:rsidRPr="004F2EA1">
        <w:t>inspection établi par la société ayant procédé à la classification du bateau.</w:t>
      </w:r>
    </w:p>
    <w:p w:rsidR="00423BA9" w:rsidRPr="004F2EA1" w:rsidRDefault="001514F1" w:rsidP="001514F1">
      <w:pPr>
        <w:pStyle w:val="SingleTxtG"/>
        <w:spacing w:before="240" w:after="0"/>
        <w:jc w:val="center"/>
        <w:rPr>
          <w:u w:val="single"/>
        </w:rPr>
      </w:pPr>
      <w:r w:rsidRPr="004F2EA1">
        <w:rPr>
          <w:u w:val="single"/>
        </w:rPr>
        <w:tab/>
      </w:r>
      <w:r w:rsidRPr="004F2EA1">
        <w:rPr>
          <w:u w:val="single"/>
        </w:rPr>
        <w:tab/>
      </w:r>
      <w:r w:rsidRPr="004F2EA1">
        <w:rPr>
          <w:u w:val="single"/>
        </w:rPr>
        <w:tab/>
      </w:r>
    </w:p>
    <w:sectPr w:rsidR="00423BA9" w:rsidRPr="004F2EA1" w:rsidSect="00423BA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75" w:rsidRDefault="00C57375" w:rsidP="00F95C08">
      <w:pPr>
        <w:spacing w:line="240" w:lineRule="auto"/>
      </w:pPr>
    </w:p>
  </w:endnote>
  <w:endnote w:type="continuationSeparator" w:id="0">
    <w:p w:rsidR="00C57375" w:rsidRPr="00AC3823" w:rsidRDefault="00C57375" w:rsidP="00AC3823">
      <w:pPr>
        <w:pStyle w:val="Footer"/>
      </w:pPr>
    </w:p>
  </w:endnote>
  <w:endnote w:type="continuationNotice" w:id="1">
    <w:p w:rsidR="00C57375" w:rsidRDefault="00C573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A9" w:rsidRPr="00423BA9" w:rsidRDefault="00423BA9" w:rsidP="00423BA9">
    <w:pPr>
      <w:pStyle w:val="Footer"/>
      <w:tabs>
        <w:tab w:val="right" w:pos="9638"/>
      </w:tabs>
    </w:pPr>
    <w:r w:rsidRPr="00423BA9">
      <w:rPr>
        <w:b/>
        <w:sz w:val="18"/>
      </w:rPr>
      <w:fldChar w:fldCharType="begin"/>
    </w:r>
    <w:r w:rsidRPr="00423BA9">
      <w:rPr>
        <w:b/>
        <w:sz w:val="18"/>
      </w:rPr>
      <w:instrText xml:space="preserve"> PAGE  \* MERGEFORMAT </w:instrText>
    </w:r>
    <w:r w:rsidRPr="00423BA9">
      <w:rPr>
        <w:b/>
        <w:sz w:val="18"/>
      </w:rPr>
      <w:fldChar w:fldCharType="separate"/>
    </w:r>
    <w:r w:rsidR="005234DA">
      <w:rPr>
        <w:b/>
        <w:noProof/>
        <w:sz w:val="18"/>
      </w:rPr>
      <w:t>4</w:t>
    </w:r>
    <w:r w:rsidRPr="00423BA9">
      <w:rPr>
        <w:b/>
        <w:sz w:val="18"/>
      </w:rPr>
      <w:fldChar w:fldCharType="end"/>
    </w:r>
    <w:r>
      <w:rPr>
        <w:b/>
        <w:sz w:val="18"/>
      </w:rPr>
      <w:tab/>
    </w:r>
    <w:r>
      <w:t>GE.16-15050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A9" w:rsidRPr="00423BA9" w:rsidRDefault="00423BA9" w:rsidP="00423BA9">
    <w:pPr>
      <w:pStyle w:val="Footer"/>
      <w:tabs>
        <w:tab w:val="right" w:pos="9638"/>
      </w:tabs>
      <w:rPr>
        <w:b/>
        <w:sz w:val="18"/>
      </w:rPr>
    </w:pPr>
    <w:r>
      <w:t>GE.16-15050</w:t>
    </w:r>
    <w:r>
      <w:tab/>
    </w:r>
    <w:r w:rsidRPr="00423BA9">
      <w:rPr>
        <w:b/>
        <w:sz w:val="18"/>
      </w:rPr>
      <w:fldChar w:fldCharType="begin"/>
    </w:r>
    <w:r w:rsidRPr="00423BA9">
      <w:rPr>
        <w:b/>
        <w:sz w:val="18"/>
      </w:rPr>
      <w:instrText xml:space="preserve"> PAGE  \* MERGEFORMAT </w:instrText>
    </w:r>
    <w:r w:rsidRPr="00423BA9">
      <w:rPr>
        <w:b/>
        <w:sz w:val="18"/>
      </w:rPr>
      <w:fldChar w:fldCharType="separate"/>
    </w:r>
    <w:r w:rsidR="005234DA">
      <w:rPr>
        <w:b/>
        <w:noProof/>
        <w:sz w:val="18"/>
      </w:rPr>
      <w:t>3</w:t>
    </w:r>
    <w:r w:rsidRPr="00423B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423BA9" w:rsidRDefault="00423BA9" w:rsidP="00423BA9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84776FB" wp14:editId="68AC732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16-15050  (F)    251116    2</w:t>
    </w:r>
    <w:r w:rsidR="00C26023">
      <w:rPr>
        <w:sz w:val="20"/>
      </w:rPr>
      <w:t>9</w:t>
    </w:r>
    <w:r>
      <w:rPr>
        <w:sz w:val="20"/>
      </w:rPr>
      <w:t>1116</w:t>
    </w:r>
    <w:r>
      <w:rPr>
        <w:sz w:val="20"/>
      </w:rPr>
      <w:br/>
    </w:r>
    <w:r w:rsidRPr="00423BA9">
      <w:rPr>
        <w:rFonts w:ascii="C39T30Lfz" w:hAnsi="C39T30Lfz"/>
        <w:sz w:val="56"/>
      </w:rPr>
      <w:t></w:t>
    </w:r>
    <w:r w:rsidRPr="00423BA9">
      <w:rPr>
        <w:rFonts w:ascii="C39T30Lfz" w:hAnsi="C39T30Lfz"/>
        <w:sz w:val="56"/>
      </w:rPr>
      <w:t></w:t>
    </w:r>
    <w:r w:rsidRPr="00423BA9">
      <w:rPr>
        <w:rFonts w:ascii="C39T30Lfz" w:hAnsi="C39T30Lfz"/>
        <w:sz w:val="56"/>
      </w:rPr>
      <w:t></w:t>
    </w:r>
    <w:r w:rsidRPr="00423BA9">
      <w:rPr>
        <w:rFonts w:ascii="C39T30Lfz" w:hAnsi="C39T30Lfz"/>
        <w:sz w:val="56"/>
      </w:rPr>
      <w:t></w:t>
    </w:r>
    <w:r w:rsidRPr="00423BA9">
      <w:rPr>
        <w:rFonts w:ascii="C39T30Lfz" w:hAnsi="C39T30Lfz"/>
        <w:sz w:val="56"/>
      </w:rPr>
      <w:t></w:t>
    </w:r>
    <w:r w:rsidRPr="00423BA9">
      <w:rPr>
        <w:rFonts w:ascii="C39T30Lfz" w:hAnsi="C39T30Lfz"/>
        <w:sz w:val="56"/>
      </w:rPr>
      <w:t></w:t>
    </w:r>
    <w:r w:rsidRPr="00423BA9">
      <w:rPr>
        <w:rFonts w:ascii="C39T30Lfz" w:hAnsi="C39T30Lfz"/>
        <w:sz w:val="56"/>
      </w:rPr>
      <w:t></w:t>
    </w:r>
    <w:r w:rsidRPr="00423BA9">
      <w:rPr>
        <w:rFonts w:ascii="C39T30Lfz" w:hAnsi="C39T30Lfz"/>
        <w:sz w:val="56"/>
      </w:rPr>
      <w:t></w:t>
    </w:r>
    <w:r w:rsidRPr="00423BA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2" name="Image 1" descr="http://undocs.org/m2/QRCode.ashx?DS=ECE/ADN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ADN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75" w:rsidRPr="00AC3823" w:rsidRDefault="00C573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7375" w:rsidRPr="00AC3823" w:rsidRDefault="00C5737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57375" w:rsidRPr="00AC3823" w:rsidRDefault="00C57375">
      <w:pPr>
        <w:spacing w:line="240" w:lineRule="auto"/>
        <w:rPr>
          <w:sz w:val="2"/>
          <w:szCs w:val="2"/>
        </w:rPr>
      </w:pPr>
    </w:p>
  </w:footnote>
  <w:footnote w:id="2">
    <w:p w:rsidR="0028505D" w:rsidRPr="0028505D" w:rsidRDefault="0028505D">
      <w:pPr>
        <w:pStyle w:val="FootnoteText"/>
      </w:pPr>
      <w:r>
        <w:rPr>
          <w:rStyle w:val="FootnoteReference"/>
        </w:rPr>
        <w:tab/>
      </w:r>
      <w:r w:rsidRPr="0028505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8505D">
        <w:rPr>
          <w:szCs w:val="18"/>
          <w:lang w:val="fr-FR"/>
        </w:rPr>
        <w:t>Diffusé en langue allemande par la Commission centrale pour la navigation du Rhin sous la cote CCNR/ZKR/ADN/38.</w:t>
      </w:r>
    </w:p>
  </w:footnote>
  <w:footnote w:id="3">
    <w:p w:rsidR="001514F1" w:rsidRPr="001514F1" w:rsidRDefault="001514F1">
      <w:pPr>
        <w:pStyle w:val="FootnoteText"/>
      </w:pPr>
      <w:r>
        <w:rPr>
          <w:rStyle w:val="FootnoteReference"/>
        </w:rPr>
        <w:tab/>
      </w:r>
      <w:r w:rsidRPr="001514F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V</w:t>
      </w:r>
      <w:r w:rsidRPr="001D4548">
        <w:t>oir le document informel INF.3 présenté à la vingt-huitième session du Comité de sécurité de l’ADN, à l’adresse</w:t>
      </w:r>
      <w:r>
        <w:t> </w:t>
      </w:r>
      <w:r>
        <w:rPr>
          <w:lang w:val="fr-FR"/>
        </w:rPr>
        <w:t xml:space="preserve">: </w:t>
      </w:r>
      <w:hyperlink r:id="rId1" w:history="1">
        <w:r w:rsidRPr="001D4548">
          <w:rPr>
            <w:rStyle w:val="Hyperlink"/>
          </w:rPr>
          <w:t>http://www.unece.org/fileadmin/DAM/trans/doc/2016/dgwp15ac2/WP15-AC2-28-inf03e.pdf</w:t>
        </w:r>
      </w:hyperlink>
      <w:r>
        <w:t xml:space="preserve">, et le document informel </w:t>
      </w:r>
      <w:r>
        <w:rPr>
          <w:lang w:val="fr-FR"/>
        </w:rPr>
        <w:t xml:space="preserve">INF.30 présenté à la vingt-neuvième session </w:t>
      </w:r>
      <w:r>
        <w:t>du Comité de sécurité de l’ADN,</w:t>
      </w:r>
      <w:r w:rsidRPr="001D4548">
        <w:t xml:space="preserve"> à l’adresse</w:t>
      </w:r>
      <w:r>
        <w:t> </w:t>
      </w:r>
      <w:r>
        <w:rPr>
          <w:lang w:val="fr-FR"/>
        </w:rPr>
        <w:t xml:space="preserve">: </w:t>
      </w:r>
      <w:r w:rsidRPr="001D4548">
        <w:rPr>
          <w:rStyle w:val="Hyperlink"/>
        </w:rPr>
        <w:t>http://www.unece.org/fileadmin/DAM/trans/doc/2016/</w:t>
      </w:r>
      <w:r>
        <w:rPr>
          <w:rStyle w:val="Hyperlink"/>
        </w:rPr>
        <w:br/>
      </w:r>
      <w:r w:rsidRPr="001D4548">
        <w:rPr>
          <w:rStyle w:val="Hyperlink"/>
        </w:rPr>
        <w:t>dgwp15ac2/WP15-AC2-29-inf30e.pdf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A9" w:rsidRPr="00423BA9" w:rsidRDefault="00423BA9">
    <w:pPr>
      <w:pStyle w:val="Header"/>
    </w:pPr>
    <w:r>
      <w:t>ECE/ADN/38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A9" w:rsidRPr="00423BA9" w:rsidRDefault="00423BA9" w:rsidP="00423BA9">
    <w:pPr>
      <w:pStyle w:val="Header"/>
      <w:jc w:val="right"/>
    </w:pPr>
    <w:r>
      <w:t>ECE/ADN/38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75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14F1"/>
    <w:rsid w:val="001541D3"/>
    <w:rsid w:val="00176178"/>
    <w:rsid w:val="001C684F"/>
    <w:rsid w:val="001F525A"/>
    <w:rsid w:val="00223272"/>
    <w:rsid w:val="0024779E"/>
    <w:rsid w:val="002832AC"/>
    <w:rsid w:val="0028505D"/>
    <w:rsid w:val="002D7C93"/>
    <w:rsid w:val="00423BA9"/>
    <w:rsid w:val="00441C3B"/>
    <w:rsid w:val="00446B0A"/>
    <w:rsid w:val="00446FE5"/>
    <w:rsid w:val="00452396"/>
    <w:rsid w:val="004E468C"/>
    <w:rsid w:val="004F2EA1"/>
    <w:rsid w:val="005234DA"/>
    <w:rsid w:val="005316B0"/>
    <w:rsid w:val="00541CAB"/>
    <w:rsid w:val="005505B7"/>
    <w:rsid w:val="00573BE5"/>
    <w:rsid w:val="00586ED3"/>
    <w:rsid w:val="00596491"/>
    <w:rsid w:val="00596AA9"/>
    <w:rsid w:val="005E4599"/>
    <w:rsid w:val="005F1910"/>
    <w:rsid w:val="00706363"/>
    <w:rsid w:val="0071601D"/>
    <w:rsid w:val="007A62E6"/>
    <w:rsid w:val="0080684C"/>
    <w:rsid w:val="00871C75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C02897"/>
    <w:rsid w:val="00C26023"/>
    <w:rsid w:val="00C57375"/>
    <w:rsid w:val="00CF5FD6"/>
    <w:rsid w:val="00D3439C"/>
    <w:rsid w:val="00D71CBE"/>
    <w:rsid w:val="00DB1831"/>
    <w:rsid w:val="00DD3BFD"/>
    <w:rsid w:val="00DE4F1C"/>
    <w:rsid w:val="00DF6678"/>
    <w:rsid w:val="00E92075"/>
    <w:rsid w:val="00EF2E22"/>
    <w:rsid w:val="00F27106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CF5E0E3-627F-4C0A-AA2C-F6380A7C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06363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06363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paragraph" w:customStyle="1" w:styleId="HChGR">
    <w:name w:val="_ H _Ch_GR"/>
    <w:basedOn w:val="Normal"/>
    <w:next w:val="Normal"/>
    <w:qFormat/>
    <w:rsid w:val="00423BA9"/>
    <w:pPr>
      <w:keepNext/>
      <w:keepLines/>
      <w:tabs>
        <w:tab w:val="right" w:pos="851"/>
      </w:tabs>
      <w:kinsoku/>
      <w:overflowPunct/>
      <w:autoSpaceDE/>
      <w:autoSpaceDN/>
      <w:adjustRightInd/>
      <w:snapToGrid/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423BA9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C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CAB"/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semiHidden/>
    <w:rsid w:val="00541CAB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fileadmin/DAM/trans/doc/2016/dgwp15ac2/WP15-AC2-28-inf03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5B5A-DCC1-402A-A667-E238D270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ECE/ADN/38</vt:lpstr>
      <vt:lpstr>ECE/ADN/38</vt:lpstr>
    </vt:vector>
  </TitlesOfParts>
  <Company>DCM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ECE/ADN/38</dc:title>
  <dc:subject/>
  <dc:creator>Moret</dc:creator>
  <cp:keywords/>
  <dc:description/>
  <cp:lastModifiedBy>Lucille</cp:lastModifiedBy>
  <cp:revision>2</cp:revision>
  <cp:lastPrinted>2016-11-28T14:48:00Z</cp:lastPrinted>
  <dcterms:created xsi:type="dcterms:W3CDTF">2016-11-29T16:48:00Z</dcterms:created>
  <dcterms:modified xsi:type="dcterms:W3CDTF">2016-11-29T16:48:00Z</dcterms:modified>
</cp:coreProperties>
</file>