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1C57D7FA" w14:textId="77777777" w:rsidTr="00691F20">
        <w:trPr>
          <w:cantSplit/>
          <w:trHeight w:hRule="exact" w:val="851"/>
        </w:trPr>
        <w:tc>
          <w:tcPr>
            <w:tcW w:w="9639" w:type="dxa"/>
            <w:tcBorders>
              <w:bottom w:val="single" w:sz="4" w:space="0" w:color="auto"/>
            </w:tcBorders>
            <w:vAlign w:val="bottom"/>
          </w:tcPr>
          <w:p w14:paraId="5E91D9A8" w14:textId="38177A30" w:rsidR="0099001C" w:rsidRPr="0099001C" w:rsidRDefault="0099001C" w:rsidP="00040C4C">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040C4C">
              <w:rPr>
                <w:b/>
                <w:sz w:val="40"/>
                <w:szCs w:val="40"/>
              </w:rPr>
              <w:t>37</w:t>
            </w:r>
          </w:p>
        </w:tc>
      </w:tr>
      <w:tr w:rsidR="0099001C" w14:paraId="2B3B92E7" w14:textId="77777777" w:rsidTr="008B6E26">
        <w:trPr>
          <w:cantSplit/>
          <w:trHeight w:hRule="exact" w:val="3114"/>
        </w:trPr>
        <w:tc>
          <w:tcPr>
            <w:tcW w:w="9639" w:type="dxa"/>
            <w:tcBorders>
              <w:top w:val="single" w:sz="4" w:space="0" w:color="auto"/>
            </w:tcBorders>
          </w:tcPr>
          <w:p w14:paraId="71055268"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74374FA5" w14:textId="4FB347C7"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040C4C">
              <w:rPr>
                <w:b/>
                <w:lang w:val="en-US"/>
              </w:rPr>
              <w:t>7</w:t>
            </w:r>
            <w:r w:rsidRPr="001B03EA">
              <w:rPr>
                <w:b/>
                <w:lang w:val="en-US"/>
              </w:rPr>
              <w:t xml:space="preserve"> </w:t>
            </w:r>
            <w:r w:rsidR="00966016">
              <w:rPr>
                <w:b/>
                <w:lang w:val="en-US"/>
              </w:rPr>
              <w:t>December</w:t>
            </w:r>
            <w:r w:rsidRPr="001B03EA">
              <w:rPr>
                <w:b/>
                <w:lang w:val="en-US"/>
              </w:rPr>
              <w:t xml:space="preserve"> 2016</w:t>
            </w:r>
          </w:p>
          <w:p w14:paraId="08F7747E" w14:textId="77777777" w:rsidR="00965932" w:rsidRPr="001B03EA" w:rsidRDefault="00965932" w:rsidP="00965932">
            <w:pPr>
              <w:jc w:val="both"/>
              <w:rPr>
                <w:b/>
              </w:rPr>
            </w:pPr>
          </w:p>
          <w:p w14:paraId="183CA984" w14:textId="77777777" w:rsidR="00965932" w:rsidRPr="001B03EA" w:rsidRDefault="00965932" w:rsidP="00965932">
            <w:pPr>
              <w:jc w:val="both"/>
            </w:pPr>
            <w:r w:rsidRPr="001B03EA">
              <w:rPr>
                <w:b/>
              </w:rPr>
              <w:t>Thirty-</w:t>
            </w:r>
            <w:r>
              <w:rPr>
                <w:b/>
              </w:rPr>
              <w:t>second</w:t>
            </w:r>
            <w:r w:rsidRPr="001B03EA">
              <w:rPr>
                <w:b/>
              </w:rPr>
              <w:t xml:space="preserve"> session</w:t>
            </w:r>
            <w:r w:rsidRPr="001B03EA">
              <w:t xml:space="preserve"> </w:t>
            </w:r>
          </w:p>
          <w:p w14:paraId="6A3FF914" w14:textId="77777777" w:rsidR="00965932" w:rsidRPr="001B03EA" w:rsidRDefault="00965932" w:rsidP="00965932">
            <w:pPr>
              <w:jc w:val="both"/>
            </w:pPr>
            <w:r w:rsidRPr="001B03EA">
              <w:t xml:space="preserve">Geneva, </w:t>
            </w:r>
            <w:r>
              <w:t>7-9</w:t>
            </w:r>
            <w:r w:rsidRPr="001B03EA">
              <w:t xml:space="preserve"> </w:t>
            </w:r>
            <w:r>
              <w:t xml:space="preserve">December </w:t>
            </w:r>
            <w:r w:rsidRPr="001B03EA">
              <w:t>2016</w:t>
            </w:r>
          </w:p>
          <w:p w14:paraId="33436316" w14:textId="046C8466" w:rsidR="00965932" w:rsidRPr="001B03EA" w:rsidRDefault="00965932" w:rsidP="00965932">
            <w:pPr>
              <w:spacing w:before="40"/>
            </w:pPr>
            <w:r w:rsidRPr="001B03EA">
              <w:t xml:space="preserve">Item </w:t>
            </w:r>
            <w:r w:rsidR="00C031C3">
              <w:t>3 (c</w:t>
            </w:r>
            <w:r>
              <w:t>)</w:t>
            </w:r>
            <w:r w:rsidRPr="001B03EA">
              <w:t xml:space="preserve"> of the provisional agenda</w:t>
            </w:r>
          </w:p>
          <w:p w14:paraId="307FA076" w14:textId="2EAEBF54" w:rsidR="0099001C" w:rsidRPr="00C031C3" w:rsidRDefault="00C031C3" w:rsidP="00965932">
            <w:pPr>
              <w:spacing w:line="240" w:lineRule="exact"/>
              <w:rPr>
                <w:b/>
              </w:rPr>
            </w:pPr>
            <w:r>
              <w:rPr>
                <w:b/>
              </w:rPr>
              <w:t>Hazard communication issues: miscellaneous</w:t>
            </w:r>
          </w:p>
        </w:tc>
      </w:tr>
    </w:tbl>
    <w:p w14:paraId="277F7F10" w14:textId="4E403A2A" w:rsidR="00965932" w:rsidRPr="006F2710" w:rsidRDefault="00965932" w:rsidP="00CC65B7">
      <w:pPr>
        <w:pStyle w:val="HChG"/>
      </w:pPr>
      <w:r w:rsidRPr="009E7ABD">
        <w:rPr>
          <w:rFonts w:eastAsia="MS Mincho"/>
          <w:lang w:val="en-US" w:eastAsia="ja-JP"/>
        </w:rPr>
        <w:tab/>
      </w:r>
      <w:r>
        <w:rPr>
          <w:rFonts w:eastAsia="MS Mincho"/>
          <w:lang w:val="en-US" w:eastAsia="ja-JP"/>
        </w:rPr>
        <w:tab/>
      </w:r>
      <w:r w:rsidR="00C031C3">
        <w:t>Comments on IC</w:t>
      </w:r>
      <w:r w:rsidR="00A66AE2">
        <w:t>M</w:t>
      </w:r>
      <w:r w:rsidR="00C031C3">
        <w:t>M’s proposal to amend Annex 4</w:t>
      </w:r>
    </w:p>
    <w:p w14:paraId="613A45CD" w14:textId="772B7E37" w:rsidR="0034626E" w:rsidRPr="0034626E" w:rsidRDefault="00965932" w:rsidP="0034626E">
      <w:pPr>
        <w:pStyle w:val="H1G"/>
        <w:rPr>
          <w:rFonts w:eastAsia="MS Mincho"/>
          <w:b w:val="0"/>
        </w:rPr>
      </w:pPr>
      <w:r w:rsidRPr="00DC0E36">
        <w:rPr>
          <w:rFonts w:eastAsia="MS Mincho"/>
        </w:rPr>
        <w:tab/>
      </w:r>
      <w:r w:rsidRPr="00DC0E36">
        <w:rPr>
          <w:rFonts w:eastAsia="MS Mincho"/>
        </w:rPr>
        <w:tab/>
      </w:r>
      <w:r>
        <w:rPr>
          <w:rFonts w:eastAsia="MS Mincho"/>
        </w:rPr>
        <w:t xml:space="preserve">Transmitted by the expert from the United </w:t>
      </w:r>
      <w:r w:rsidR="00966016">
        <w:rPr>
          <w:rFonts w:eastAsia="MS Mincho"/>
        </w:rPr>
        <w:t>States</w:t>
      </w:r>
      <w:r w:rsidR="00CF7436">
        <w:rPr>
          <w:rFonts w:eastAsia="MS Mincho"/>
        </w:rPr>
        <w:t xml:space="preserve"> of America</w:t>
      </w:r>
    </w:p>
    <w:p w14:paraId="4D350D17" w14:textId="71AC63D7" w:rsidR="0034626E" w:rsidRPr="0034626E" w:rsidRDefault="00767C6B" w:rsidP="00767C6B">
      <w:pPr>
        <w:pStyle w:val="HChG"/>
        <w:rPr>
          <w:rFonts w:eastAsia="MS Mincho"/>
        </w:rPr>
      </w:pPr>
      <w:r>
        <w:rPr>
          <w:rFonts w:eastAsia="MS Mincho"/>
        </w:rPr>
        <w:tab/>
      </w:r>
      <w:r>
        <w:rPr>
          <w:rFonts w:eastAsia="MS Mincho"/>
        </w:rPr>
        <w:tab/>
      </w:r>
      <w:r w:rsidR="0034626E" w:rsidRPr="0034626E">
        <w:rPr>
          <w:rFonts w:eastAsia="MS Mincho"/>
        </w:rPr>
        <w:t>Background</w:t>
      </w:r>
    </w:p>
    <w:p w14:paraId="074402CD" w14:textId="110441BD" w:rsidR="00263ACD" w:rsidRDefault="00965932" w:rsidP="00965932">
      <w:pPr>
        <w:pStyle w:val="SingleTxtG"/>
        <w:rPr>
          <w:rFonts w:eastAsia="MS Mincho"/>
        </w:rPr>
      </w:pPr>
      <w:r w:rsidRPr="00965932">
        <w:rPr>
          <w:rFonts w:eastAsia="MS Mincho"/>
        </w:rPr>
        <w:t>1.</w:t>
      </w:r>
      <w:r w:rsidRPr="00965932">
        <w:rPr>
          <w:rFonts w:eastAsia="MS Mincho"/>
        </w:rPr>
        <w:tab/>
      </w:r>
      <w:r w:rsidR="00966016">
        <w:rPr>
          <w:rFonts w:eastAsia="MS Mincho"/>
        </w:rPr>
        <w:t>W</w:t>
      </w:r>
      <w:r w:rsidRPr="00965932">
        <w:rPr>
          <w:rFonts w:eastAsia="MS Mincho"/>
        </w:rPr>
        <w:t xml:space="preserve">orking </w:t>
      </w:r>
      <w:r w:rsidR="00C031C3">
        <w:rPr>
          <w:rFonts w:eastAsia="MS Mincho"/>
        </w:rPr>
        <w:t>document ST/SG/AC.10/C.4/2106/21</w:t>
      </w:r>
      <w:r w:rsidRPr="00965932">
        <w:rPr>
          <w:rFonts w:eastAsia="MS Mincho"/>
        </w:rPr>
        <w:t xml:space="preserve">, transmitted by the </w:t>
      </w:r>
      <w:r w:rsidR="00C031C3">
        <w:rPr>
          <w:rFonts w:eastAsia="MS Mincho"/>
        </w:rPr>
        <w:t>International Council on Mining and Metals, proposes certain amendments to A.4.3.14.7 and table 1.5.2 related to the way the GHS refers to IMO codes in section 14 of the safety data sheet.  In particular, the GHS currently references only IMO codes related to the transport of liquids, and IC</w:t>
      </w:r>
      <w:r w:rsidR="00A66AE2">
        <w:rPr>
          <w:rFonts w:eastAsia="MS Mincho"/>
        </w:rPr>
        <w:t>M</w:t>
      </w:r>
      <w:r w:rsidR="00C031C3">
        <w:rPr>
          <w:rFonts w:eastAsia="MS Mincho"/>
        </w:rPr>
        <w:t xml:space="preserve">M’s paper intends to generalize the GHS’s discussion to include IMO codes </w:t>
      </w:r>
      <w:r w:rsidR="009456B1">
        <w:rPr>
          <w:rFonts w:eastAsia="MS Mincho"/>
        </w:rPr>
        <w:t>for</w:t>
      </w:r>
      <w:r w:rsidR="00C031C3">
        <w:rPr>
          <w:rFonts w:eastAsia="MS Mincho"/>
        </w:rPr>
        <w:t xml:space="preserve"> other cargoes.  </w:t>
      </w:r>
    </w:p>
    <w:p w14:paraId="572C24F9" w14:textId="6B5AB963" w:rsidR="00456CFB" w:rsidRDefault="00456CFB" w:rsidP="00965932">
      <w:pPr>
        <w:pStyle w:val="SingleTxtG"/>
        <w:rPr>
          <w:rFonts w:eastAsia="MS Mincho"/>
        </w:rPr>
      </w:pPr>
      <w:r>
        <w:rPr>
          <w:rFonts w:eastAsia="MS Mincho"/>
        </w:rPr>
        <w:t>2.</w:t>
      </w:r>
      <w:r>
        <w:rPr>
          <w:rFonts w:eastAsia="MS Mincho"/>
        </w:rPr>
        <w:tab/>
      </w:r>
      <w:r w:rsidR="00E96DB3">
        <w:rPr>
          <w:rFonts w:eastAsia="MS Mincho"/>
        </w:rPr>
        <w:t>While the United States supports this effort, its experts believe that certain technical corrections need to be made to IC</w:t>
      </w:r>
      <w:r w:rsidR="00A66AE2">
        <w:rPr>
          <w:rFonts w:eastAsia="MS Mincho"/>
        </w:rPr>
        <w:t>M</w:t>
      </w:r>
      <w:r w:rsidR="00E96DB3">
        <w:rPr>
          <w:rFonts w:eastAsia="MS Mincho"/>
        </w:rPr>
        <w:t xml:space="preserve">M’s proposal related to its references to the IGC code.  </w:t>
      </w:r>
    </w:p>
    <w:p w14:paraId="402D6E34" w14:textId="77777777" w:rsidR="00E96DB3" w:rsidRDefault="0034626E" w:rsidP="00E96DB3">
      <w:pPr>
        <w:pStyle w:val="SingleTxtG"/>
        <w:rPr>
          <w:rFonts w:eastAsia="MS Mincho"/>
        </w:rPr>
      </w:pPr>
      <w:r>
        <w:rPr>
          <w:rFonts w:eastAsia="MS Mincho"/>
        </w:rPr>
        <w:t xml:space="preserve">3. </w:t>
      </w:r>
      <w:r>
        <w:rPr>
          <w:rFonts w:eastAsia="MS Mincho"/>
        </w:rPr>
        <w:tab/>
      </w:r>
      <w:r w:rsidR="00E96DB3" w:rsidRPr="00E96DB3">
        <w:rPr>
          <w:rFonts w:eastAsia="MS Mincho"/>
        </w:rPr>
        <w:t xml:space="preserve">The IGC Code and its predecessors contain ship construction requirements, as well as cargo carriage requirements, for the carriage of liquefied gases, while the IBC and IMSBC Codes prescribe carriage requirements for bulk liquid and bulk solid cargoes, respectively.  Vessels carrying liquefied gases in bulk must comply with requirements of the Code (GC, </w:t>
      </w:r>
      <w:proofErr w:type="spellStart"/>
      <w:r w:rsidR="00E96DB3" w:rsidRPr="00E96DB3">
        <w:rPr>
          <w:rFonts w:eastAsia="MS Mincho"/>
        </w:rPr>
        <w:t>eGC</w:t>
      </w:r>
      <w:proofErr w:type="spellEnd"/>
      <w:r w:rsidR="00E96DB3" w:rsidRPr="00E96DB3">
        <w:rPr>
          <w:rFonts w:eastAsia="MS Mincho"/>
        </w:rPr>
        <w:t>, or IGC) that was in force when the ship was built, unlike vessels carrying liquids or solids in bulk, which must comply with the version of the Code currently in force.</w:t>
      </w:r>
    </w:p>
    <w:p w14:paraId="07CD4DF2" w14:textId="1CAD0979" w:rsidR="00E96DB3" w:rsidRDefault="00E96DB3" w:rsidP="00E96DB3">
      <w:pPr>
        <w:pStyle w:val="SingleTxtG"/>
        <w:rPr>
          <w:rFonts w:eastAsia="MS Mincho"/>
        </w:rPr>
      </w:pPr>
      <w:r>
        <w:rPr>
          <w:rFonts w:eastAsia="MS Mincho"/>
        </w:rPr>
        <w:t>4.</w:t>
      </w:r>
      <w:r w:rsidR="00040C4C">
        <w:rPr>
          <w:rFonts w:eastAsia="MS Mincho"/>
        </w:rPr>
        <w:tab/>
      </w:r>
      <w:r>
        <w:rPr>
          <w:rFonts w:eastAsia="MS Mincho"/>
        </w:rPr>
        <w:t>However, t</w:t>
      </w:r>
      <w:r w:rsidRPr="00E96DB3">
        <w:rPr>
          <w:rFonts w:eastAsia="MS Mincho"/>
        </w:rPr>
        <w:t>his</w:t>
      </w:r>
      <w:r>
        <w:rPr>
          <w:rFonts w:eastAsia="MS Mincho"/>
        </w:rPr>
        <w:t xml:space="preserve"> distinction is not clear in IC</w:t>
      </w:r>
      <w:r w:rsidR="00A66AE2">
        <w:rPr>
          <w:rFonts w:eastAsia="MS Mincho"/>
        </w:rPr>
        <w:t>M</w:t>
      </w:r>
      <w:r>
        <w:rPr>
          <w:rFonts w:eastAsia="MS Mincho"/>
        </w:rPr>
        <w:t>M’s</w:t>
      </w:r>
      <w:r w:rsidRPr="00E96DB3">
        <w:rPr>
          <w:rFonts w:eastAsia="MS Mincho"/>
        </w:rPr>
        <w:t xml:space="preserve"> proposed amend</w:t>
      </w:r>
      <w:r w:rsidR="00040C4C">
        <w:rPr>
          <w:rFonts w:eastAsia="MS Mincho"/>
        </w:rPr>
        <w:t xml:space="preserve">ments to subsection A4.3.14.7. </w:t>
      </w:r>
      <w:r w:rsidRPr="00E96DB3">
        <w:rPr>
          <w:rFonts w:eastAsia="MS Mincho"/>
        </w:rPr>
        <w:t>Additionally, the phrase "gaseous bulk cargoes" is incorrect in the context of the IGC Code and its predecessors and in the proposed new fourth paragraph in subsection A4.</w:t>
      </w:r>
      <w:r w:rsidR="00040C4C">
        <w:rPr>
          <w:rFonts w:eastAsia="MS Mincho"/>
        </w:rPr>
        <w:t xml:space="preserve">3.14.7. </w:t>
      </w:r>
      <w:r w:rsidRPr="00E96DB3">
        <w:rPr>
          <w:rFonts w:eastAsia="MS Mincho"/>
        </w:rPr>
        <w:t>These Codes apply to "liquefied gases in bu</w:t>
      </w:r>
      <w:r w:rsidR="00040C4C">
        <w:rPr>
          <w:rFonts w:eastAsia="MS Mincho"/>
        </w:rPr>
        <w:t xml:space="preserve">lk" not all "gaseous" cargoes. </w:t>
      </w:r>
      <w:r w:rsidRPr="00E96DB3">
        <w:rPr>
          <w:rFonts w:eastAsia="MS Mincho"/>
        </w:rPr>
        <w:t>These cargoes are liquids and are transferred like liquids.</w:t>
      </w:r>
    </w:p>
    <w:p w14:paraId="553C5F16" w14:textId="03366896" w:rsidR="0034626E" w:rsidRPr="0034626E" w:rsidRDefault="00040C4C" w:rsidP="00040C4C">
      <w:pPr>
        <w:pStyle w:val="HChG"/>
        <w:rPr>
          <w:rFonts w:eastAsia="MS Mincho"/>
        </w:rPr>
      </w:pPr>
      <w:r>
        <w:rPr>
          <w:rFonts w:eastAsia="MS Mincho"/>
        </w:rPr>
        <w:tab/>
      </w:r>
      <w:r>
        <w:rPr>
          <w:rFonts w:eastAsia="MS Mincho"/>
        </w:rPr>
        <w:tab/>
      </w:r>
      <w:r w:rsidR="00E96DB3">
        <w:rPr>
          <w:rFonts w:eastAsia="MS Mincho"/>
        </w:rPr>
        <w:t>Proposal</w:t>
      </w:r>
      <w:r w:rsidR="00767C6B">
        <w:rPr>
          <w:rFonts w:eastAsia="MS Mincho"/>
        </w:rPr>
        <w:tab/>
      </w:r>
      <w:r w:rsidR="00767C6B">
        <w:rPr>
          <w:rFonts w:eastAsia="MS Mincho"/>
        </w:rPr>
        <w:tab/>
      </w:r>
    </w:p>
    <w:p w14:paraId="49E2D87F" w14:textId="1F220652" w:rsidR="00E96DB3" w:rsidRDefault="00040C4C" w:rsidP="00965932">
      <w:pPr>
        <w:pStyle w:val="SingleTxtG"/>
        <w:rPr>
          <w:rFonts w:eastAsia="MS Mincho"/>
        </w:rPr>
      </w:pPr>
      <w:r>
        <w:rPr>
          <w:rFonts w:eastAsia="MS Mincho"/>
        </w:rPr>
        <w:t>5</w:t>
      </w:r>
      <w:r w:rsidR="00D1582D">
        <w:rPr>
          <w:rFonts w:eastAsia="MS Mincho"/>
        </w:rPr>
        <w:t>.</w:t>
      </w:r>
      <w:r w:rsidR="00D1582D">
        <w:rPr>
          <w:rFonts w:eastAsia="MS Mincho"/>
        </w:rPr>
        <w:tab/>
      </w:r>
      <w:r w:rsidR="00E96DB3">
        <w:rPr>
          <w:rFonts w:eastAsia="MS Mincho"/>
        </w:rPr>
        <w:t>In paragraph 9 of IC</w:t>
      </w:r>
      <w:r w:rsidR="00A66AE2">
        <w:rPr>
          <w:rFonts w:eastAsia="MS Mincho"/>
        </w:rPr>
        <w:t>M</w:t>
      </w:r>
      <w:r w:rsidR="00E96DB3">
        <w:rPr>
          <w:rFonts w:eastAsia="MS Mincho"/>
        </w:rPr>
        <w:t>M’s paper should be revised to read (additions underlined):</w:t>
      </w:r>
    </w:p>
    <w:p w14:paraId="2948769A" w14:textId="3C57F2FF" w:rsidR="00E96DB3" w:rsidRDefault="00E96DB3" w:rsidP="00040C4C">
      <w:pPr>
        <w:pStyle w:val="SingleTxtG"/>
        <w:ind w:firstLine="567"/>
        <w:rPr>
          <w:rFonts w:eastAsia="MS Mincho"/>
        </w:rPr>
      </w:pPr>
      <w:r>
        <w:rPr>
          <w:rFonts w:eastAsia="MS Mincho"/>
        </w:rPr>
        <w:t>In Annex 4, subsection A4.3.14.7, first paragraph</w:t>
      </w:r>
    </w:p>
    <w:p w14:paraId="0991C548" w14:textId="77777777" w:rsidR="00E96DB3" w:rsidRPr="00E96DB3" w:rsidRDefault="00E96DB3" w:rsidP="00E96DB3">
      <w:pPr>
        <w:pStyle w:val="SingleTxtG"/>
        <w:ind w:left="1701"/>
        <w:rPr>
          <w:rFonts w:eastAsia="MS Mincho"/>
          <w:lang w:val="en-US"/>
        </w:rPr>
      </w:pPr>
      <w:r w:rsidRPr="00E96DB3">
        <w:rPr>
          <w:rFonts w:eastAsia="MS Mincho"/>
          <w:lang w:val="en-US"/>
        </w:rPr>
        <w:t xml:space="preserve">Replace </w:t>
      </w:r>
      <w:r w:rsidRPr="00E96DB3">
        <w:rPr>
          <w:rFonts w:eastAsia="MS Mincho"/>
          <w:i/>
          <w:iCs/>
          <w:lang w:val="en-US"/>
        </w:rPr>
        <w:t>“This sub-section only applies when cargoes are intended to be carried in bulk according to the following IMO instruments: Annex II of MARPOL 73/789, the IBC code</w:t>
      </w:r>
      <w:r w:rsidRPr="00E96DB3">
        <w:rPr>
          <w:rFonts w:eastAsia="MS Mincho"/>
          <w:i/>
          <w:iCs/>
          <w:vertAlign w:val="superscript"/>
          <w:lang w:val="en-US"/>
        </w:rPr>
        <w:t>10</w:t>
      </w:r>
      <w:r w:rsidRPr="00E96DB3">
        <w:rPr>
          <w:rFonts w:eastAsia="MS Mincho"/>
          <w:i/>
          <w:iCs/>
          <w:lang w:val="en-US"/>
        </w:rPr>
        <w:t>”</w:t>
      </w:r>
      <w:r w:rsidRPr="00E96DB3">
        <w:rPr>
          <w:rFonts w:eastAsia="MS Mincho"/>
          <w:lang w:val="en-US"/>
        </w:rPr>
        <w:t>.</w:t>
      </w:r>
    </w:p>
    <w:p w14:paraId="3849FFB9" w14:textId="77777777" w:rsidR="00E96DB3" w:rsidRPr="00E96DB3" w:rsidRDefault="00E96DB3" w:rsidP="00E96DB3">
      <w:pPr>
        <w:pStyle w:val="SingleTxtG"/>
        <w:ind w:left="1701"/>
        <w:rPr>
          <w:rFonts w:eastAsia="MS Mincho"/>
          <w:lang w:val="en-US"/>
        </w:rPr>
      </w:pPr>
      <w:proofErr w:type="gramStart"/>
      <w:r w:rsidRPr="00E96DB3">
        <w:rPr>
          <w:rFonts w:eastAsia="MS Mincho"/>
          <w:lang w:val="en-US"/>
        </w:rPr>
        <w:lastRenderedPageBreak/>
        <w:t>with</w:t>
      </w:r>
      <w:proofErr w:type="gramEnd"/>
      <w:r w:rsidRPr="00E96DB3">
        <w:rPr>
          <w:rFonts w:eastAsia="MS Mincho"/>
          <w:lang w:val="en-US"/>
        </w:rPr>
        <w:t>:</w:t>
      </w:r>
    </w:p>
    <w:p w14:paraId="09E42843" w14:textId="77777777" w:rsidR="00E96DB3" w:rsidRPr="00E96DB3" w:rsidRDefault="00E96DB3" w:rsidP="00E96DB3">
      <w:pPr>
        <w:pStyle w:val="SingleTxtG"/>
        <w:ind w:left="1701"/>
        <w:rPr>
          <w:rFonts w:eastAsia="MS Mincho"/>
          <w:lang w:val="en-US"/>
        </w:rPr>
      </w:pPr>
      <w:r w:rsidRPr="00E96DB3">
        <w:rPr>
          <w:rFonts w:eastAsia="MS Mincho"/>
          <w:i/>
          <w:iCs/>
          <w:lang w:val="en-US"/>
        </w:rPr>
        <w:t>“This sub-section only applies when cargoes are intended to be carried in bulk according to IMO instruments: e.g., Annex II or Annex V of MARPOL 73/789, the IBC Code</w:t>
      </w:r>
      <w:r w:rsidRPr="00E96DB3">
        <w:rPr>
          <w:rFonts w:eastAsia="MS Mincho"/>
          <w:i/>
          <w:iCs/>
          <w:vertAlign w:val="superscript"/>
          <w:lang w:val="en-US"/>
        </w:rPr>
        <w:t>10</w:t>
      </w:r>
      <w:r w:rsidRPr="00E96DB3">
        <w:rPr>
          <w:rFonts w:eastAsia="MS Mincho"/>
          <w:i/>
          <w:iCs/>
          <w:lang w:val="en-US"/>
        </w:rPr>
        <w:t>, the IMSBC Code</w:t>
      </w:r>
      <w:r w:rsidRPr="00E96DB3">
        <w:rPr>
          <w:rFonts w:eastAsia="MS Mincho"/>
          <w:i/>
          <w:iCs/>
          <w:vertAlign w:val="superscript"/>
          <w:lang w:val="en-US"/>
        </w:rPr>
        <w:t>11</w:t>
      </w:r>
      <w:r w:rsidRPr="00E96DB3">
        <w:rPr>
          <w:rFonts w:eastAsia="MS Mincho"/>
          <w:i/>
          <w:iCs/>
          <w:lang w:val="en-US"/>
        </w:rPr>
        <w:t xml:space="preserve"> and the IGC Code</w:t>
      </w:r>
      <w:r w:rsidRPr="00E96DB3">
        <w:rPr>
          <w:rFonts w:eastAsia="MS Mincho"/>
          <w:i/>
          <w:iCs/>
          <w:vertAlign w:val="superscript"/>
          <w:lang w:val="en-US"/>
        </w:rPr>
        <w:t>12</w:t>
      </w:r>
      <w:r w:rsidRPr="00E96DB3">
        <w:rPr>
          <w:rFonts w:eastAsia="MS Mincho"/>
          <w:i/>
          <w:iCs/>
          <w:lang w:val="en-US"/>
        </w:rPr>
        <w:t xml:space="preserve"> </w:t>
      </w:r>
      <w:r w:rsidRPr="0090442C">
        <w:rPr>
          <w:rFonts w:eastAsia="MS Mincho"/>
          <w:i/>
          <w:iCs/>
          <w:u w:val="single"/>
          <w:lang w:val="en-US"/>
        </w:rPr>
        <w:t xml:space="preserve">(or earlier versions </w:t>
      </w:r>
      <w:proofErr w:type="spellStart"/>
      <w:r w:rsidRPr="0090442C">
        <w:rPr>
          <w:rFonts w:eastAsia="MS Mincho"/>
          <w:i/>
          <w:iCs/>
          <w:u w:val="single"/>
          <w:lang w:val="en-US"/>
        </w:rPr>
        <w:t>eGC</w:t>
      </w:r>
      <w:proofErr w:type="spellEnd"/>
      <w:r w:rsidRPr="0090442C">
        <w:rPr>
          <w:rFonts w:eastAsia="MS Mincho"/>
          <w:i/>
          <w:iCs/>
          <w:u w:val="single"/>
          <w:lang w:val="en-US"/>
        </w:rPr>
        <w:t xml:space="preserve"> and CG)”</w:t>
      </w:r>
      <w:r w:rsidRPr="00E96DB3">
        <w:rPr>
          <w:rFonts w:eastAsia="MS Mincho"/>
          <w:i/>
          <w:iCs/>
          <w:lang w:val="en-US"/>
        </w:rPr>
        <w:t>.</w:t>
      </w:r>
    </w:p>
    <w:p w14:paraId="0E6894CF" w14:textId="369236B3" w:rsidR="0090442C" w:rsidRDefault="00040C4C" w:rsidP="00965932">
      <w:pPr>
        <w:pStyle w:val="SingleTxtG"/>
        <w:rPr>
          <w:rFonts w:eastAsia="MS Mincho"/>
        </w:rPr>
      </w:pPr>
      <w:r>
        <w:rPr>
          <w:rFonts w:eastAsia="MS Mincho"/>
        </w:rPr>
        <w:t>6</w:t>
      </w:r>
      <w:r w:rsidR="00767C6B">
        <w:rPr>
          <w:rFonts w:eastAsia="MS Mincho"/>
        </w:rPr>
        <w:t xml:space="preserve">. </w:t>
      </w:r>
      <w:r w:rsidR="00F42451">
        <w:rPr>
          <w:rFonts w:eastAsia="MS Mincho"/>
        </w:rPr>
        <w:tab/>
      </w:r>
      <w:r w:rsidR="00087675">
        <w:rPr>
          <w:rFonts w:eastAsia="MS Mincho"/>
        </w:rPr>
        <w:t>In paragra</w:t>
      </w:r>
      <w:r w:rsidR="0090442C">
        <w:rPr>
          <w:rFonts w:eastAsia="MS Mincho"/>
        </w:rPr>
        <w:t>ph 10, proposed footnote 12 should be revised to read (deletions shown in strikethrough and additions underlined):</w:t>
      </w:r>
    </w:p>
    <w:p w14:paraId="1CC53977" w14:textId="77777777" w:rsidR="0090442C" w:rsidRPr="0090442C" w:rsidRDefault="0090442C" w:rsidP="0090442C">
      <w:pPr>
        <w:pStyle w:val="SingleTxtG"/>
        <w:ind w:left="1701"/>
        <w:rPr>
          <w:rFonts w:eastAsia="MS Mincho"/>
          <w:lang w:val="en-US"/>
        </w:rPr>
      </w:pPr>
      <w:r w:rsidRPr="0090442C">
        <w:rPr>
          <w:rFonts w:eastAsia="MS Mincho"/>
          <w:i/>
          <w:iCs/>
          <w:vertAlign w:val="superscript"/>
          <w:lang w:val="en-US"/>
        </w:rPr>
        <w:t>12</w:t>
      </w:r>
      <w:r w:rsidRPr="0090442C">
        <w:rPr>
          <w:rFonts w:eastAsia="MS Mincho"/>
          <w:i/>
          <w:iCs/>
          <w:lang w:val="en-US"/>
        </w:rPr>
        <w:t xml:space="preserve"> IGC Code means The International Code of the Construction and Equipment of Ships Carrying Liquefied Gases in Bulk, </w:t>
      </w:r>
      <w:r w:rsidRPr="0090442C">
        <w:rPr>
          <w:rFonts w:eastAsia="MS Mincho"/>
          <w:i/>
          <w:iCs/>
          <w:strike/>
          <w:lang w:val="en-US"/>
        </w:rPr>
        <w:t>as amended,</w:t>
      </w:r>
      <w:r w:rsidRPr="0090442C">
        <w:rPr>
          <w:rFonts w:eastAsia="MS Mincho"/>
          <w:i/>
          <w:iCs/>
          <w:lang w:val="en-US"/>
        </w:rPr>
        <w:t xml:space="preserve"> </w:t>
      </w:r>
      <w:r w:rsidRPr="0090442C">
        <w:rPr>
          <w:rFonts w:eastAsia="MS Mincho"/>
          <w:i/>
          <w:iCs/>
          <w:u w:val="single"/>
          <w:lang w:val="en-US"/>
        </w:rPr>
        <w:t>including applicable amendments to which the vessel has been certified</w:t>
      </w:r>
      <w:r w:rsidRPr="0090442C">
        <w:rPr>
          <w:rFonts w:eastAsia="MS Mincho"/>
          <w:i/>
          <w:iCs/>
          <w:lang w:val="en-US"/>
        </w:rPr>
        <w:t>.</w:t>
      </w:r>
    </w:p>
    <w:p w14:paraId="0BEBB996" w14:textId="6E2396D7" w:rsidR="00087675" w:rsidRDefault="00040C4C" w:rsidP="00965932">
      <w:pPr>
        <w:pStyle w:val="SingleTxtG"/>
        <w:rPr>
          <w:rFonts w:eastAsia="MS Mincho"/>
        </w:rPr>
      </w:pPr>
      <w:r>
        <w:rPr>
          <w:rFonts w:eastAsia="MS Mincho"/>
        </w:rPr>
        <w:t>7</w:t>
      </w:r>
      <w:bookmarkStart w:id="0" w:name="_GoBack"/>
      <w:bookmarkEnd w:id="0"/>
      <w:r w:rsidR="00BA0B53">
        <w:rPr>
          <w:rFonts w:eastAsia="MS Mincho"/>
        </w:rPr>
        <w:t>.</w:t>
      </w:r>
      <w:r w:rsidR="00BA0B53">
        <w:rPr>
          <w:rFonts w:eastAsia="MS Mincho"/>
        </w:rPr>
        <w:tab/>
      </w:r>
      <w:r w:rsidR="00087675">
        <w:rPr>
          <w:rFonts w:eastAsia="MS Mincho"/>
        </w:rPr>
        <w:t xml:space="preserve">The proposed text in paragraph 13 should </w:t>
      </w:r>
      <w:proofErr w:type="gramStart"/>
      <w:r w:rsidR="00087675">
        <w:rPr>
          <w:rFonts w:eastAsia="MS Mincho"/>
        </w:rPr>
        <w:t>revised</w:t>
      </w:r>
      <w:proofErr w:type="gramEnd"/>
      <w:r w:rsidR="00087675">
        <w:rPr>
          <w:rFonts w:eastAsia="MS Mincho"/>
        </w:rPr>
        <w:t xml:space="preserve"> to read </w:t>
      </w:r>
      <w:r w:rsidR="00087675" w:rsidRPr="00087675">
        <w:rPr>
          <w:rFonts w:eastAsia="MS Mincho"/>
        </w:rPr>
        <w:t>deletions shown in strikethrough and additions underlined):</w:t>
      </w:r>
    </w:p>
    <w:p w14:paraId="64597249" w14:textId="153AD3D8" w:rsidR="00087675" w:rsidRPr="00087675" w:rsidRDefault="00087675" w:rsidP="00087675">
      <w:pPr>
        <w:pStyle w:val="SingleTxtG"/>
        <w:ind w:left="1701"/>
        <w:rPr>
          <w:rFonts w:eastAsia="MS Mincho"/>
          <w:lang w:val="en-US"/>
        </w:rPr>
      </w:pPr>
      <w:r w:rsidRPr="00087675">
        <w:rPr>
          <w:rFonts w:eastAsia="MS Mincho"/>
          <w:i/>
          <w:iCs/>
          <w:lang w:val="en-US"/>
        </w:rPr>
        <w:t>“For</w:t>
      </w:r>
      <w:r>
        <w:rPr>
          <w:rFonts w:eastAsia="MS Mincho"/>
          <w:i/>
          <w:iCs/>
          <w:lang w:val="en-US"/>
        </w:rPr>
        <w:t xml:space="preserve"> </w:t>
      </w:r>
      <w:r>
        <w:rPr>
          <w:rFonts w:eastAsia="MS Mincho"/>
          <w:i/>
          <w:iCs/>
          <w:strike/>
          <w:lang w:val="en-US"/>
        </w:rPr>
        <w:t>gaseous bulk cargoes</w:t>
      </w:r>
      <w:r w:rsidRPr="00087675">
        <w:rPr>
          <w:rFonts w:eastAsia="MS Mincho"/>
          <w:i/>
          <w:iCs/>
          <w:lang w:val="en-US"/>
        </w:rPr>
        <w:t xml:space="preserve"> </w:t>
      </w:r>
      <w:r w:rsidRPr="00087675">
        <w:rPr>
          <w:rFonts w:eastAsia="MS Mincho"/>
          <w:i/>
          <w:iCs/>
          <w:u w:val="single"/>
          <w:lang w:val="en-US"/>
        </w:rPr>
        <w:t>liquefied gas cargoes in bulk</w:t>
      </w:r>
      <w:r w:rsidRPr="00087675">
        <w:rPr>
          <w:rFonts w:eastAsia="MS Mincho"/>
          <w:i/>
          <w:iCs/>
          <w:lang w:val="en-US"/>
        </w:rPr>
        <w:t xml:space="preserve"> provide the product name and ship type according to IGC (or earlier versions </w:t>
      </w:r>
      <w:proofErr w:type="spellStart"/>
      <w:r w:rsidRPr="00087675">
        <w:rPr>
          <w:rFonts w:eastAsia="MS Mincho"/>
          <w:i/>
          <w:iCs/>
          <w:lang w:val="en-US"/>
        </w:rPr>
        <w:t>eGC</w:t>
      </w:r>
      <w:proofErr w:type="spellEnd"/>
      <w:r w:rsidRPr="00087675">
        <w:rPr>
          <w:rFonts w:eastAsia="MS Mincho"/>
          <w:i/>
          <w:iCs/>
          <w:lang w:val="en-US"/>
        </w:rPr>
        <w:t xml:space="preserve"> and CG)”.</w:t>
      </w:r>
    </w:p>
    <w:p w14:paraId="59AACE86" w14:textId="4AC23016" w:rsidR="00965932" w:rsidRPr="00040C4C" w:rsidRDefault="00040C4C" w:rsidP="00040C4C">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965932" w:rsidRPr="00040C4C"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900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E1900" w14:textId="77777777" w:rsidR="001B2ACC" w:rsidRDefault="001B2ACC"/>
  </w:endnote>
  <w:endnote w:type="continuationSeparator" w:id="0">
    <w:p w14:paraId="717786E7" w14:textId="77777777" w:rsidR="001B2ACC" w:rsidRDefault="001B2ACC"/>
  </w:endnote>
  <w:endnote w:type="continuationNotice" w:id="1">
    <w:p w14:paraId="5BFF8E5A" w14:textId="77777777" w:rsidR="001B2ACC" w:rsidRDefault="001B2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215F" w14:textId="77777777" w:rsidR="00087675" w:rsidRPr="0099001C" w:rsidRDefault="00087675"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40C4C">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81943" w14:textId="77777777" w:rsidR="00087675" w:rsidRPr="0099001C" w:rsidRDefault="00087675"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3F8C" w14:textId="77777777" w:rsidR="001B2ACC" w:rsidRPr="000B175B" w:rsidRDefault="001B2ACC" w:rsidP="000B175B">
      <w:pPr>
        <w:tabs>
          <w:tab w:val="right" w:pos="2155"/>
        </w:tabs>
        <w:spacing w:after="80"/>
        <w:ind w:left="680"/>
        <w:rPr>
          <w:u w:val="single"/>
        </w:rPr>
      </w:pPr>
      <w:r>
        <w:rPr>
          <w:u w:val="single"/>
        </w:rPr>
        <w:tab/>
      </w:r>
    </w:p>
  </w:footnote>
  <w:footnote w:type="continuationSeparator" w:id="0">
    <w:p w14:paraId="626195D0" w14:textId="77777777" w:rsidR="001B2ACC" w:rsidRPr="00FC68B7" w:rsidRDefault="001B2ACC" w:rsidP="00FC68B7">
      <w:pPr>
        <w:tabs>
          <w:tab w:val="left" w:pos="2155"/>
        </w:tabs>
        <w:spacing w:after="80"/>
        <w:ind w:left="680"/>
        <w:rPr>
          <w:u w:val="single"/>
        </w:rPr>
      </w:pPr>
      <w:r>
        <w:rPr>
          <w:u w:val="single"/>
        </w:rPr>
        <w:tab/>
      </w:r>
    </w:p>
  </w:footnote>
  <w:footnote w:type="continuationNotice" w:id="1">
    <w:p w14:paraId="7987F74A" w14:textId="77777777" w:rsidR="001B2ACC" w:rsidRDefault="001B2A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8B01" w14:textId="5A4405F3" w:rsidR="00087675" w:rsidRPr="0099001C" w:rsidRDefault="00087675" w:rsidP="00366CA7">
    <w:pPr>
      <w:pStyle w:val="Header"/>
    </w:pPr>
    <w:r w:rsidRPr="00CC65B7">
      <w:t>UN/SCEGHS/32/INF.</w:t>
    </w:r>
    <w:r w:rsidR="00040C4C">
      <w:t>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CF24" w14:textId="77777777" w:rsidR="00087675" w:rsidRPr="0099001C" w:rsidRDefault="00087675" w:rsidP="0099001C">
    <w:pPr>
      <w:pStyle w:val="Header"/>
      <w:jc w:val="right"/>
    </w:pPr>
    <w:r>
      <w:t>UN/SCEGHS/32/INF.13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uskin">
    <w15:presenceInfo w15:providerId="None" w15:userId="mruskin"/>
  </w15:person>
  <w15:person w15:author="Kathy Landkrohn">
    <w15:presenceInfo w15:providerId="Windows Live" w15:userId="076c7ad9b95d9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40C4C"/>
    <w:rsid w:val="00050F6B"/>
    <w:rsid w:val="00055C90"/>
    <w:rsid w:val="00072C8C"/>
    <w:rsid w:val="00081647"/>
    <w:rsid w:val="00087675"/>
    <w:rsid w:val="000931C0"/>
    <w:rsid w:val="000B175B"/>
    <w:rsid w:val="000B3A0F"/>
    <w:rsid w:val="000C6544"/>
    <w:rsid w:val="000D10AA"/>
    <w:rsid w:val="000E0415"/>
    <w:rsid w:val="000F6917"/>
    <w:rsid w:val="001220B8"/>
    <w:rsid w:val="00156F3C"/>
    <w:rsid w:val="00162BF7"/>
    <w:rsid w:val="001846A2"/>
    <w:rsid w:val="00190AEA"/>
    <w:rsid w:val="00196B81"/>
    <w:rsid w:val="001B2ACC"/>
    <w:rsid w:val="001B4B04"/>
    <w:rsid w:val="001C6663"/>
    <w:rsid w:val="001C7895"/>
    <w:rsid w:val="001D26DF"/>
    <w:rsid w:val="001E47FD"/>
    <w:rsid w:val="00211E0B"/>
    <w:rsid w:val="002405A7"/>
    <w:rsid w:val="0025322D"/>
    <w:rsid w:val="00257E45"/>
    <w:rsid w:val="00262488"/>
    <w:rsid w:val="00263ACD"/>
    <w:rsid w:val="002737B9"/>
    <w:rsid w:val="002D59D3"/>
    <w:rsid w:val="002F42AE"/>
    <w:rsid w:val="003107FA"/>
    <w:rsid w:val="003127A2"/>
    <w:rsid w:val="003229D8"/>
    <w:rsid w:val="0032550E"/>
    <w:rsid w:val="0033745A"/>
    <w:rsid w:val="0034626E"/>
    <w:rsid w:val="003642AF"/>
    <w:rsid w:val="00366CA7"/>
    <w:rsid w:val="0039277A"/>
    <w:rsid w:val="003972E0"/>
    <w:rsid w:val="003B3A99"/>
    <w:rsid w:val="003C2CC4"/>
    <w:rsid w:val="003C3936"/>
    <w:rsid w:val="003D4B23"/>
    <w:rsid w:val="003F1ED3"/>
    <w:rsid w:val="00410858"/>
    <w:rsid w:val="00421612"/>
    <w:rsid w:val="004325CB"/>
    <w:rsid w:val="00446DE4"/>
    <w:rsid w:val="00456CFB"/>
    <w:rsid w:val="00460DD9"/>
    <w:rsid w:val="00467F71"/>
    <w:rsid w:val="00476F28"/>
    <w:rsid w:val="00490A89"/>
    <w:rsid w:val="004A2135"/>
    <w:rsid w:val="004A41CA"/>
    <w:rsid w:val="004B0544"/>
    <w:rsid w:val="004E7ED6"/>
    <w:rsid w:val="0050177E"/>
    <w:rsid w:val="00503228"/>
    <w:rsid w:val="00505384"/>
    <w:rsid w:val="00532EF8"/>
    <w:rsid w:val="005420F2"/>
    <w:rsid w:val="00552991"/>
    <w:rsid w:val="005B2C89"/>
    <w:rsid w:val="005B3DB3"/>
    <w:rsid w:val="005D0D1F"/>
    <w:rsid w:val="005E07AE"/>
    <w:rsid w:val="005E22FE"/>
    <w:rsid w:val="00611FC4"/>
    <w:rsid w:val="006174DD"/>
    <w:rsid w:val="006176FB"/>
    <w:rsid w:val="00627ED0"/>
    <w:rsid w:val="00640B26"/>
    <w:rsid w:val="00665595"/>
    <w:rsid w:val="00691F20"/>
    <w:rsid w:val="00693543"/>
    <w:rsid w:val="006A7392"/>
    <w:rsid w:val="006A7757"/>
    <w:rsid w:val="006E564B"/>
    <w:rsid w:val="006F2E94"/>
    <w:rsid w:val="007107B3"/>
    <w:rsid w:val="0071349F"/>
    <w:rsid w:val="00720DEB"/>
    <w:rsid w:val="0072632A"/>
    <w:rsid w:val="00733AAE"/>
    <w:rsid w:val="00740F71"/>
    <w:rsid w:val="00767C6B"/>
    <w:rsid w:val="007714FB"/>
    <w:rsid w:val="00781A60"/>
    <w:rsid w:val="007A0B22"/>
    <w:rsid w:val="007A1558"/>
    <w:rsid w:val="007B6BA5"/>
    <w:rsid w:val="007C3390"/>
    <w:rsid w:val="007C4F4B"/>
    <w:rsid w:val="007E2553"/>
    <w:rsid w:val="007E63BC"/>
    <w:rsid w:val="007F0B83"/>
    <w:rsid w:val="007F48EF"/>
    <w:rsid w:val="007F4FCD"/>
    <w:rsid w:val="007F6611"/>
    <w:rsid w:val="0081732C"/>
    <w:rsid w:val="008175E9"/>
    <w:rsid w:val="008242D7"/>
    <w:rsid w:val="00827E05"/>
    <w:rsid w:val="008311A3"/>
    <w:rsid w:val="00836AF7"/>
    <w:rsid w:val="0085288D"/>
    <w:rsid w:val="00871FD5"/>
    <w:rsid w:val="008979B1"/>
    <w:rsid w:val="008A6B25"/>
    <w:rsid w:val="008A6C4F"/>
    <w:rsid w:val="008B6E26"/>
    <w:rsid w:val="008B77B3"/>
    <w:rsid w:val="008E0E46"/>
    <w:rsid w:val="008E4C4C"/>
    <w:rsid w:val="00902B04"/>
    <w:rsid w:val="0090442C"/>
    <w:rsid w:val="00907AD2"/>
    <w:rsid w:val="00911047"/>
    <w:rsid w:val="009456B1"/>
    <w:rsid w:val="009614E7"/>
    <w:rsid w:val="00963CBA"/>
    <w:rsid w:val="009650E6"/>
    <w:rsid w:val="00965932"/>
    <w:rsid w:val="00966016"/>
    <w:rsid w:val="00974A8D"/>
    <w:rsid w:val="0099001C"/>
    <w:rsid w:val="00991261"/>
    <w:rsid w:val="009F3A17"/>
    <w:rsid w:val="009F3D53"/>
    <w:rsid w:val="00A04AB2"/>
    <w:rsid w:val="00A1427D"/>
    <w:rsid w:val="00A355AA"/>
    <w:rsid w:val="00A426FB"/>
    <w:rsid w:val="00A55FB2"/>
    <w:rsid w:val="00A66AE2"/>
    <w:rsid w:val="00A72F22"/>
    <w:rsid w:val="00A748A6"/>
    <w:rsid w:val="00A80351"/>
    <w:rsid w:val="00A80459"/>
    <w:rsid w:val="00A805EB"/>
    <w:rsid w:val="00A86664"/>
    <w:rsid w:val="00A8760B"/>
    <w:rsid w:val="00A879A4"/>
    <w:rsid w:val="00AA496B"/>
    <w:rsid w:val="00AB12AA"/>
    <w:rsid w:val="00AE71F3"/>
    <w:rsid w:val="00B30179"/>
    <w:rsid w:val="00B30E8F"/>
    <w:rsid w:val="00B33EC0"/>
    <w:rsid w:val="00B81E12"/>
    <w:rsid w:val="00B972B4"/>
    <w:rsid w:val="00B97D28"/>
    <w:rsid w:val="00BA0B53"/>
    <w:rsid w:val="00BC0885"/>
    <w:rsid w:val="00BC74E9"/>
    <w:rsid w:val="00BD2146"/>
    <w:rsid w:val="00BE4F74"/>
    <w:rsid w:val="00BE618E"/>
    <w:rsid w:val="00C031C3"/>
    <w:rsid w:val="00C17699"/>
    <w:rsid w:val="00C1778D"/>
    <w:rsid w:val="00C41A28"/>
    <w:rsid w:val="00C463DD"/>
    <w:rsid w:val="00C6210B"/>
    <w:rsid w:val="00C745C3"/>
    <w:rsid w:val="00C945EB"/>
    <w:rsid w:val="00CC65B7"/>
    <w:rsid w:val="00CE4A8F"/>
    <w:rsid w:val="00CF7436"/>
    <w:rsid w:val="00D055EB"/>
    <w:rsid w:val="00D1582D"/>
    <w:rsid w:val="00D2031B"/>
    <w:rsid w:val="00D25FE2"/>
    <w:rsid w:val="00D30288"/>
    <w:rsid w:val="00D317BB"/>
    <w:rsid w:val="00D35D8F"/>
    <w:rsid w:val="00D43252"/>
    <w:rsid w:val="00D63881"/>
    <w:rsid w:val="00D67840"/>
    <w:rsid w:val="00D7387D"/>
    <w:rsid w:val="00D80BB0"/>
    <w:rsid w:val="00D978C6"/>
    <w:rsid w:val="00DA67AD"/>
    <w:rsid w:val="00DB5D0F"/>
    <w:rsid w:val="00DC3242"/>
    <w:rsid w:val="00DE7801"/>
    <w:rsid w:val="00DE7F20"/>
    <w:rsid w:val="00DF12F7"/>
    <w:rsid w:val="00DF2C64"/>
    <w:rsid w:val="00E01F96"/>
    <w:rsid w:val="00E02C81"/>
    <w:rsid w:val="00E04A75"/>
    <w:rsid w:val="00E06EAB"/>
    <w:rsid w:val="00E130AB"/>
    <w:rsid w:val="00E23C4E"/>
    <w:rsid w:val="00E31C87"/>
    <w:rsid w:val="00E53AE8"/>
    <w:rsid w:val="00E677EC"/>
    <w:rsid w:val="00E70DF5"/>
    <w:rsid w:val="00E7260F"/>
    <w:rsid w:val="00E80F5F"/>
    <w:rsid w:val="00E87921"/>
    <w:rsid w:val="00E96630"/>
    <w:rsid w:val="00E96DB3"/>
    <w:rsid w:val="00EA264E"/>
    <w:rsid w:val="00EA3A41"/>
    <w:rsid w:val="00ED1541"/>
    <w:rsid w:val="00ED71D9"/>
    <w:rsid w:val="00ED7A2A"/>
    <w:rsid w:val="00EF1D7F"/>
    <w:rsid w:val="00EF358F"/>
    <w:rsid w:val="00F42451"/>
    <w:rsid w:val="00F53EDA"/>
    <w:rsid w:val="00F61B03"/>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90A89"/>
    <w:rPr>
      <w:sz w:val="16"/>
      <w:szCs w:val="16"/>
    </w:rPr>
  </w:style>
  <w:style w:type="paragraph" w:styleId="CommentText">
    <w:name w:val="annotation text"/>
    <w:basedOn w:val="Normal"/>
    <w:link w:val="CommentTextChar"/>
    <w:rsid w:val="00490A89"/>
    <w:pPr>
      <w:spacing w:line="240" w:lineRule="auto"/>
    </w:pPr>
  </w:style>
  <w:style w:type="character" w:customStyle="1" w:styleId="CommentTextChar">
    <w:name w:val="Comment Text Char"/>
    <w:basedOn w:val="DefaultParagraphFont"/>
    <w:link w:val="CommentText"/>
    <w:rsid w:val="00490A89"/>
    <w:rPr>
      <w:lang w:eastAsia="en-US"/>
    </w:rPr>
  </w:style>
  <w:style w:type="paragraph" w:styleId="CommentSubject">
    <w:name w:val="annotation subject"/>
    <w:basedOn w:val="CommentText"/>
    <w:next w:val="CommentText"/>
    <w:link w:val="CommentSubjectChar"/>
    <w:rsid w:val="00490A89"/>
    <w:rPr>
      <w:b/>
      <w:bCs/>
    </w:rPr>
  </w:style>
  <w:style w:type="character" w:customStyle="1" w:styleId="CommentSubjectChar">
    <w:name w:val="Comment Subject Char"/>
    <w:basedOn w:val="CommentTextChar"/>
    <w:link w:val="CommentSubject"/>
    <w:rsid w:val="00490A89"/>
    <w:rPr>
      <w:b/>
      <w:bCs/>
      <w:lang w:eastAsia="en-US"/>
    </w:rPr>
  </w:style>
  <w:style w:type="paragraph" w:styleId="BalloonText">
    <w:name w:val="Balloon Text"/>
    <w:basedOn w:val="Normal"/>
    <w:link w:val="BalloonTextChar"/>
    <w:rsid w:val="00490A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0A89"/>
    <w:rPr>
      <w:rFonts w:ascii="Tahoma" w:hAnsi="Tahoma" w:cs="Tahoma"/>
      <w:sz w:val="16"/>
      <w:szCs w:val="16"/>
      <w:lang w:eastAsia="en-US"/>
    </w:rPr>
  </w:style>
  <w:style w:type="character" w:styleId="Emphasis">
    <w:name w:val="Emphasis"/>
    <w:basedOn w:val="DefaultParagraphFont"/>
    <w:qFormat/>
    <w:rsid w:val="004B0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90A89"/>
    <w:rPr>
      <w:sz w:val="16"/>
      <w:szCs w:val="16"/>
    </w:rPr>
  </w:style>
  <w:style w:type="paragraph" w:styleId="CommentText">
    <w:name w:val="annotation text"/>
    <w:basedOn w:val="Normal"/>
    <w:link w:val="CommentTextChar"/>
    <w:rsid w:val="00490A89"/>
    <w:pPr>
      <w:spacing w:line="240" w:lineRule="auto"/>
    </w:pPr>
  </w:style>
  <w:style w:type="character" w:customStyle="1" w:styleId="CommentTextChar">
    <w:name w:val="Comment Text Char"/>
    <w:basedOn w:val="DefaultParagraphFont"/>
    <w:link w:val="CommentText"/>
    <w:rsid w:val="00490A89"/>
    <w:rPr>
      <w:lang w:eastAsia="en-US"/>
    </w:rPr>
  </w:style>
  <w:style w:type="paragraph" w:styleId="CommentSubject">
    <w:name w:val="annotation subject"/>
    <w:basedOn w:val="CommentText"/>
    <w:next w:val="CommentText"/>
    <w:link w:val="CommentSubjectChar"/>
    <w:rsid w:val="00490A89"/>
    <w:rPr>
      <w:b/>
      <w:bCs/>
    </w:rPr>
  </w:style>
  <w:style w:type="character" w:customStyle="1" w:styleId="CommentSubjectChar">
    <w:name w:val="Comment Subject Char"/>
    <w:basedOn w:val="CommentTextChar"/>
    <w:link w:val="CommentSubject"/>
    <w:rsid w:val="00490A89"/>
    <w:rPr>
      <w:b/>
      <w:bCs/>
      <w:lang w:eastAsia="en-US"/>
    </w:rPr>
  </w:style>
  <w:style w:type="paragraph" w:styleId="BalloonText">
    <w:name w:val="Balloon Text"/>
    <w:basedOn w:val="Normal"/>
    <w:link w:val="BalloonTextChar"/>
    <w:rsid w:val="00490A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0A89"/>
    <w:rPr>
      <w:rFonts w:ascii="Tahoma" w:hAnsi="Tahoma" w:cs="Tahoma"/>
      <w:sz w:val="16"/>
      <w:szCs w:val="16"/>
      <w:lang w:eastAsia="en-US"/>
    </w:rPr>
  </w:style>
  <w:style w:type="character" w:styleId="Emphasis">
    <w:name w:val="Emphasis"/>
    <w:basedOn w:val="DefaultParagraphFont"/>
    <w:qFormat/>
    <w:rsid w:val="004B0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19483">
      <w:bodyDiv w:val="1"/>
      <w:marLeft w:val="0"/>
      <w:marRight w:val="0"/>
      <w:marTop w:val="0"/>
      <w:marBottom w:val="0"/>
      <w:divBdr>
        <w:top w:val="none" w:sz="0" w:space="0" w:color="auto"/>
        <w:left w:val="none" w:sz="0" w:space="0" w:color="auto"/>
        <w:bottom w:val="none" w:sz="0" w:space="0" w:color="auto"/>
        <w:right w:val="none" w:sz="0" w:space="0" w:color="auto"/>
      </w:divBdr>
    </w:div>
    <w:div w:id="350108033">
      <w:bodyDiv w:val="1"/>
      <w:marLeft w:val="0"/>
      <w:marRight w:val="0"/>
      <w:marTop w:val="0"/>
      <w:marBottom w:val="0"/>
      <w:divBdr>
        <w:top w:val="none" w:sz="0" w:space="0" w:color="auto"/>
        <w:left w:val="none" w:sz="0" w:space="0" w:color="auto"/>
        <w:bottom w:val="none" w:sz="0" w:space="0" w:color="auto"/>
        <w:right w:val="none" w:sz="0" w:space="0" w:color="auto"/>
      </w:divBdr>
    </w:div>
    <w:div w:id="499083481">
      <w:bodyDiv w:val="1"/>
      <w:marLeft w:val="0"/>
      <w:marRight w:val="0"/>
      <w:marTop w:val="0"/>
      <w:marBottom w:val="0"/>
      <w:divBdr>
        <w:top w:val="none" w:sz="0" w:space="0" w:color="auto"/>
        <w:left w:val="none" w:sz="0" w:space="0" w:color="auto"/>
        <w:bottom w:val="none" w:sz="0" w:space="0" w:color="auto"/>
        <w:right w:val="none" w:sz="0" w:space="0" w:color="auto"/>
      </w:divBdr>
    </w:div>
    <w:div w:id="558327233">
      <w:bodyDiv w:val="1"/>
      <w:marLeft w:val="0"/>
      <w:marRight w:val="0"/>
      <w:marTop w:val="0"/>
      <w:marBottom w:val="0"/>
      <w:divBdr>
        <w:top w:val="none" w:sz="0" w:space="0" w:color="auto"/>
        <w:left w:val="none" w:sz="0" w:space="0" w:color="auto"/>
        <w:bottom w:val="none" w:sz="0" w:space="0" w:color="auto"/>
        <w:right w:val="none" w:sz="0" w:space="0" w:color="auto"/>
      </w:divBdr>
    </w:div>
    <w:div w:id="742751451">
      <w:bodyDiv w:val="1"/>
      <w:marLeft w:val="0"/>
      <w:marRight w:val="0"/>
      <w:marTop w:val="0"/>
      <w:marBottom w:val="0"/>
      <w:divBdr>
        <w:top w:val="none" w:sz="0" w:space="0" w:color="auto"/>
        <w:left w:val="none" w:sz="0" w:space="0" w:color="auto"/>
        <w:bottom w:val="none" w:sz="0" w:space="0" w:color="auto"/>
        <w:right w:val="none" w:sz="0" w:space="0" w:color="auto"/>
      </w:divBdr>
    </w:div>
    <w:div w:id="824322825">
      <w:bodyDiv w:val="1"/>
      <w:marLeft w:val="0"/>
      <w:marRight w:val="0"/>
      <w:marTop w:val="0"/>
      <w:marBottom w:val="0"/>
      <w:divBdr>
        <w:top w:val="none" w:sz="0" w:space="0" w:color="auto"/>
        <w:left w:val="none" w:sz="0" w:space="0" w:color="auto"/>
        <w:bottom w:val="none" w:sz="0" w:space="0" w:color="auto"/>
        <w:right w:val="none" w:sz="0" w:space="0" w:color="auto"/>
      </w:divBdr>
    </w:div>
    <w:div w:id="17423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FC90-F27B-44CD-90FB-BE882373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2016-12-07T12:00:00Z</cp:lastPrinted>
  <dcterms:created xsi:type="dcterms:W3CDTF">2016-12-07T11:52:00Z</dcterms:created>
  <dcterms:modified xsi:type="dcterms:W3CDTF">2016-12-07T12:02:00Z</dcterms:modified>
</cp:coreProperties>
</file>