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9E7B0D" w:rsidTr="008B2E94">
        <w:trPr>
          <w:cantSplit/>
          <w:trHeight w:hRule="exact" w:val="993"/>
        </w:trPr>
        <w:tc>
          <w:tcPr>
            <w:tcW w:w="9639" w:type="dxa"/>
            <w:tcBorders>
              <w:bottom w:val="single" w:sz="4" w:space="0" w:color="auto"/>
            </w:tcBorders>
            <w:shd w:val="clear" w:color="auto" w:fill="FFFFFF"/>
            <w:vAlign w:val="bottom"/>
          </w:tcPr>
          <w:p w:rsidR="009E7B0D" w:rsidRPr="00B7240B" w:rsidRDefault="009E7B0D" w:rsidP="009E7B0D">
            <w:pPr>
              <w:jc w:val="right"/>
              <w:rPr>
                <w:b/>
                <w:sz w:val="40"/>
                <w:szCs w:val="40"/>
                <w:lang w:val="fr-CA"/>
              </w:rPr>
            </w:pPr>
            <w:r w:rsidRPr="00B7240B">
              <w:rPr>
                <w:b/>
                <w:sz w:val="40"/>
                <w:szCs w:val="40"/>
                <w:lang w:val="fr-CA"/>
              </w:rPr>
              <w:t>UN/SCETDG/49/INF.</w:t>
            </w:r>
            <w:r w:rsidR="00D47253">
              <w:rPr>
                <w:b/>
                <w:sz w:val="40"/>
                <w:szCs w:val="40"/>
                <w:lang w:val="fr-CA"/>
              </w:rPr>
              <w:t>28</w:t>
            </w:r>
          </w:p>
          <w:p w:rsidR="00280D2B" w:rsidRPr="00DA5A3D" w:rsidRDefault="009E7B0D" w:rsidP="00D47253">
            <w:pPr>
              <w:spacing w:after="240"/>
              <w:jc w:val="right"/>
              <w:rPr>
                <w:b/>
                <w:color w:val="000000" w:themeColor="text1"/>
                <w:sz w:val="40"/>
                <w:szCs w:val="40"/>
                <w:lang w:val="fr-CA"/>
              </w:rPr>
            </w:pPr>
            <w:r w:rsidRPr="00B7240B">
              <w:rPr>
                <w:b/>
                <w:sz w:val="40"/>
                <w:szCs w:val="40"/>
                <w:lang w:val="fr-CA"/>
              </w:rPr>
              <w:t>UN/SCEGHS/31/INF.</w:t>
            </w:r>
            <w:r w:rsidR="00D47253">
              <w:rPr>
                <w:b/>
                <w:sz w:val="40"/>
                <w:szCs w:val="40"/>
                <w:lang w:val="fr-CA"/>
              </w:rPr>
              <w:t>7</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D47253">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D47253">
              <w:rPr>
                <w:b/>
                <w:sz w:val="18"/>
                <w:szCs w:val="24"/>
              </w:rPr>
              <w:t>14</w:t>
            </w:r>
            <w:r w:rsidR="00623312" w:rsidRPr="00623312">
              <w:rPr>
                <w:b/>
                <w:sz w:val="18"/>
                <w:szCs w:val="24"/>
              </w:rPr>
              <w:t xml:space="preserve"> </w:t>
            </w:r>
            <w:r w:rsidR="00D47253">
              <w:rPr>
                <w:b/>
                <w:sz w:val="18"/>
                <w:szCs w:val="24"/>
              </w:rPr>
              <w:t xml:space="preserve">June </w:t>
            </w:r>
            <w:r w:rsidRPr="00623312">
              <w:rPr>
                <w:b/>
                <w:sz w:val="18"/>
                <w:szCs w:val="24"/>
              </w:rPr>
              <w:t>2016</w:t>
            </w:r>
          </w:p>
        </w:tc>
      </w:tr>
      <w:tr w:rsidR="008A5A78" w:rsidRPr="009E7B0D" w:rsidTr="0043430A">
        <w:tc>
          <w:tcPr>
            <w:tcW w:w="4536" w:type="dxa"/>
            <w:tcMar>
              <w:top w:w="57" w:type="dxa"/>
              <w:left w:w="108" w:type="dxa"/>
              <w:bottom w:w="0" w:type="dxa"/>
              <w:right w:w="108" w:type="dxa"/>
            </w:tcMar>
          </w:tcPr>
          <w:p w:rsidR="008A5A78" w:rsidRPr="000A1D9E" w:rsidRDefault="008A5A78">
            <w:pPr>
              <w:spacing w:before="120"/>
              <w:rPr>
                <w:b/>
                <w:highlight w:val="green"/>
                <w:lang w:val="fr-CA"/>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7D59D1">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8A5A78" w:rsidP="00D77FB6">
            <w:pPr>
              <w:spacing w:before="120"/>
              <w:ind w:left="34" w:hanging="34"/>
              <w:rPr>
                <w:b/>
                <w:lang w:val="fr-CA"/>
              </w:rPr>
            </w:pPr>
            <w:r w:rsidRPr="000B4919">
              <w:rPr>
                <w:b/>
              </w:rPr>
              <w:t>Forty-</w:t>
            </w:r>
            <w:r>
              <w:rPr>
                <w:b/>
              </w:rPr>
              <w:t>ninth</w:t>
            </w:r>
            <w:r w:rsidRPr="000B4919">
              <w:rPr>
                <w:b/>
              </w:rPr>
              <w:t xml:space="preserve"> session</w:t>
            </w:r>
          </w:p>
        </w:tc>
        <w:tc>
          <w:tcPr>
            <w:tcW w:w="5109" w:type="dxa"/>
            <w:tcMar>
              <w:top w:w="57" w:type="dxa"/>
              <w:left w:w="108" w:type="dxa"/>
              <w:bottom w:w="0" w:type="dxa"/>
              <w:right w:w="108" w:type="dxa"/>
            </w:tcMar>
          </w:tcPr>
          <w:p w:rsidR="008A5A78" w:rsidRPr="000B4919" w:rsidRDefault="008A5A78" w:rsidP="007D59D1">
            <w:pPr>
              <w:spacing w:before="120"/>
              <w:rPr>
                <w:b/>
              </w:rPr>
            </w:pPr>
            <w:r>
              <w:rPr>
                <w:b/>
              </w:rPr>
              <w:t>Thirty-first</w:t>
            </w:r>
            <w:r w:rsidRPr="000B4919">
              <w:rPr>
                <w:b/>
              </w:rPr>
              <w:t xml:space="preserve"> session</w:t>
            </w:r>
          </w:p>
        </w:tc>
      </w:tr>
      <w:tr w:rsidR="008A5A78" w:rsidRPr="009E7B0D" w:rsidTr="008B2E94">
        <w:tc>
          <w:tcPr>
            <w:tcW w:w="4536" w:type="dxa"/>
            <w:tcMar>
              <w:top w:w="57" w:type="dxa"/>
              <w:left w:w="108" w:type="dxa"/>
              <w:bottom w:w="0" w:type="dxa"/>
              <w:right w:w="108" w:type="dxa"/>
            </w:tcMar>
          </w:tcPr>
          <w:p w:rsidR="008A5A78" w:rsidRPr="000B4919" w:rsidRDefault="008A5A78" w:rsidP="00977C08">
            <w:pPr>
              <w:tabs>
                <w:tab w:val="left" w:pos="6361"/>
                <w:tab w:val="left" w:pos="6939"/>
              </w:tabs>
              <w:spacing w:before="40"/>
              <w:outlineLvl w:val="0"/>
              <w:rPr>
                <w:bCs/>
              </w:rPr>
            </w:pPr>
            <w:r w:rsidRPr="000B4919">
              <w:rPr>
                <w:bCs/>
              </w:rPr>
              <w:t xml:space="preserve">Geneva, </w:t>
            </w:r>
            <w:r>
              <w:rPr>
                <w:bCs/>
              </w:rPr>
              <w:t xml:space="preserve">27 June </w:t>
            </w:r>
            <w:r w:rsidRPr="000B4919">
              <w:t xml:space="preserve">– </w:t>
            </w:r>
            <w:r>
              <w:t>6 July 2016</w:t>
            </w:r>
          </w:p>
          <w:p w:rsidR="008A5A78" w:rsidRPr="000B4919" w:rsidRDefault="008A5A78" w:rsidP="00977C08">
            <w:pPr>
              <w:spacing w:before="40"/>
            </w:pPr>
            <w:r w:rsidRPr="000B4919">
              <w:t xml:space="preserve">Item </w:t>
            </w:r>
            <w:r w:rsidR="009E6C8B">
              <w:t>10</w:t>
            </w:r>
            <w:r w:rsidRPr="000B4919">
              <w:t xml:space="preserve"> </w:t>
            </w:r>
            <w:r w:rsidR="00A33866">
              <w:t>(</w:t>
            </w:r>
            <w:r w:rsidR="009E6C8B">
              <w:t>h</w:t>
            </w:r>
            <w:r w:rsidR="00A33866">
              <w:t xml:space="preserve">) </w:t>
            </w:r>
            <w:r w:rsidRPr="000B4919">
              <w:t>of the provisional agenda</w:t>
            </w:r>
          </w:p>
          <w:p w:rsidR="008A5A78" w:rsidRPr="00977C08" w:rsidRDefault="009E6C8B" w:rsidP="00977C08">
            <w:pPr>
              <w:spacing w:before="40"/>
              <w:rPr>
                <w:b/>
                <w:bCs/>
              </w:rPr>
            </w:pPr>
            <w:r>
              <w:rPr>
                <w:b/>
              </w:rPr>
              <w:t>Issues relating to the Globally Harmonized System of Classification and Labelling of Chemicals: Joint work with the GHS Sub-Committee</w:t>
            </w:r>
          </w:p>
        </w:tc>
        <w:tc>
          <w:tcPr>
            <w:tcW w:w="5109" w:type="dxa"/>
            <w:tcMar>
              <w:top w:w="57" w:type="dxa"/>
              <w:left w:w="108" w:type="dxa"/>
              <w:bottom w:w="0" w:type="dxa"/>
              <w:right w:w="108" w:type="dxa"/>
            </w:tcMar>
          </w:tcPr>
          <w:p w:rsidR="008A5A78" w:rsidRPr="000B4919" w:rsidRDefault="008A5A78" w:rsidP="008A5A78">
            <w:pPr>
              <w:jc w:val="both"/>
            </w:pPr>
            <w:r w:rsidRPr="00283442">
              <w:t xml:space="preserve">Geneva, </w:t>
            </w:r>
            <w:r>
              <w:t>5</w:t>
            </w:r>
            <w:r w:rsidRPr="00283442">
              <w:t xml:space="preserve">– </w:t>
            </w:r>
            <w:r>
              <w:t>8</w:t>
            </w:r>
            <w:r w:rsidRPr="00283442">
              <w:t xml:space="preserve"> </w:t>
            </w:r>
            <w:r>
              <w:t>July 2016</w:t>
            </w:r>
          </w:p>
          <w:p w:rsidR="008A5A78" w:rsidRPr="000B4919" w:rsidRDefault="008A5A78" w:rsidP="008A5A78">
            <w:pPr>
              <w:spacing w:before="40"/>
            </w:pPr>
            <w:r w:rsidRPr="000B4919">
              <w:t xml:space="preserve">Item </w:t>
            </w:r>
            <w:r w:rsidR="00A33866">
              <w:t>2</w:t>
            </w:r>
            <w:r w:rsidRPr="000B4919">
              <w:t xml:space="preserve"> of the provisional agenda</w:t>
            </w:r>
          </w:p>
          <w:p w:rsidR="008A5A78" w:rsidRPr="000A1D9E" w:rsidRDefault="00A33866" w:rsidP="008A5A78">
            <w:pPr>
              <w:suppressAutoHyphens w:val="0"/>
              <w:spacing w:line="240" w:lineRule="auto"/>
              <w:rPr>
                <w:b/>
                <w:lang w:val="fr-CA"/>
              </w:rPr>
            </w:pPr>
            <w:r w:rsidRPr="00623312">
              <w:rPr>
                <w:b/>
              </w:rPr>
              <w:t>Joint work with the Sub-Committee of Experts on the Transport of Dangerous Goods (TDG Sub-Committee)</w:t>
            </w:r>
          </w:p>
        </w:tc>
      </w:tr>
    </w:tbl>
    <w:p w:rsidR="00D47253" w:rsidRDefault="00440E44" w:rsidP="00D47253">
      <w:pPr>
        <w:pStyle w:val="HChG"/>
      </w:pPr>
      <w:r>
        <w:tab/>
      </w:r>
      <w:r>
        <w:tab/>
      </w:r>
      <w:r w:rsidR="00D47253">
        <w:t>Changes to subsection 14.7 of the GHS guidance for compiling a safety data sheet</w:t>
      </w:r>
    </w:p>
    <w:p w:rsidR="00D47253" w:rsidRDefault="00D47253" w:rsidP="00D47253">
      <w:pPr>
        <w:pStyle w:val="H1G"/>
      </w:pPr>
      <w:r>
        <w:tab/>
      </w:r>
      <w:r>
        <w:tab/>
        <w:t xml:space="preserve">Transmitted by the International Council on Mining and Metals </w:t>
      </w:r>
      <w:bookmarkStart w:id="0" w:name="_GoBack"/>
      <w:bookmarkEnd w:id="0"/>
      <w:r>
        <w:t>(ICMM)</w:t>
      </w:r>
    </w:p>
    <w:p w:rsidR="00D47253" w:rsidRPr="00472ABA" w:rsidRDefault="00D47253" w:rsidP="00D47253">
      <w:pPr>
        <w:pStyle w:val="HChG"/>
        <w:rPr>
          <w:highlight w:val="yellow"/>
        </w:rPr>
      </w:pPr>
      <w:r>
        <w:tab/>
      </w:r>
      <w:r>
        <w:tab/>
      </w:r>
      <w:r w:rsidRPr="00F12E3E">
        <w:t>Introduction</w:t>
      </w:r>
    </w:p>
    <w:p w:rsidR="00D47253" w:rsidRDefault="00D47253" w:rsidP="00D47253">
      <w:pPr>
        <w:pStyle w:val="SingleTxtG"/>
        <w:numPr>
          <w:ilvl w:val="0"/>
          <w:numId w:val="41"/>
        </w:numPr>
        <w:ind w:left="1134" w:firstLine="0"/>
        <w:rPr>
          <w:lang w:val="en-US"/>
        </w:rPr>
      </w:pPr>
      <w:r>
        <w:rPr>
          <w:lang w:val="en-US"/>
        </w:rPr>
        <w:t xml:space="preserve">Annex 4 of the GHS contains </w:t>
      </w:r>
      <w:r w:rsidRPr="00ED0543">
        <w:rPr>
          <w:i/>
          <w:lang w:val="en-US"/>
        </w:rPr>
        <w:t>‘Guidance on the preparation of safety data sheets (SDS)</w:t>
      </w:r>
      <w:r>
        <w:rPr>
          <w:lang w:val="en-US"/>
        </w:rPr>
        <w:t>’. This includes general guidance on structure and content as well as specific information relating to content.</w:t>
      </w:r>
    </w:p>
    <w:p w:rsidR="00D47253" w:rsidRPr="00ED0543" w:rsidRDefault="00D47253" w:rsidP="00D47253">
      <w:pPr>
        <w:pStyle w:val="SingleTxtG"/>
        <w:numPr>
          <w:ilvl w:val="0"/>
          <w:numId w:val="41"/>
        </w:numPr>
        <w:ind w:left="1134" w:firstLine="0"/>
        <w:rPr>
          <w:lang w:val="en-US"/>
        </w:rPr>
      </w:pPr>
      <w:r>
        <w:t>Sub</w:t>
      </w:r>
      <w:r w:rsidRPr="004C423B">
        <w:t>section 14.7</w:t>
      </w:r>
      <w:r>
        <w:t xml:space="preserve"> (A4.3.14.7) </w:t>
      </w:r>
      <w:r w:rsidRPr="00ED0543">
        <w:rPr>
          <w:i/>
        </w:rPr>
        <w:t xml:space="preserve">‘Transport in bulk according to Annex II of MARPOL 73/78 and the IBC code’ </w:t>
      </w:r>
      <w:r w:rsidRPr="004C423B">
        <w:t>was</w:t>
      </w:r>
      <w:r>
        <w:t xml:space="preserve"> added to SDS model</w:t>
      </w:r>
      <w:r w:rsidRPr="004C423B">
        <w:t xml:space="preserve"> </w:t>
      </w:r>
      <w:r>
        <w:t>in the GHS rev.2 (2007).  The guidance notes that:</w:t>
      </w:r>
    </w:p>
    <w:p w:rsidR="00D47253" w:rsidRDefault="00D47253" w:rsidP="00D47253">
      <w:pPr>
        <w:pStyle w:val="SingleTxtG"/>
        <w:ind w:left="1701"/>
        <w:jc w:val="left"/>
      </w:pPr>
      <w:r>
        <w:t>‘</w:t>
      </w:r>
      <w:r w:rsidRPr="00ED0543">
        <w:rPr>
          <w:i/>
        </w:rPr>
        <w:t>This sub-section only applies when cargoes are intended to be carried in bulk according to the following IMO instruments: Annex II of MARPOL 73/78 and the IBC Code’</w:t>
      </w:r>
      <w:r>
        <w:t>.</w:t>
      </w:r>
    </w:p>
    <w:p w:rsidR="00D47253" w:rsidRPr="00ED0543" w:rsidRDefault="00D47253" w:rsidP="00D47253">
      <w:pPr>
        <w:pStyle w:val="SingleTxtG"/>
        <w:numPr>
          <w:ilvl w:val="0"/>
          <w:numId w:val="41"/>
        </w:numPr>
        <w:ind w:left="1134" w:firstLine="0"/>
        <w:rPr>
          <w:lang w:val="en-US"/>
        </w:rPr>
      </w:pPr>
      <w:r>
        <w:t xml:space="preserve">While this guidance is in effect limited to liquids, many other cargoes are transported in bulk under similar regulation. For instance, the IMO’s </w:t>
      </w:r>
      <w:r w:rsidRPr="002140E2">
        <w:rPr>
          <w:lang w:val="en-US"/>
        </w:rPr>
        <w:t>International Maritime Solid Bulk Cargoes</w:t>
      </w:r>
      <w:r>
        <w:rPr>
          <w:lang w:val="en-US"/>
        </w:rPr>
        <w:t xml:space="preserve"> (IMSBC) entered into force on 1 January 2011, from which date it was made mandatory under the provisions of the SOLAS Convention. </w:t>
      </w:r>
      <w:r>
        <w:t xml:space="preserve">In addition gases shipped as bulk are covered currently by IMO’s The International Code for the Construction and Equipment of Ships Carrying Liquefied Gases in Bulk in short form known as IMO’s IGC Code and earlier by </w:t>
      </w:r>
      <w:r w:rsidRPr="002140E2">
        <w:rPr>
          <w:lang w:val="en-US"/>
        </w:rPr>
        <w:t>IMO Code for the Construction and Equipment of Ships Carrying Liquefied</w:t>
      </w:r>
      <w:r>
        <w:rPr>
          <w:lang w:val="en-US"/>
        </w:rPr>
        <w:t xml:space="preserve"> </w:t>
      </w:r>
      <w:r w:rsidRPr="002140E2">
        <w:rPr>
          <w:lang w:val="en-US"/>
        </w:rPr>
        <w:t>Gases in Bulk</w:t>
      </w:r>
      <w:r>
        <w:t xml:space="preserve"> (the CG code) and IMO’s </w:t>
      </w:r>
      <w:r w:rsidRPr="002140E2">
        <w:rPr>
          <w:lang w:val="en-US"/>
        </w:rPr>
        <w:t>Code for Existing Ships Carrying Liquefied Gases in Bulk (</w:t>
      </w:r>
      <w:r>
        <w:rPr>
          <w:lang w:val="en-US"/>
        </w:rPr>
        <w:t xml:space="preserve">the </w:t>
      </w:r>
      <w:proofErr w:type="spellStart"/>
      <w:r>
        <w:t>eGC</w:t>
      </w:r>
      <w:proofErr w:type="spellEnd"/>
      <w:r>
        <w:t xml:space="preserve"> Code).</w:t>
      </w:r>
    </w:p>
    <w:p w:rsidR="00B20500" w:rsidRDefault="00D47253" w:rsidP="00D47253">
      <w:pPr>
        <w:pStyle w:val="SingleTxtG"/>
        <w:numPr>
          <w:ilvl w:val="0"/>
          <w:numId w:val="41"/>
        </w:numPr>
        <w:ind w:left="1134" w:firstLine="0"/>
      </w:pPr>
      <w:r>
        <w:t xml:space="preserve">As the information given in a safety data sheet can be relevant to transport under both IMSBC and IGC codes, we encourage Sub-Committee members to consider updating the section heading for A4.3.14.7 along with the guidance. The section should be relevant to all bulk cargoes - not only those shipped under MARPOL Annex II or IBC Code, as it currently </w:t>
      </w:r>
      <w:r w:rsidRPr="00B20500">
        <w:t>stands</w:t>
      </w:r>
      <w:r>
        <w:t>.</w:t>
      </w:r>
    </w:p>
    <w:p w:rsidR="00D47253" w:rsidRPr="00B20500" w:rsidRDefault="00D47253" w:rsidP="00B20500">
      <w:pPr>
        <w:tabs>
          <w:tab w:val="left" w:pos="2160"/>
        </w:tabs>
      </w:pPr>
    </w:p>
    <w:p w:rsidR="00D47253" w:rsidRDefault="00D47253" w:rsidP="00D47253">
      <w:pPr>
        <w:pStyle w:val="SingleTxtG"/>
        <w:keepNext/>
        <w:keepLines/>
        <w:numPr>
          <w:ilvl w:val="0"/>
          <w:numId w:val="41"/>
        </w:numPr>
        <w:ind w:left="1134" w:firstLine="0"/>
      </w:pPr>
      <w:r>
        <w:lastRenderedPageBreak/>
        <w:t>Changing</w:t>
      </w:r>
      <w:r w:rsidRPr="00210CBF">
        <w:t xml:space="preserve"> the name of the </w:t>
      </w:r>
      <w:r>
        <w:t>sub</w:t>
      </w:r>
      <w:r w:rsidRPr="00210CBF">
        <w:t>section 14.7</w:t>
      </w:r>
      <w:r>
        <w:t xml:space="preserve"> </w:t>
      </w:r>
      <w:r w:rsidRPr="00210CBF">
        <w:t xml:space="preserve">to </w:t>
      </w:r>
      <w:r>
        <w:t>“T</w:t>
      </w:r>
      <w:r w:rsidRPr="00210CBF">
        <w:t>ransport in bulk</w:t>
      </w:r>
      <w:r>
        <w:t xml:space="preserve">” would mean that </w:t>
      </w:r>
      <w:r w:rsidRPr="00210CBF">
        <w:t xml:space="preserve">all </w:t>
      </w:r>
      <w:r>
        <w:t xml:space="preserve">information related to </w:t>
      </w:r>
      <w:r w:rsidRPr="00210CBF">
        <w:t xml:space="preserve">bulk transport could be covered under one section of </w:t>
      </w:r>
      <w:r>
        <w:t xml:space="preserve">the </w:t>
      </w:r>
      <w:r w:rsidRPr="00210CBF">
        <w:t>safety dat</w:t>
      </w:r>
      <w:r>
        <w:t>a</w:t>
      </w:r>
      <w:r w:rsidRPr="00210CBF">
        <w:t xml:space="preserve"> sheet</w:t>
      </w:r>
      <w:r>
        <w:t>. This would help the user to find the proper information efficiently and would assist the author</w:t>
      </w:r>
      <w:r w:rsidRPr="00ED0543">
        <w:t xml:space="preserve"> </w:t>
      </w:r>
      <w:r>
        <w:t xml:space="preserve">who would not need to consider where additional information related to solid bulk cargoes should be included. </w:t>
      </w:r>
      <w:r w:rsidRPr="00ED0543">
        <w:t>Simplifying the name of the subsection would also make it more consistent with other subsection names and general GHS requirements.</w:t>
      </w:r>
    </w:p>
    <w:p w:rsidR="00D47253" w:rsidRDefault="00D47253" w:rsidP="00D47253">
      <w:pPr>
        <w:pStyle w:val="SingleTxtG"/>
        <w:numPr>
          <w:ilvl w:val="0"/>
          <w:numId w:val="41"/>
        </w:numPr>
        <w:ind w:left="1134" w:firstLine="0"/>
      </w:pPr>
      <w:r>
        <w:t>In case a substance is not transported in bulk at all, this could be mentioned in subsection 14.7.</w:t>
      </w:r>
    </w:p>
    <w:p w:rsidR="00D47253" w:rsidRPr="00210CBF" w:rsidRDefault="00D47253" w:rsidP="00D47253">
      <w:pPr>
        <w:pStyle w:val="HChG"/>
      </w:pPr>
      <w:r w:rsidRPr="00210CBF">
        <w:tab/>
      </w:r>
      <w:r w:rsidRPr="00210CBF">
        <w:tab/>
      </w:r>
      <w:r>
        <w:t>Proposal</w:t>
      </w:r>
    </w:p>
    <w:p w:rsidR="00D47253" w:rsidRDefault="00D47253" w:rsidP="00D47253">
      <w:pPr>
        <w:pStyle w:val="SingleTxtG"/>
        <w:numPr>
          <w:ilvl w:val="0"/>
          <w:numId w:val="41"/>
        </w:numPr>
        <w:ind w:left="1134" w:firstLine="0"/>
      </w:pPr>
      <w:r w:rsidRPr="00472ABA">
        <w:t xml:space="preserve">In GHS </w:t>
      </w:r>
      <w:r>
        <w:t>Annex 4, change the name of the subsection A4.3.14.7 from ‘</w:t>
      </w:r>
      <w:r w:rsidRPr="00ED0543">
        <w:rPr>
          <w:i/>
        </w:rPr>
        <w:t>Transport in bulk according to Annex II of MARPOL 73/78</w:t>
      </w:r>
      <w:r w:rsidRPr="00ED0543">
        <w:rPr>
          <w:i/>
          <w:vertAlign w:val="superscript"/>
        </w:rPr>
        <w:t>9</w:t>
      </w:r>
      <w:r w:rsidRPr="00ED0543">
        <w:rPr>
          <w:i/>
        </w:rPr>
        <w:t xml:space="preserve"> and the IBC code</w:t>
      </w:r>
      <w:r w:rsidRPr="00ED0543">
        <w:rPr>
          <w:i/>
          <w:vertAlign w:val="superscript"/>
        </w:rPr>
        <w:t>10</w:t>
      </w:r>
      <w:r w:rsidRPr="00ED0543">
        <w:rPr>
          <w:i/>
        </w:rPr>
        <w:t>’</w:t>
      </w:r>
      <w:r>
        <w:t xml:space="preserve"> to </w:t>
      </w:r>
      <w:r w:rsidRPr="00ED0543">
        <w:rPr>
          <w:i/>
        </w:rPr>
        <w:t>‘Transport in bulk’</w:t>
      </w:r>
      <w:r>
        <w:t>. For consistency, the same change would need to be reflected in Table 1.5.2 (row 14(f)) of the GHS.</w:t>
      </w:r>
    </w:p>
    <w:p w:rsidR="00D47253" w:rsidRDefault="00D47253" w:rsidP="00D47253">
      <w:pPr>
        <w:pStyle w:val="SingleTxtG"/>
        <w:numPr>
          <w:ilvl w:val="0"/>
          <w:numId w:val="41"/>
        </w:numPr>
        <w:ind w:left="1134" w:firstLine="0"/>
      </w:pPr>
      <w:r>
        <w:t>Update the first paragraph of A4.3.14.7 from:</w:t>
      </w:r>
    </w:p>
    <w:p w:rsidR="00D47253" w:rsidRDefault="00D47253" w:rsidP="00D47253">
      <w:pPr>
        <w:pStyle w:val="SingleTxtG"/>
        <w:ind w:left="1701"/>
      </w:pPr>
      <w:r>
        <w:t>‘</w:t>
      </w:r>
      <w:r w:rsidRPr="00ED0543">
        <w:rPr>
          <w:i/>
        </w:rPr>
        <w:t>This sub-section only applies when cargoes are intended to be carried in bulk according to the following IMO instruments: Annex II of MARPOL 73/78</w:t>
      </w:r>
      <w:r w:rsidRPr="00ED0543">
        <w:rPr>
          <w:i/>
          <w:vertAlign w:val="superscript"/>
        </w:rPr>
        <w:t>9</w:t>
      </w:r>
      <w:r w:rsidRPr="00ED0543">
        <w:rPr>
          <w:i/>
        </w:rPr>
        <w:t>, the IBC code</w:t>
      </w:r>
      <w:r w:rsidRPr="00ED0543">
        <w:rPr>
          <w:i/>
          <w:vertAlign w:val="superscript"/>
        </w:rPr>
        <w:t>10</w:t>
      </w:r>
      <w:r>
        <w:t xml:space="preserve">, </w:t>
      </w:r>
    </w:p>
    <w:p w:rsidR="00D47253" w:rsidRDefault="00D47253" w:rsidP="00D47253">
      <w:pPr>
        <w:pStyle w:val="SingleTxtG"/>
      </w:pPr>
      <w:r>
        <w:tab/>
      </w:r>
      <w:proofErr w:type="gramStart"/>
      <w:r>
        <w:t>to</w:t>
      </w:r>
      <w:proofErr w:type="gramEnd"/>
      <w:r>
        <w:t>:</w:t>
      </w:r>
    </w:p>
    <w:p w:rsidR="00D47253" w:rsidRDefault="00D47253" w:rsidP="00D47253">
      <w:pPr>
        <w:pStyle w:val="SingleTxtG"/>
        <w:ind w:left="1701"/>
      </w:pPr>
      <w:r>
        <w:t>‘</w:t>
      </w:r>
      <w:r w:rsidRPr="00ED0543">
        <w:rPr>
          <w:i/>
        </w:rPr>
        <w:t>This sub-section only applies when cargoes are intended to be carried in bulk according to the following IMO instruments: Annex II of MARPOL 73/78</w:t>
      </w:r>
      <w:r w:rsidRPr="00ED0543">
        <w:rPr>
          <w:i/>
          <w:vertAlign w:val="superscript"/>
        </w:rPr>
        <w:t>9</w:t>
      </w:r>
      <w:r w:rsidRPr="00ED0543">
        <w:rPr>
          <w:i/>
        </w:rPr>
        <w:t>, the IBC code</w:t>
      </w:r>
      <w:r w:rsidRPr="00ED0543">
        <w:rPr>
          <w:i/>
          <w:vertAlign w:val="superscript"/>
        </w:rPr>
        <w:t>10</w:t>
      </w:r>
      <w:r w:rsidRPr="00ED0543">
        <w:rPr>
          <w:i/>
        </w:rPr>
        <w:t xml:space="preserve">, the IMSBC </w:t>
      </w:r>
      <w:proofErr w:type="spellStart"/>
      <w:r w:rsidRPr="00ED0543">
        <w:rPr>
          <w:i/>
        </w:rPr>
        <w:t>code</w:t>
      </w:r>
      <w:r w:rsidRPr="00ED0543">
        <w:rPr>
          <w:i/>
          <w:vertAlign w:val="superscript"/>
        </w:rPr>
        <w:t>XX</w:t>
      </w:r>
      <w:proofErr w:type="spellEnd"/>
      <w:r w:rsidRPr="00ED0543">
        <w:rPr>
          <w:i/>
        </w:rPr>
        <w:t xml:space="preserve"> and the IGC </w:t>
      </w:r>
      <w:proofErr w:type="spellStart"/>
      <w:r w:rsidRPr="00ED0543">
        <w:rPr>
          <w:i/>
        </w:rPr>
        <w:t>code</w:t>
      </w:r>
      <w:r w:rsidRPr="00ED0543">
        <w:rPr>
          <w:i/>
          <w:vertAlign w:val="superscript"/>
        </w:rPr>
        <w:t>XX</w:t>
      </w:r>
      <w:proofErr w:type="spellEnd"/>
      <w:r>
        <w:t>.’</w:t>
      </w:r>
    </w:p>
    <w:p w:rsidR="00D47253" w:rsidRDefault="00D47253" w:rsidP="00D47253">
      <w:pPr>
        <w:pStyle w:val="SingleTxtG"/>
        <w:numPr>
          <w:ilvl w:val="0"/>
          <w:numId w:val="41"/>
        </w:numPr>
        <w:ind w:left="1134" w:firstLine="0"/>
      </w:pPr>
      <w:r>
        <w:t>Add explanations of IMSBC code and IGC code to footnotes and number accordingly.</w:t>
      </w:r>
    </w:p>
    <w:p w:rsidR="00D47253" w:rsidRDefault="00D47253" w:rsidP="00D47253">
      <w:pPr>
        <w:pStyle w:val="SingleTxtG"/>
        <w:numPr>
          <w:ilvl w:val="0"/>
          <w:numId w:val="41"/>
        </w:numPr>
        <w:ind w:left="1134" w:firstLine="0"/>
      </w:pPr>
      <w:r>
        <w:t>Add a third paragraph to give guidance on the type of information that should be included for solid bulk cargoes as agreed by the Sub-Committee. This might include the bulk cargo shipping name, whether or not the cargo is considered ‘harmful to the marine environment’, whether it has a ‘material hazardous only in bulk (MHB), and what group it should be shipped under according to IMSBC.</w:t>
      </w:r>
    </w:p>
    <w:p w:rsidR="00D47253" w:rsidRDefault="00D47253" w:rsidP="00D47253">
      <w:pPr>
        <w:pStyle w:val="SingleTxtG"/>
        <w:numPr>
          <w:ilvl w:val="0"/>
          <w:numId w:val="41"/>
        </w:numPr>
        <w:ind w:left="1134" w:firstLine="0"/>
      </w:pPr>
      <w:r>
        <w:t xml:space="preserve">Add a fourth paragraph to give information on the type of information that is needed for gaseous bulk cargoes – as agreed by the Sub-Committee. </w:t>
      </w:r>
      <w:r w:rsidRPr="00150E0D">
        <w:t xml:space="preserve">This might include product name and ship type according to IGC or earlier versions </w:t>
      </w:r>
      <w:proofErr w:type="spellStart"/>
      <w:r w:rsidRPr="00150E0D">
        <w:t>eGC</w:t>
      </w:r>
      <w:proofErr w:type="spellEnd"/>
      <w:r w:rsidRPr="00150E0D">
        <w:t xml:space="preserve"> and CG</w:t>
      </w:r>
      <w:r>
        <w:t>.</w:t>
      </w:r>
    </w:p>
    <w:p w:rsidR="00D47253" w:rsidRPr="00210CBF" w:rsidRDefault="00D47253" w:rsidP="00D47253">
      <w:pPr>
        <w:pStyle w:val="HChG"/>
        <w:ind w:left="2268"/>
      </w:pPr>
      <w:r w:rsidRPr="00210CBF">
        <w:t>Summary</w:t>
      </w:r>
    </w:p>
    <w:p w:rsidR="00D47253" w:rsidRDefault="00D47253" w:rsidP="00D47253">
      <w:pPr>
        <w:pStyle w:val="SingleTxtG"/>
        <w:numPr>
          <w:ilvl w:val="0"/>
          <w:numId w:val="41"/>
        </w:numPr>
        <w:ind w:left="1134" w:firstLine="0"/>
      </w:pPr>
      <w:r>
        <w:t xml:space="preserve">The section name change and additional guidance would assist both the safety data sheet author and the user as the information on bulk transport could be found in the same subsection of the safety data sheet for </w:t>
      </w:r>
      <w:r w:rsidRPr="00ED0543">
        <w:rPr>
          <w:u w:val="single"/>
        </w:rPr>
        <w:t>all physical forms</w:t>
      </w:r>
      <w:r>
        <w:t>.</w:t>
      </w:r>
    </w:p>
    <w:p w:rsidR="00D47253" w:rsidRPr="00210CBF" w:rsidRDefault="00D47253" w:rsidP="00D47253">
      <w:pPr>
        <w:pStyle w:val="SingleTxtG"/>
        <w:numPr>
          <w:ilvl w:val="0"/>
          <w:numId w:val="41"/>
        </w:numPr>
        <w:ind w:left="1134" w:firstLine="0"/>
      </w:pPr>
      <w:r>
        <w:t>ICMM would be pleased to work with Sub-Committee members to draft the guidance text as required.</w:t>
      </w:r>
    </w:p>
    <w:p w:rsidR="00D47253" w:rsidRPr="00D47253" w:rsidRDefault="00D47253" w:rsidP="00D47253">
      <w:pPr>
        <w:pStyle w:val="HChG"/>
        <w:keepNext w:val="0"/>
        <w:keepLines w:val="0"/>
        <w:spacing w:before="240" w:after="0" w:line="240" w:lineRule="atLeast"/>
        <w:ind w:firstLine="0"/>
        <w:jc w:val="center"/>
        <w:rPr>
          <w:b w:val="0"/>
          <w:u w:val="single"/>
        </w:rPr>
      </w:pPr>
      <w:r w:rsidRPr="00D47253">
        <w:rPr>
          <w:b w:val="0"/>
          <w:u w:val="single"/>
        </w:rPr>
        <w:tab/>
      </w:r>
      <w:r w:rsidRPr="00D47253">
        <w:rPr>
          <w:b w:val="0"/>
          <w:u w:val="single"/>
        </w:rPr>
        <w:tab/>
      </w:r>
      <w:r w:rsidRPr="00D47253">
        <w:rPr>
          <w:b w:val="0"/>
          <w:u w:val="single"/>
        </w:rPr>
        <w:tab/>
      </w:r>
    </w:p>
    <w:p w:rsidR="00715170" w:rsidRPr="00715170" w:rsidRDefault="00715170" w:rsidP="00D47253">
      <w:pPr>
        <w:pStyle w:val="HChG"/>
        <w:rPr>
          <w:u w:val="single"/>
        </w:rPr>
      </w:pPr>
    </w:p>
    <w:sectPr w:rsidR="00715170" w:rsidRPr="00715170"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D6" w:rsidRDefault="00125DD6"/>
  </w:endnote>
  <w:endnote w:type="continuationSeparator" w:id="0">
    <w:p w:rsidR="00125DD6" w:rsidRDefault="00125DD6"/>
  </w:endnote>
  <w:endnote w:type="continuationNotice" w:id="1">
    <w:p w:rsidR="00125DD6" w:rsidRDefault="00125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9E6C8B">
      <w:rPr>
        <w:b/>
        <w:noProof/>
        <w:sz w:val="18"/>
      </w:rPr>
      <w:t>2</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D47253">
      <w:rPr>
        <w:b/>
        <w:noProof/>
        <w:sz w:val="18"/>
      </w:rPr>
      <w:t>7</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00" w:rsidRDefault="00B20500" w:rsidP="00B20500">
    <w:r>
      <w:rPr>
        <w:noProof/>
        <w:lang w:eastAsia="zh-CN"/>
      </w:rPr>
      <w:drawing>
        <wp:anchor distT="0" distB="0" distL="114300" distR="114300" simplePos="0" relativeHeight="251659264"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D6" w:rsidRPr="000B175B" w:rsidRDefault="00125DD6" w:rsidP="000B175B">
      <w:pPr>
        <w:tabs>
          <w:tab w:val="right" w:pos="2155"/>
        </w:tabs>
        <w:spacing w:after="80"/>
        <w:ind w:left="680"/>
        <w:rPr>
          <w:u w:val="single"/>
        </w:rPr>
      </w:pPr>
      <w:r>
        <w:rPr>
          <w:u w:val="single"/>
        </w:rPr>
        <w:tab/>
      </w:r>
    </w:p>
  </w:footnote>
  <w:footnote w:type="continuationSeparator" w:id="0">
    <w:p w:rsidR="00125DD6" w:rsidRPr="00FC68B7" w:rsidRDefault="00125DD6" w:rsidP="00FC68B7">
      <w:pPr>
        <w:tabs>
          <w:tab w:val="left" w:pos="2155"/>
        </w:tabs>
        <w:spacing w:after="80"/>
        <w:ind w:left="680"/>
        <w:rPr>
          <w:u w:val="single"/>
        </w:rPr>
      </w:pPr>
      <w:r>
        <w:rPr>
          <w:u w:val="single"/>
        </w:rPr>
        <w:tab/>
      </w:r>
    </w:p>
  </w:footnote>
  <w:footnote w:type="continuationNotice" w:id="1">
    <w:p w:rsidR="00125DD6" w:rsidRDefault="00125D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C7852" w:rsidRDefault="004C6E3D" w:rsidP="00F54DDA">
    <w:pPr>
      <w:pStyle w:val="Header"/>
      <w:rPr>
        <w:lang w:val="fr-CA"/>
      </w:rPr>
    </w:pPr>
    <w:r w:rsidRPr="00DA5A3D">
      <w:rPr>
        <w:noProof/>
        <w:lang w:val="fr-CA"/>
      </w:rPr>
      <w:t>UN/SCETDG/4</w:t>
    </w:r>
    <w:r w:rsidR="00FC7852" w:rsidRPr="00DA5A3D">
      <w:rPr>
        <w:noProof/>
        <w:lang w:val="fr-CA"/>
      </w:rPr>
      <w:t>9</w:t>
    </w:r>
    <w:r w:rsidR="0094085C" w:rsidRPr="00DA5A3D">
      <w:rPr>
        <w:noProof/>
        <w:lang w:val="fr-CA"/>
      </w:rPr>
      <w:t>/INF.</w:t>
    </w:r>
    <w:r w:rsidR="00D47253">
      <w:rPr>
        <w:noProof/>
        <w:lang w:val="fr-CA"/>
      </w:rPr>
      <w:t>28</w:t>
    </w:r>
    <w:r w:rsidR="0094085C" w:rsidRPr="00DA5A3D">
      <w:rPr>
        <w:noProof/>
        <w:lang w:val="fr-CA"/>
      </w:rPr>
      <w:br/>
    </w:r>
    <w:r w:rsidR="00FC7852" w:rsidRPr="00DA5A3D">
      <w:rPr>
        <w:noProof/>
        <w:lang w:val="fr-CA"/>
      </w:rPr>
      <w:t>UN/SCEGHS/31</w:t>
    </w:r>
    <w:r w:rsidR="0094085C" w:rsidRPr="00DA5A3D">
      <w:rPr>
        <w:noProof/>
        <w:lang w:val="fr-CA"/>
      </w:rPr>
      <w:t>/INF.</w:t>
    </w:r>
    <w:r w:rsidR="00D47253">
      <w:rPr>
        <w:noProof/>
        <w:lang w:val="fr-CA"/>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440E44" w:rsidRDefault="00440E44" w:rsidP="0005570C">
    <w:pPr>
      <w:pStyle w:val="Header"/>
      <w:jc w:val="right"/>
      <w:rPr>
        <w:lang w:val="fr-CA"/>
      </w:rPr>
    </w:pPr>
    <w:r w:rsidRPr="00440E44">
      <w:rPr>
        <w:lang w:val="fr-CA"/>
      </w:rPr>
      <w:t>UN/SCETDG/49</w:t>
    </w:r>
    <w:r w:rsidR="004C6E3D" w:rsidRPr="00440E44">
      <w:rPr>
        <w:lang w:val="fr-CA"/>
      </w:rPr>
      <w:t>/INF.</w:t>
    </w:r>
    <w:r w:rsidRPr="00440E44">
      <w:rPr>
        <w:lang w:val="fr-CA"/>
      </w:rPr>
      <w:t>15</w:t>
    </w:r>
    <w:r w:rsidR="00A67DC2" w:rsidRPr="00440E44">
      <w:rPr>
        <w:lang w:val="fr-CA"/>
      </w:rPr>
      <w:br/>
      <w:t>UN/SCEGHS</w:t>
    </w:r>
    <w:r w:rsidRPr="00440E44">
      <w:rPr>
        <w:lang w:val="fr-CA"/>
      </w:rPr>
      <w:t>/31/INF.5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00" w:rsidRDefault="00B20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26D1DF0"/>
    <w:multiLevelType w:val="hybridMultilevel"/>
    <w:tmpl w:val="EC1EE83A"/>
    <w:lvl w:ilvl="0" w:tplc="C1A8D9E6">
      <w:start w:val="1"/>
      <w:numFmt w:val="decimal"/>
      <w:lvlText w:val="%1."/>
      <w:lvlJc w:val="left"/>
      <w:pPr>
        <w:ind w:left="3538" w:hanging="5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6">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10"/>
  </w:num>
  <w:num w:numId="14">
    <w:abstractNumId w:val="33"/>
  </w:num>
  <w:num w:numId="15">
    <w:abstractNumId w:val="16"/>
  </w:num>
  <w:num w:numId="16">
    <w:abstractNumId w:val="12"/>
  </w:num>
  <w:num w:numId="17">
    <w:abstractNumId w:val="37"/>
  </w:num>
  <w:num w:numId="18">
    <w:abstractNumId w:val="27"/>
  </w:num>
  <w:num w:numId="19">
    <w:abstractNumId w:val="13"/>
  </w:num>
  <w:num w:numId="20">
    <w:abstractNumId w:val="30"/>
  </w:num>
  <w:num w:numId="21">
    <w:abstractNumId w:val="18"/>
  </w:num>
  <w:num w:numId="22">
    <w:abstractNumId w:val="14"/>
  </w:num>
  <w:num w:numId="23">
    <w:abstractNumId w:val="17"/>
  </w:num>
  <w:num w:numId="24">
    <w:abstractNumId w:val="29"/>
  </w:num>
  <w:num w:numId="25">
    <w:abstractNumId w:val="31"/>
  </w:num>
  <w:num w:numId="26">
    <w:abstractNumId w:val="32"/>
  </w:num>
  <w:num w:numId="27">
    <w:abstractNumId w:val="39"/>
  </w:num>
  <w:num w:numId="28">
    <w:abstractNumId w:val="28"/>
  </w:num>
  <w:num w:numId="29">
    <w:abstractNumId w:val="22"/>
  </w:num>
  <w:num w:numId="30">
    <w:abstractNumId w:val="38"/>
  </w:num>
  <w:num w:numId="31">
    <w:abstractNumId w:val="19"/>
  </w:num>
  <w:num w:numId="32">
    <w:abstractNumId w:val="24"/>
  </w:num>
  <w:num w:numId="33">
    <w:abstractNumId w:val="11"/>
  </w:num>
  <w:num w:numId="34">
    <w:abstractNumId w:val="20"/>
  </w:num>
  <w:num w:numId="35">
    <w:abstractNumId w:val="36"/>
  </w:num>
  <w:num w:numId="36">
    <w:abstractNumId w:val="25"/>
  </w:num>
  <w:num w:numId="37">
    <w:abstractNumId w:val="35"/>
  </w:num>
  <w:num w:numId="38">
    <w:abstractNumId w:val="23"/>
  </w:num>
  <w:num w:numId="39">
    <w:abstractNumId w:val="34"/>
  </w:num>
  <w:num w:numId="40">
    <w:abstractNumId w:val="26"/>
  </w:num>
  <w:num w:numId="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43C8"/>
    <w:rsid w:val="000E0415"/>
    <w:rsid w:val="000E572A"/>
    <w:rsid w:val="000E6D5E"/>
    <w:rsid w:val="000F0909"/>
    <w:rsid w:val="000F143A"/>
    <w:rsid w:val="000F5FF7"/>
    <w:rsid w:val="00103C0E"/>
    <w:rsid w:val="00107AD9"/>
    <w:rsid w:val="00114E72"/>
    <w:rsid w:val="00117787"/>
    <w:rsid w:val="00120F5D"/>
    <w:rsid w:val="00125758"/>
    <w:rsid w:val="00125775"/>
    <w:rsid w:val="00125DD6"/>
    <w:rsid w:val="001266BA"/>
    <w:rsid w:val="00131D42"/>
    <w:rsid w:val="0014496C"/>
    <w:rsid w:val="00144FC4"/>
    <w:rsid w:val="0015653A"/>
    <w:rsid w:val="0016063F"/>
    <w:rsid w:val="00160BC1"/>
    <w:rsid w:val="001633FB"/>
    <w:rsid w:val="00166B07"/>
    <w:rsid w:val="001771E6"/>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6795"/>
    <w:rsid w:val="00266C11"/>
    <w:rsid w:val="002722E5"/>
    <w:rsid w:val="002725CA"/>
    <w:rsid w:val="00274700"/>
    <w:rsid w:val="00274F33"/>
    <w:rsid w:val="00280D2B"/>
    <w:rsid w:val="00280EB7"/>
    <w:rsid w:val="002817F4"/>
    <w:rsid w:val="00281BE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69A5"/>
    <w:rsid w:val="002E7C35"/>
    <w:rsid w:val="002F0918"/>
    <w:rsid w:val="002F1234"/>
    <w:rsid w:val="002F440C"/>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741B"/>
    <w:rsid w:val="004179D7"/>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329B"/>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02E7"/>
    <w:rsid w:val="00571C38"/>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7621"/>
    <w:rsid w:val="00650267"/>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5764"/>
    <w:rsid w:val="0072632A"/>
    <w:rsid w:val="007273E4"/>
    <w:rsid w:val="007428A0"/>
    <w:rsid w:val="00743F34"/>
    <w:rsid w:val="0075177E"/>
    <w:rsid w:val="00757A17"/>
    <w:rsid w:val="0077383A"/>
    <w:rsid w:val="00776830"/>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F36A7"/>
    <w:rsid w:val="008F42F2"/>
    <w:rsid w:val="008F65D0"/>
    <w:rsid w:val="00905AEA"/>
    <w:rsid w:val="00910229"/>
    <w:rsid w:val="00910E37"/>
    <w:rsid w:val="009145E5"/>
    <w:rsid w:val="00915E24"/>
    <w:rsid w:val="009174F9"/>
    <w:rsid w:val="009178F6"/>
    <w:rsid w:val="00920726"/>
    <w:rsid w:val="00924330"/>
    <w:rsid w:val="0092549E"/>
    <w:rsid w:val="0093457E"/>
    <w:rsid w:val="0094085C"/>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9E6C8B"/>
    <w:rsid w:val="009E7B0D"/>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10153"/>
    <w:rsid w:val="00B20500"/>
    <w:rsid w:val="00B2292E"/>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4639"/>
    <w:rsid w:val="00CF6553"/>
    <w:rsid w:val="00CF7C69"/>
    <w:rsid w:val="00CF7FCE"/>
    <w:rsid w:val="00D00E69"/>
    <w:rsid w:val="00D01A50"/>
    <w:rsid w:val="00D01ACC"/>
    <w:rsid w:val="00D02365"/>
    <w:rsid w:val="00D04934"/>
    <w:rsid w:val="00D0609D"/>
    <w:rsid w:val="00D11828"/>
    <w:rsid w:val="00D13382"/>
    <w:rsid w:val="00D2031B"/>
    <w:rsid w:val="00D2387E"/>
    <w:rsid w:val="00D25FE2"/>
    <w:rsid w:val="00D37949"/>
    <w:rsid w:val="00D41099"/>
    <w:rsid w:val="00D42146"/>
    <w:rsid w:val="00D43252"/>
    <w:rsid w:val="00D44AE0"/>
    <w:rsid w:val="00D44EFC"/>
    <w:rsid w:val="00D47253"/>
    <w:rsid w:val="00D5171D"/>
    <w:rsid w:val="00D606BB"/>
    <w:rsid w:val="00D625F5"/>
    <w:rsid w:val="00D668CA"/>
    <w:rsid w:val="00D72869"/>
    <w:rsid w:val="00D753D8"/>
    <w:rsid w:val="00D77FB6"/>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67039"/>
    <w:rsid w:val="00E7260F"/>
    <w:rsid w:val="00E8535A"/>
    <w:rsid w:val="00E92301"/>
    <w:rsid w:val="00E96630"/>
    <w:rsid w:val="00EA5271"/>
    <w:rsid w:val="00EB0D77"/>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51DE7-4C14-41E4-910F-B0C5E77A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815</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Rosa Garcia-Couto</cp:lastModifiedBy>
  <cp:revision>13</cp:revision>
  <cp:lastPrinted>2016-04-19T07:54:00Z</cp:lastPrinted>
  <dcterms:created xsi:type="dcterms:W3CDTF">2016-05-24T12:58:00Z</dcterms:created>
  <dcterms:modified xsi:type="dcterms:W3CDTF">2016-06-15T08:40:00Z</dcterms:modified>
</cp:coreProperties>
</file>