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35562" w14:paraId="169A1DA5" w14:textId="77777777" w:rsidTr="009F0F06">
        <w:trPr>
          <w:trHeight w:val="851"/>
        </w:trPr>
        <w:tc>
          <w:tcPr>
            <w:tcW w:w="1259" w:type="dxa"/>
            <w:tcBorders>
              <w:top w:val="nil"/>
              <w:left w:val="nil"/>
              <w:bottom w:val="single" w:sz="4" w:space="0" w:color="auto"/>
              <w:right w:val="nil"/>
            </w:tcBorders>
          </w:tcPr>
          <w:p w14:paraId="5A43D13F"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76BF54CB" w14:textId="77777777" w:rsidR="00446DE4" w:rsidRPr="00635562" w:rsidRDefault="00B3317B" w:rsidP="00F54674">
            <w:pPr>
              <w:spacing w:after="80" w:line="340" w:lineRule="exact"/>
              <w:rPr>
                <w:sz w:val="28"/>
                <w:szCs w:val="28"/>
              </w:rPr>
            </w:pPr>
            <w:r w:rsidRPr="00635562">
              <w:rPr>
                <w:sz w:val="28"/>
                <w:szCs w:val="28"/>
              </w:rPr>
              <w:t>United Nations</w:t>
            </w:r>
          </w:p>
        </w:tc>
        <w:tc>
          <w:tcPr>
            <w:tcW w:w="6144" w:type="dxa"/>
            <w:gridSpan w:val="2"/>
            <w:tcBorders>
              <w:top w:val="nil"/>
              <w:left w:val="nil"/>
              <w:bottom w:val="single" w:sz="4" w:space="0" w:color="auto"/>
              <w:right w:val="nil"/>
            </w:tcBorders>
            <w:vAlign w:val="bottom"/>
          </w:tcPr>
          <w:p w14:paraId="2524FA11" w14:textId="77777777" w:rsidR="00446DE4" w:rsidRPr="00635562" w:rsidRDefault="0040205D" w:rsidP="00FA46E6">
            <w:pPr>
              <w:jc w:val="right"/>
            </w:pPr>
            <w:r w:rsidRPr="00635562">
              <w:rPr>
                <w:sz w:val="40"/>
              </w:rPr>
              <w:t>ST</w:t>
            </w:r>
            <w:r w:rsidRPr="00635562">
              <w:t>/SG/AC.10/44/Add.2</w:t>
            </w:r>
          </w:p>
        </w:tc>
      </w:tr>
      <w:tr w:rsidR="003107FA" w:rsidRPr="00635562" w14:paraId="3C523CCD" w14:textId="77777777" w:rsidTr="009F0F06">
        <w:trPr>
          <w:trHeight w:val="2835"/>
        </w:trPr>
        <w:tc>
          <w:tcPr>
            <w:tcW w:w="1259" w:type="dxa"/>
            <w:tcBorders>
              <w:top w:val="single" w:sz="4" w:space="0" w:color="auto"/>
              <w:left w:val="nil"/>
              <w:bottom w:val="single" w:sz="12" w:space="0" w:color="auto"/>
              <w:right w:val="nil"/>
            </w:tcBorders>
          </w:tcPr>
          <w:p w14:paraId="316FF0A6" w14:textId="77777777" w:rsidR="003107FA" w:rsidRPr="00635562" w:rsidRDefault="00057FD8" w:rsidP="002B1CDA">
            <w:pPr>
              <w:spacing w:before="120"/>
              <w:jc w:val="center"/>
            </w:pPr>
            <w:r w:rsidRPr="00635562">
              <w:rPr>
                <w:noProof/>
                <w:lang w:eastAsia="en-GB"/>
              </w:rPr>
              <w:drawing>
                <wp:inline distT="0" distB="0" distL="0" distR="0" wp14:anchorId="02321689" wp14:editId="5697255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6FE281" w14:textId="77777777" w:rsidR="003107FA" w:rsidRPr="00635562" w:rsidRDefault="00D96CC5" w:rsidP="001633FB">
            <w:pPr>
              <w:spacing w:before="120" w:line="420" w:lineRule="exact"/>
              <w:rPr>
                <w:b/>
                <w:sz w:val="40"/>
                <w:szCs w:val="40"/>
              </w:rPr>
            </w:pPr>
            <w:r w:rsidRPr="00635562">
              <w:rPr>
                <w:b/>
                <w:sz w:val="40"/>
                <w:szCs w:val="40"/>
              </w:rPr>
              <w:t>Secretariat</w:t>
            </w:r>
          </w:p>
        </w:tc>
        <w:tc>
          <w:tcPr>
            <w:tcW w:w="2930" w:type="dxa"/>
            <w:tcBorders>
              <w:top w:val="single" w:sz="4" w:space="0" w:color="auto"/>
              <w:left w:val="nil"/>
              <w:bottom w:val="single" w:sz="12" w:space="0" w:color="auto"/>
              <w:right w:val="nil"/>
            </w:tcBorders>
          </w:tcPr>
          <w:p w14:paraId="15512C4F" w14:textId="77777777" w:rsidR="003107FA" w:rsidRPr="00635562" w:rsidRDefault="0040205D" w:rsidP="0040205D">
            <w:pPr>
              <w:spacing w:before="240" w:line="240" w:lineRule="exact"/>
            </w:pPr>
            <w:r w:rsidRPr="00635562">
              <w:t>Distr.: General</w:t>
            </w:r>
          </w:p>
          <w:p w14:paraId="661D8413" w14:textId="01C54697" w:rsidR="0040205D" w:rsidRPr="00635562" w:rsidRDefault="00060F3C" w:rsidP="0040205D">
            <w:pPr>
              <w:spacing w:line="240" w:lineRule="exact"/>
            </w:pPr>
            <w:r w:rsidRPr="00635562">
              <w:t>24</w:t>
            </w:r>
            <w:r w:rsidR="00D05DBC" w:rsidRPr="00635562">
              <w:t xml:space="preserve"> March</w:t>
            </w:r>
            <w:r w:rsidR="00293E48" w:rsidRPr="00635562">
              <w:t xml:space="preserve"> 2017</w:t>
            </w:r>
          </w:p>
          <w:p w14:paraId="1560C1A5" w14:textId="7598A4EC" w:rsidR="0040205D" w:rsidRPr="00635562" w:rsidRDefault="00D05DBC" w:rsidP="0040205D">
            <w:pPr>
              <w:spacing w:line="240" w:lineRule="exact"/>
              <w:rPr>
                <w:b/>
              </w:rPr>
            </w:pPr>
            <w:r w:rsidRPr="00635562">
              <w:t>English</w:t>
            </w:r>
          </w:p>
          <w:p w14:paraId="3BF18A45" w14:textId="3DDEB77F" w:rsidR="0040205D" w:rsidRPr="00635562" w:rsidRDefault="0040205D" w:rsidP="0040205D">
            <w:pPr>
              <w:spacing w:line="240" w:lineRule="exact"/>
            </w:pPr>
            <w:r w:rsidRPr="00635562">
              <w:t>Original: English</w:t>
            </w:r>
            <w:r w:rsidR="00D05DBC" w:rsidRPr="00635562">
              <w:t xml:space="preserve"> and French</w:t>
            </w:r>
          </w:p>
        </w:tc>
      </w:tr>
    </w:tbl>
    <w:p w14:paraId="26781E7A" w14:textId="77777777" w:rsidR="002F1882" w:rsidRPr="00635562" w:rsidRDefault="002F1882" w:rsidP="002F1882">
      <w:pPr>
        <w:spacing w:before="120"/>
        <w:rPr>
          <w:b/>
          <w:sz w:val="24"/>
          <w:szCs w:val="24"/>
        </w:rPr>
      </w:pPr>
      <w:r w:rsidRPr="00635562">
        <w:rPr>
          <w:b/>
          <w:sz w:val="24"/>
          <w:szCs w:val="24"/>
        </w:rPr>
        <w:t>Committee of Experts on the Transport of Dangerous Goods</w:t>
      </w:r>
      <w:r w:rsidRPr="00635562">
        <w:rPr>
          <w:b/>
          <w:sz w:val="24"/>
          <w:szCs w:val="24"/>
        </w:rPr>
        <w:br/>
      </w:r>
      <w:proofErr w:type="gramStart"/>
      <w:r w:rsidRPr="00635562">
        <w:rPr>
          <w:b/>
          <w:sz w:val="24"/>
          <w:szCs w:val="24"/>
        </w:rPr>
        <w:t>and</w:t>
      </w:r>
      <w:proofErr w:type="gramEnd"/>
      <w:r w:rsidRPr="00635562">
        <w:rPr>
          <w:b/>
          <w:sz w:val="24"/>
          <w:szCs w:val="24"/>
        </w:rPr>
        <w:t xml:space="preserve"> on the Globally Harmonized System of Classification</w:t>
      </w:r>
      <w:r w:rsidRPr="00635562">
        <w:rPr>
          <w:b/>
          <w:sz w:val="24"/>
          <w:szCs w:val="24"/>
        </w:rPr>
        <w:br/>
        <w:t>and Labelling of Chemicals</w:t>
      </w:r>
    </w:p>
    <w:p w14:paraId="6935E2B1" w14:textId="77777777" w:rsidR="002F1882" w:rsidRPr="00635562" w:rsidRDefault="002F1882" w:rsidP="002F1882">
      <w:pPr>
        <w:pStyle w:val="HChG"/>
        <w:rPr>
          <w:bCs/>
        </w:rPr>
      </w:pPr>
      <w:r w:rsidRPr="00635562">
        <w:rPr>
          <w:bCs/>
        </w:rPr>
        <w:tab/>
      </w:r>
      <w:r w:rsidRPr="00635562">
        <w:rPr>
          <w:bCs/>
        </w:rPr>
        <w:tab/>
        <w:t>Report of the Committee of Experts on the Transport of Dangerous Goods and on the Globally Harmonized System of Classification and Labelling of Chemicals on its eighth session</w:t>
      </w:r>
    </w:p>
    <w:p w14:paraId="53469F3A" w14:textId="77777777" w:rsidR="002F1882" w:rsidRPr="00635562" w:rsidRDefault="002F1882" w:rsidP="002F1882">
      <w:pPr>
        <w:ind w:left="567" w:firstLine="567"/>
      </w:pPr>
      <w:proofErr w:type="gramStart"/>
      <w:r w:rsidRPr="00635562">
        <w:t>held</w:t>
      </w:r>
      <w:proofErr w:type="gramEnd"/>
      <w:r w:rsidRPr="00635562">
        <w:t xml:space="preserve"> in Geneva on 9 December 2016</w:t>
      </w:r>
    </w:p>
    <w:p w14:paraId="575768BC" w14:textId="77777777" w:rsidR="002F1882" w:rsidRPr="00635562" w:rsidRDefault="002F1882" w:rsidP="002F1882">
      <w:pPr>
        <w:pStyle w:val="H23G"/>
      </w:pPr>
      <w:r w:rsidRPr="00635562">
        <w:tab/>
      </w:r>
      <w:r w:rsidRPr="00635562">
        <w:tab/>
        <w:t>Addendum</w:t>
      </w:r>
    </w:p>
    <w:p w14:paraId="4F59C704" w14:textId="4D868889" w:rsidR="002F1882" w:rsidRPr="00635562" w:rsidRDefault="002F1882" w:rsidP="002F1882">
      <w:pPr>
        <w:pStyle w:val="H1G"/>
      </w:pPr>
      <w:r w:rsidRPr="00635562">
        <w:tab/>
      </w:r>
      <w:r w:rsidRPr="00635562">
        <w:tab/>
        <w:t>Annex II</w:t>
      </w:r>
    </w:p>
    <w:p w14:paraId="4234D2AC" w14:textId="31FD710A" w:rsidR="002F1882" w:rsidRPr="00635562" w:rsidRDefault="002F1882" w:rsidP="002F1882">
      <w:pPr>
        <w:pStyle w:val="H1G"/>
      </w:pPr>
      <w:r w:rsidRPr="00635562">
        <w:tab/>
      </w:r>
      <w:r w:rsidRPr="00635562">
        <w:tab/>
        <w:t>Amendments to the sixth revised edition of the Recommendations on the Transport of Dangerous Goods, Manual of Tests and Criteria (ST/SG/AC.10/11/Rev.6)</w:t>
      </w:r>
    </w:p>
    <w:p w14:paraId="5787548B" w14:textId="77777777" w:rsidR="0040205D" w:rsidRPr="00635562" w:rsidRDefault="0040205D" w:rsidP="0040205D">
      <w:pPr>
        <w:pStyle w:val="HChG"/>
      </w:pPr>
      <w:r w:rsidRPr="00635562">
        <w:br w:type="page"/>
      </w:r>
    </w:p>
    <w:p w14:paraId="69A4E19A" w14:textId="77777777" w:rsidR="00D4340F" w:rsidRPr="00635562" w:rsidRDefault="00D4340F" w:rsidP="00635562">
      <w:pPr>
        <w:pStyle w:val="HChG"/>
      </w:pPr>
      <w:r w:rsidRPr="00635562">
        <w:lastRenderedPageBreak/>
        <w:tab/>
      </w:r>
      <w:r w:rsidRPr="00635562">
        <w:tab/>
        <w:t>Section 1</w:t>
      </w:r>
    </w:p>
    <w:p w14:paraId="79F8D0C3" w14:textId="3500E40F" w:rsidR="00545344" w:rsidRPr="00635562" w:rsidRDefault="00D4340F" w:rsidP="00061ADE">
      <w:pPr>
        <w:pStyle w:val="SingleTxtG"/>
      </w:pPr>
      <w:r w:rsidRPr="00635562">
        <w:t>1.1.2</w:t>
      </w:r>
      <w:r w:rsidRPr="00635562">
        <w:tab/>
        <w:t>Amend the second sentence to read as follows: “It therefore assumes technical competence on the part of the testing body.</w:t>
      </w:r>
      <w:proofErr w:type="gramStart"/>
      <w:r w:rsidRPr="00635562">
        <w:t>”.</w:t>
      </w:r>
      <w:proofErr w:type="gramEnd"/>
    </w:p>
    <w:p w14:paraId="15A45A38" w14:textId="53652B72" w:rsidR="00B03C88" w:rsidRPr="00635562" w:rsidRDefault="00B03C88" w:rsidP="00061ADE">
      <w:pPr>
        <w:pStyle w:val="SingleTxtG"/>
      </w:pPr>
      <w:r w:rsidRPr="00635562">
        <w:t>1.3.1</w:t>
      </w:r>
      <w:r w:rsidRPr="00635562">
        <w:tab/>
        <w:t>In the first sentence, replace “risk” by “hazard”. In the second sentence, replace “risks” by “hazards”.</w:t>
      </w:r>
    </w:p>
    <w:p w14:paraId="1F2653C9" w14:textId="0101A7B1" w:rsidR="00D11AB9" w:rsidRPr="00635562" w:rsidRDefault="00D11AB9" w:rsidP="00635562">
      <w:pPr>
        <w:pStyle w:val="HChG"/>
      </w:pPr>
      <w:r w:rsidRPr="00635562">
        <w:tab/>
      </w:r>
      <w:r w:rsidRPr="00635562">
        <w:tab/>
        <w:t>Section 10</w:t>
      </w:r>
    </w:p>
    <w:p w14:paraId="339BA570" w14:textId="51E44227" w:rsidR="00D11AB9" w:rsidRPr="00635562" w:rsidRDefault="00D11AB9" w:rsidP="00D11AB9">
      <w:pPr>
        <w:pStyle w:val="SingleTxtG"/>
      </w:pPr>
      <w:r w:rsidRPr="00635562">
        <w:t>10.3.3.2</w:t>
      </w:r>
      <w:r w:rsidRPr="00635562">
        <w:tab/>
        <w:t>Amend to read as follows:</w:t>
      </w:r>
    </w:p>
    <w:p w14:paraId="3CCAC58F" w14:textId="7A481CFC" w:rsidR="00D11AB9" w:rsidRPr="00635562" w:rsidRDefault="00D11AB9" w:rsidP="00061ADE">
      <w:pPr>
        <w:pStyle w:val="SingleTxtG"/>
      </w:pPr>
      <w:r w:rsidRPr="00635562">
        <w:t>“10.3.3.2</w:t>
      </w:r>
      <w:r w:rsidRPr="00635562">
        <w:tab/>
        <w:t>The acceptance procedure for substances designed to have a practical explosive or pyrotechnic effect starts with the application of test series 3 to determine if the substance is too sensitive for transport in the form in which it is tested. If the substance passes all tests, the procedure for the assignment to the appropriate division is applied. If the substance fails any of the tests, it is forbidden for transport in the form tested. A substance which fails test type 3 (c) may be altered and resubmitted to test type 3(c). A substance which fails test types 3 (a), 3 (b) or 3 (d) may be encapsulated or packaged to reduce sensitiveness to external stimuli and submitted to test type 4(b).</w:t>
      </w:r>
      <w:proofErr w:type="gramStart"/>
      <w:r w:rsidRPr="00635562">
        <w:t>”.</w:t>
      </w:r>
      <w:proofErr w:type="gramEnd"/>
    </w:p>
    <w:p w14:paraId="7D0A4B0B" w14:textId="7E049C1B" w:rsidR="0091583E" w:rsidRPr="00635562" w:rsidRDefault="0091583E" w:rsidP="00061ADE">
      <w:pPr>
        <w:pStyle w:val="SingleTxtG"/>
      </w:pPr>
      <w:r w:rsidRPr="00635562">
        <w:t>Renumber current paragraph 10.3.3.3 to 10.3.3.4.</w:t>
      </w:r>
    </w:p>
    <w:p w14:paraId="0EEDDC83" w14:textId="77777777" w:rsidR="0091583E" w:rsidRPr="00635562" w:rsidRDefault="0091583E" w:rsidP="0091583E">
      <w:pPr>
        <w:pStyle w:val="SingleTxtG"/>
      </w:pPr>
      <w:r w:rsidRPr="00635562">
        <w:t>Renumber current paragraph 10.3.3.4 to 10.3.3.3 and amend as follows:</w:t>
      </w:r>
    </w:p>
    <w:p w14:paraId="2AED3EF9" w14:textId="23258E84" w:rsidR="0091583E" w:rsidRPr="00635562" w:rsidRDefault="0091583E" w:rsidP="00061ADE">
      <w:pPr>
        <w:pStyle w:val="SingleTxtG"/>
        <w:rPr>
          <w:color w:val="000000" w:themeColor="text1"/>
        </w:rPr>
      </w:pPr>
      <w:r w:rsidRPr="00635562">
        <w:rPr>
          <w:color w:val="000000" w:themeColor="text1"/>
        </w:rPr>
        <w:t xml:space="preserve">“10.3.3.3 All articles as presented for transport (packaged or unpackaged) should be subjected to test series 4. However, if there is sufficient information to indicate that the article would not be too dangerous for transport, the competent authority may decide to waive all or part of these tests for the article. If the product passes all the required tests in test series 4, the procedure for assignment to the appropriate division is applied. If the product fails any of the required tests, it is forbidden for transport in the form tested, but </w:t>
      </w:r>
      <w:r w:rsidR="0016100E" w:rsidRPr="00635562">
        <w:rPr>
          <w:color w:val="000000" w:themeColor="text1"/>
        </w:rPr>
        <w:t xml:space="preserve">it </w:t>
      </w:r>
      <w:r w:rsidRPr="00635562">
        <w:rPr>
          <w:color w:val="000000" w:themeColor="text1"/>
        </w:rPr>
        <w:t>may be modified or repackaged and resubmitted to test series 4. If the competent authority suspects that the product may be subject to stimuli other than those specified in test series 4 resulting in potentially dangerous effects, additional information or tests may be required (see note under paragraph 2.1.3.3.1 of the Model Regulations).”.</w:t>
      </w:r>
    </w:p>
    <w:p w14:paraId="47E64E48" w14:textId="05B2B378" w:rsidR="0040205D" w:rsidRPr="00635562" w:rsidRDefault="0040205D" w:rsidP="00635562">
      <w:pPr>
        <w:pStyle w:val="HChG"/>
      </w:pPr>
      <w:r w:rsidRPr="00635562">
        <w:tab/>
      </w:r>
      <w:r w:rsidRPr="00635562">
        <w:tab/>
        <w:t>Section 11</w:t>
      </w:r>
    </w:p>
    <w:p w14:paraId="695608FB" w14:textId="11FB4DD4" w:rsidR="00E824E6" w:rsidRPr="00635562" w:rsidRDefault="00E824E6" w:rsidP="00061ADE">
      <w:pPr>
        <w:pStyle w:val="SingleTxtG"/>
      </w:pPr>
      <w:r w:rsidRPr="00635562">
        <w:t>11.3.2</w:t>
      </w:r>
      <w:r w:rsidRPr="00635562">
        <w:tab/>
        <w:t>Delete “during transport”.</w:t>
      </w:r>
    </w:p>
    <w:p w14:paraId="479C493F" w14:textId="520EA57D" w:rsidR="00DE6FCD" w:rsidRPr="00635562" w:rsidRDefault="00E824E6" w:rsidP="00061ADE">
      <w:pPr>
        <w:pStyle w:val="SingleTxtG"/>
      </w:pPr>
      <w:r w:rsidRPr="00635562">
        <w:t>11.3.3</w:t>
      </w:r>
      <w:r w:rsidRPr="00635562">
        <w:tab/>
      </w:r>
      <w:r w:rsidR="00DE6FCD" w:rsidRPr="00635562">
        <w:t>Replace “should be performed” by “are performed”. Replace “is to be transported under conditions” by “is likely to encounter conditions”.</w:t>
      </w:r>
    </w:p>
    <w:p w14:paraId="0C2342AF" w14:textId="27D4172D" w:rsidR="00E824E6" w:rsidRPr="00635562" w:rsidRDefault="00E824E6" w:rsidP="00061ADE">
      <w:pPr>
        <w:pStyle w:val="SingleTxtG"/>
        <w:rPr>
          <w:i/>
          <w:iCs/>
        </w:rPr>
      </w:pPr>
      <w:r w:rsidRPr="00635562">
        <w:t>11.3.4</w:t>
      </w:r>
      <w:r w:rsidRPr="00635562">
        <w:tab/>
      </w:r>
      <w:r w:rsidRPr="00635562">
        <w:tab/>
        <w:t xml:space="preserve">Replace “considered for transport” </w:t>
      </w:r>
      <w:r w:rsidR="00A84C9E" w:rsidRPr="00635562">
        <w:t xml:space="preserve">by </w:t>
      </w:r>
      <w:r w:rsidRPr="00635562">
        <w:t>“considered for packing”.</w:t>
      </w:r>
    </w:p>
    <w:p w14:paraId="0E08C10B" w14:textId="65767057" w:rsidR="0040205D" w:rsidRPr="00635562" w:rsidRDefault="0040205D" w:rsidP="00061ADE">
      <w:pPr>
        <w:pStyle w:val="SingleTxtG"/>
      </w:pPr>
      <w:r w:rsidRPr="00635562">
        <w:t>11.5.1.2.1 (</w:t>
      </w:r>
      <w:proofErr w:type="gramStart"/>
      <w:r w:rsidRPr="00635562">
        <w:t>d</w:t>
      </w:r>
      <w:proofErr w:type="gramEnd"/>
      <w:r w:rsidRPr="00635562">
        <w:t>)</w:t>
      </w:r>
      <w:r w:rsidRPr="00635562">
        <w:tab/>
        <w:t xml:space="preserve">Replace “30 ± 3 </w:t>
      </w:r>
      <w:proofErr w:type="spellStart"/>
      <w:r w:rsidRPr="00635562">
        <w:t>MPa</w:t>
      </w:r>
      <w:proofErr w:type="spellEnd"/>
      <w:r w:rsidRPr="00635562">
        <w:t xml:space="preserve">” by “29 </w:t>
      </w:r>
      <w:proofErr w:type="spellStart"/>
      <w:r w:rsidRPr="00635562">
        <w:t>MPa</w:t>
      </w:r>
      <w:proofErr w:type="spellEnd"/>
      <w:r w:rsidRPr="00635562">
        <w:t xml:space="preserve"> ± 4 </w:t>
      </w:r>
      <w:proofErr w:type="spellStart"/>
      <w:r w:rsidRPr="00635562">
        <w:t>MPa</w:t>
      </w:r>
      <w:proofErr w:type="spellEnd"/>
      <w:r w:rsidRPr="00635562">
        <w:t>”.</w:t>
      </w:r>
    </w:p>
    <w:p w14:paraId="31758D46" w14:textId="3B0023C1" w:rsidR="004B4052" w:rsidRPr="00635562" w:rsidRDefault="004B4052" w:rsidP="00061ADE">
      <w:pPr>
        <w:pStyle w:val="SingleTxtG"/>
      </w:pPr>
      <w:r w:rsidRPr="00635562">
        <w:t>11.5.1.3.1</w:t>
      </w:r>
      <w:r w:rsidRPr="00635562">
        <w:tab/>
        <w:t xml:space="preserve">In footnote 1, replace “transport conditions” </w:t>
      </w:r>
      <w:r w:rsidR="00A84C9E" w:rsidRPr="00635562">
        <w:t xml:space="preserve">by </w:t>
      </w:r>
      <w:r w:rsidRPr="00635562">
        <w:t>“operating conditions”</w:t>
      </w:r>
      <w:r w:rsidR="00FD2F08" w:rsidRPr="00635562">
        <w:t>.</w:t>
      </w:r>
    </w:p>
    <w:p w14:paraId="36F6B5CF" w14:textId="77777777" w:rsidR="0040205D" w:rsidRPr="00635562" w:rsidRDefault="0040205D" w:rsidP="00635562">
      <w:pPr>
        <w:pStyle w:val="HChG"/>
      </w:pPr>
      <w:r w:rsidRPr="00635562">
        <w:tab/>
      </w:r>
      <w:r w:rsidRPr="00635562">
        <w:tab/>
        <w:t>Section 12</w:t>
      </w:r>
    </w:p>
    <w:p w14:paraId="31A99D28" w14:textId="0497C22C" w:rsidR="005F6520" w:rsidRPr="00635562" w:rsidRDefault="005F6520" w:rsidP="00061ADE">
      <w:pPr>
        <w:pStyle w:val="SingleTxtG"/>
      </w:pPr>
      <w:r w:rsidRPr="00635562">
        <w:t>12.1.1</w:t>
      </w:r>
      <w:r w:rsidRPr="00635562">
        <w:tab/>
        <w:t xml:space="preserve">Replace “Class 1” </w:t>
      </w:r>
      <w:r w:rsidR="00B76875" w:rsidRPr="00635562">
        <w:t xml:space="preserve">by </w:t>
      </w:r>
      <w:r w:rsidRPr="00635562">
        <w:t>“the class of explosives”.</w:t>
      </w:r>
    </w:p>
    <w:p w14:paraId="130B19E0" w14:textId="7589854B" w:rsidR="005F6520" w:rsidRPr="00635562" w:rsidRDefault="005F6520" w:rsidP="00061ADE">
      <w:pPr>
        <w:pStyle w:val="SingleTxtG"/>
      </w:pPr>
      <w:r w:rsidRPr="00635562">
        <w:t>12</w:t>
      </w:r>
      <w:r w:rsidR="00061ADE" w:rsidRPr="00635562">
        <w:t>.3.2</w:t>
      </w:r>
      <w:r w:rsidR="00061ADE" w:rsidRPr="00635562">
        <w:tab/>
        <w:t>Delete “during transport”.</w:t>
      </w:r>
    </w:p>
    <w:p w14:paraId="23E9C142" w14:textId="4DC19C0A" w:rsidR="005F6520" w:rsidRPr="00635562" w:rsidRDefault="005F6520" w:rsidP="00061ADE">
      <w:pPr>
        <w:pStyle w:val="SingleTxtG"/>
      </w:pPr>
      <w:r w:rsidRPr="00635562">
        <w:lastRenderedPageBreak/>
        <w:t>12.3.3</w:t>
      </w:r>
      <w:r w:rsidRPr="00635562">
        <w:tab/>
      </w:r>
      <w:r w:rsidR="00BD1213" w:rsidRPr="00635562">
        <w:t>Replace “should be performed” by “are performed”. Replace “is to be transported under conditions” by “is likely to encounter conditions”.</w:t>
      </w:r>
    </w:p>
    <w:p w14:paraId="163204BB" w14:textId="4928FE02" w:rsidR="0040205D" w:rsidRPr="00635562" w:rsidRDefault="0040205D" w:rsidP="00061ADE">
      <w:pPr>
        <w:pStyle w:val="SingleTxtG"/>
      </w:pPr>
      <w:r w:rsidRPr="00635562">
        <w:t>12.5.1.2.1 (</w:t>
      </w:r>
      <w:proofErr w:type="gramStart"/>
      <w:r w:rsidRPr="00635562">
        <w:t>d</w:t>
      </w:r>
      <w:proofErr w:type="gramEnd"/>
      <w:r w:rsidRPr="00635562">
        <w:t>)</w:t>
      </w:r>
      <w:r w:rsidRPr="00635562">
        <w:tab/>
        <w:t xml:space="preserve">Replace “30 ± 3 </w:t>
      </w:r>
      <w:proofErr w:type="spellStart"/>
      <w:r w:rsidRPr="00635562">
        <w:t>MPa</w:t>
      </w:r>
      <w:proofErr w:type="spellEnd"/>
      <w:r w:rsidRPr="00635562">
        <w:t xml:space="preserve">” by “29 </w:t>
      </w:r>
      <w:proofErr w:type="spellStart"/>
      <w:r w:rsidRPr="00635562">
        <w:t>MPa</w:t>
      </w:r>
      <w:proofErr w:type="spellEnd"/>
      <w:r w:rsidRPr="00635562">
        <w:t xml:space="preserve"> ± 4 </w:t>
      </w:r>
      <w:proofErr w:type="spellStart"/>
      <w:r w:rsidRPr="00635562">
        <w:t>MPa</w:t>
      </w:r>
      <w:proofErr w:type="spellEnd"/>
      <w:r w:rsidRPr="00635562">
        <w:t>”.</w:t>
      </w:r>
    </w:p>
    <w:p w14:paraId="2E859C28" w14:textId="5B8E9F63" w:rsidR="0083608A" w:rsidRPr="00635562" w:rsidRDefault="0083608A" w:rsidP="00061ADE">
      <w:pPr>
        <w:pStyle w:val="SingleTxtG"/>
      </w:pPr>
      <w:r w:rsidRPr="00635562">
        <w:t>12.5.1.3.1</w:t>
      </w:r>
      <w:r w:rsidRPr="00635562">
        <w:tab/>
        <w:t xml:space="preserve">In footnote 1, replace “transport conditions” </w:t>
      </w:r>
      <w:r w:rsidR="009835FF" w:rsidRPr="00635562">
        <w:t xml:space="preserve">by </w:t>
      </w:r>
      <w:r w:rsidRPr="00635562">
        <w:t>“operating conditions”</w:t>
      </w:r>
      <w:r w:rsidR="00FD2F08" w:rsidRPr="00635562">
        <w:t>.</w:t>
      </w:r>
    </w:p>
    <w:p w14:paraId="491A6496" w14:textId="77777777" w:rsidR="0083608A" w:rsidRPr="00635562" w:rsidRDefault="0083608A" w:rsidP="00635562">
      <w:pPr>
        <w:pStyle w:val="HChG"/>
      </w:pPr>
      <w:r w:rsidRPr="00635562">
        <w:tab/>
      </w:r>
      <w:r w:rsidRPr="00635562">
        <w:tab/>
        <w:t>Section 13</w:t>
      </w:r>
    </w:p>
    <w:p w14:paraId="38045F62" w14:textId="49C54E80" w:rsidR="004553FE" w:rsidRPr="00635562" w:rsidRDefault="004553FE" w:rsidP="00765547">
      <w:pPr>
        <w:pStyle w:val="SingleTxtG"/>
      </w:pPr>
      <w:r w:rsidRPr="00635562">
        <w:t>13.1</w:t>
      </w:r>
      <w:r w:rsidRPr="00635562">
        <w:tab/>
        <w:t>Amend to read as follows:</w:t>
      </w:r>
    </w:p>
    <w:p w14:paraId="1491978D" w14:textId="50E51D0F" w:rsidR="00765547" w:rsidRPr="00635562" w:rsidRDefault="004553FE" w:rsidP="00765547">
      <w:pPr>
        <w:pStyle w:val="SingleTxtG"/>
      </w:pPr>
      <w:r w:rsidRPr="00635562">
        <w:t>“</w:t>
      </w:r>
      <w:r w:rsidR="00765547" w:rsidRPr="00635562">
        <w:t>13.1</w:t>
      </w:r>
      <w:r w:rsidR="00765547" w:rsidRPr="00635562">
        <w:tab/>
      </w:r>
      <w:r w:rsidR="00765547" w:rsidRPr="00635562">
        <w:rPr>
          <w:sz w:val="22"/>
          <w:szCs w:val="22"/>
        </w:rPr>
        <w:t xml:space="preserve"> </w:t>
      </w:r>
      <w:r w:rsidR="00765547" w:rsidRPr="00635562">
        <w:t xml:space="preserve">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shall be categorised as an unstable explosive; consequentially the substance is not permitted for transport. The question in box 11 is answered "yes" if a "+" is obtained in any of the test types 3(a), 3(b) or 3(d). If a "+" is obtained, the substance shall be categorised as an unstable explosive in the form in which it was tested but may be encapsulated or otherwise desensitized or </w:t>
      </w:r>
      <w:r w:rsidR="004F0757" w:rsidRPr="00635562">
        <w:t>packaged</w:t>
      </w:r>
      <w:r w:rsidR="001520BD" w:rsidRPr="00635562">
        <w:t xml:space="preserve"> </w:t>
      </w:r>
      <w:r w:rsidR="00765547" w:rsidRPr="00635562">
        <w:t>to reduce its sensitiveness to external stimuli.</w:t>
      </w:r>
    </w:p>
    <w:p w14:paraId="306FB385" w14:textId="0E110AA2" w:rsidR="00765547" w:rsidRPr="00635562" w:rsidRDefault="00765547" w:rsidP="00061ADE">
      <w:pPr>
        <w:pStyle w:val="SingleTxtG"/>
      </w:pPr>
      <w:r w:rsidRPr="00635562">
        <w:rPr>
          <w:b/>
          <w:i/>
        </w:rPr>
        <w:t xml:space="preserve">NOTE: </w:t>
      </w:r>
      <w:r w:rsidRPr="00635562">
        <w:rPr>
          <w:b/>
          <w:i/>
        </w:rPr>
        <w:tab/>
      </w:r>
      <w:r w:rsidRPr="00635562">
        <w:rPr>
          <w:i/>
        </w:rPr>
        <w:t>Although explosives categorised as unstable explosives are forbidden for transport they are not prohibited in other sectors where special precautions may be applied.</w:t>
      </w:r>
      <w:proofErr w:type="gramStart"/>
      <w:r w:rsidRPr="00635562">
        <w:t>”</w:t>
      </w:r>
      <w:r w:rsidR="004553FE" w:rsidRPr="00635562">
        <w:t>.</w:t>
      </w:r>
      <w:proofErr w:type="gramEnd"/>
    </w:p>
    <w:p w14:paraId="5FD0BFD7" w14:textId="75016BCF" w:rsidR="00765547" w:rsidRPr="00635562" w:rsidRDefault="00765547" w:rsidP="00061ADE">
      <w:pPr>
        <w:pStyle w:val="SingleTxtG"/>
      </w:pPr>
      <w:r w:rsidRPr="00635562">
        <w:t>13.3.2</w:t>
      </w:r>
      <w:r w:rsidRPr="00635562">
        <w:tab/>
        <w:t xml:space="preserve">Replace “wetting agent provided for transport” </w:t>
      </w:r>
      <w:r w:rsidR="00A875A1" w:rsidRPr="00635562">
        <w:t xml:space="preserve">by </w:t>
      </w:r>
      <w:r w:rsidRPr="00635562">
        <w:t>“wetting agent specified”.</w:t>
      </w:r>
    </w:p>
    <w:p w14:paraId="051EACA8" w14:textId="028BB787" w:rsidR="00765547" w:rsidRPr="00635562" w:rsidRDefault="00765547" w:rsidP="00061ADE">
      <w:pPr>
        <w:pStyle w:val="SingleTxtG"/>
      </w:pPr>
      <w:r w:rsidRPr="00635562">
        <w:t>13.3.3</w:t>
      </w:r>
      <w:r w:rsidRPr="00635562">
        <w:tab/>
        <w:t>Amend the middle of the sentence as follows: “… at ambient temperature unless the substance is likely to encounter conditions …</w:t>
      </w:r>
      <w:proofErr w:type="gramStart"/>
      <w:r w:rsidRPr="00635562">
        <w:t>”.</w:t>
      </w:r>
      <w:proofErr w:type="gramEnd"/>
    </w:p>
    <w:p w14:paraId="169DE89B" w14:textId="2C0A3BC2" w:rsidR="00765547" w:rsidRPr="00635562" w:rsidRDefault="00765547" w:rsidP="00B9700A">
      <w:pPr>
        <w:pStyle w:val="SingleTxtG"/>
      </w:pPr>
      <w:r w:rsidRPr="00635562">
        <w:t>13.4</w:t>
      </w:r>
      <w:r w:rsidRPr="00635562">
        <w:tab/>
        <w:t xml:space="preserve"> Throughout the whole sub-section replace “too dangerous to transport” and “too dangerous for transport” </w:t>
      </w:r>
      <w:r w:rsidR="0059312F" w:rsidRPr="00635562">
        <w:t xml:space="preserve">by </w:t>
      </w:r>
      <w:r w:rsidRPr="00635562">
        <w:t>“an unstable explosive”.</w:t>
      </w:r>
    </w:p>
    <w:p w14:paraId="42F1472B" w14:textId="64B3DA75" w:rsidR="00765547" w:rsidRPr="00635562" w:rsidRDefault="00765547" w:rsidP="00061ADE">
      <w:pPr>
        <w:pStyle w:val="SingleTxtG"/>
        <w:rPr>
          <w:i/>
        </w:rPr>
      </w:pPr>
      <w:r w:rsidRPr="00635562">
        <w:rPr>
          <w:i/>
        </w:rPr>
        <w:t>(Applies to the following paragraphs: 13.4.1.1; 13.4.1.4.1; 13.4.1.4.2; 13.4.2.1; 13.4.2.4; 13.4.3.1; 13.4.3.4.1 (twice); 13.4.3.4.2 (twice); 13.4.4.1; 13.4.4.4; 13.4.5.1; 13.4.5.4.2; 13.4.5.4.3; 13.4.6.1; 13.4.6.4.1; 13.4.6.4.2; 13.4.7.1; 13.4.7.5.1 and 13.4.7.5.2)</w:t>
      </w:r>
    </w:p>
    <w:p w14:paraId="77B42352" w14:textId="311D0D43" w:rsidR="00765547" w:rsidRPr="00635562" w:rsidRDefault="00765547" w:rsidP="00061ADE">
      <w:pPr>
        <w:pStyle w:val="SingleTxtG"/>
      </w:pPr>
      <w:proofErr w:type="gramStart"/>
      <w:r w:rsidRPr="00635562">
        <w:t>13.4.2.3.1 (c)</w:t>
      </w:r>
      <w:r w:rsidRPr="00635562">
        <w:tab/>
        <w:t xml:space="preserve">Replace “are transported” </w:t>
      </w:r>
      <w:r w:rsidR="0059312F" w:rsidRPr="00635562">
        <w:t xml:space="preserve">by </w:t>
      </w:r>
      <w:r w:rsidRPr="00635562">
        <w:t>“are manufactured”.</w:t>
      </w:r>
      <w:proofErr w:type="gramEnd"/>
    </w:p>
    <w:p w14:paraId="4B484467" w14:textId="17882BAB" w:rsidR="00765547" w:rsidRPr="00635562" w:rsidRDefault="00765547" w:rsidP="00061ADE">
      <w:pPr>
        <w:pStyle w:val="SingleTxtG"/>
      </w:pPr>
      <w:r w:rsidRPr="00635562">
        <w:t>13.4.6.3.1.1</w:t>
      </w:r>
      <w:r w:rsidRPr="00635562">
        <w:tab/>
        <w:t xml:space="preserve">At the end of the second sentence replace “wetting agent required for transport” </w:t>
      </w:r>
      <w:r w:rsidR="0059312F" w:rsidRPr="00635562">
        <w:t xml:space="preserve">by </w:t>
      </w:r>
      <w:r w:rsidRPr="00635562">
        <w:t>“wetting agent specified”.</w:t>
      </w:r>
    </w:p>
    <w:p w14:paraId="594FBCB5" w14:textId="433E4682" w:rsidR="00765547" w:rsidRPr="00635562" w:rsidRDefault="00765547" w:rsidP="00061ADE">
      <w:pPr>
        <w:pStyle w:val="SingleTxtG"/>
      </w:pPr>
      <w:r w:rsidRPr="00635562">
        <w:t>13.4.7.3.1</w:t>
      </w:r>
      <w:r w:rsidRPr="00635562">
        <w:tab/>
        <w:t xml:space="preserve"> At the end of the second sentence replace “wetting agent required for transport” </w:t>
      </w:r>
      <w:r w:rsidR="0059312F" w:rsidRPr="00635562">
        <w:t xml:space="preserve">by </w:t>
      </w:r>
      <w:r w:rsidRPr="00635562">
        <w:t>“wetting agent specified”.</w:t>
      </w:r>
    </w:p>
    <w:p w14:paraId="2B3070EF" w14:textId="0D88C38D" w:rsidR="00765547" w:rsidRPr="00635562" w:rsidRDefault="00765547" w:rsidP="00B9700A">
      <w:pPr>
        <w:pStyle w:val="SingleTxtG"/>
      </w:pPr>
      <w:r w:rsidRPr="00635562">
        <w:t>13.5</w:t>
      </w:r>
      <w:r w:rsidRPr="00635562">
        <w:tab/>
        <w:t xml:space="preserve"> Throughout the whole sub-section replace “too dangerous to transport” and “too dangerous for transport” </w:t>
      </w:r>
      <w:r w:rsidR="0059312F" w:rsidRPr="00635562">
        <w:t xml:space="preserve">by </w:t>
      </w:r>
      <w:r w:rsidRPr="00635562">
        <w:t>“an unstable explosive”.</w:t>
      </w:r>
    </w:p>
    <w:p w14:paraId="7C693E1D" w14:textId="433C9CAC" w:rsidR="00765547" w:rsidRPr="00635562" w:rsidRDefault="00765547" w:rsidP="00061ADE">
      <w:pPr>
        <w:pStyle w:val="SingleTxtG"/>
        <w:rPr>
          <w:i/>
        </w:rPr>
      </w:pPr>
      <w:r w:rsidRPr="00635562">
        <w:rPr>
          <w:i/>
        </w:rPr>
        <w:t>(Applies to the following paragraphs: 13.5.1.1; 13.5.1.3.4; 13.5.2.1; 13.5.2.4 (twice); 13.5.3.1; 13.5.3.4; 13.5.4.1 and 13.5.4.5)</w:t>
      </w:r>
    </w:p>
    <w:p w14:paraId="2486A616" w14:textId="5DC89B09" w:rsidR="00765547" w:rsidRPr="00635562" w:rsidRDefault="00765547" w:rsidP="00061ADE">
      <w:pPr>
        <w:pStyle w:val="SingleTxtG"/>
      </w:pPr>
      <w:r w:rsidRPr="00635562">
        <w:t>13.5.1.3.1</w:t>
      </w:r>
      <w:r w:rsidRPr="00635562">
        <w:tab/>
        <w:t xml:space="preserve">At the end of the second sentence replace “wetting agent provided for transport” </w:t>
      </w:r>
      <w:r w:rsidR="0059312F" w:rsidRPr="00635562">
        <w:t xml:space="preserve">by </w:t>
      </w:r>
      <w:r w:rsidRPr="00635562">
        <w:t xml:space="preserve">“wetting agent specified” and in sub-paragraph (c) replace “are transported” </w:t>
      </w:r>
      <w:r w:rsidR="0059312F" w:rsidRPr="00635562">
        <w:t xml:space="preserve">by </w:t>
      </w:r>
      <w:r w:rsidRPr="00635562">
        <w:t>“are manufactured”.</w:t>
      </w:r>
    </w:p>
    <w:p w14:paraId="40FA7BA9" w14:textId="4F67FF8B" w:rsidR="00765547" w:rsidRPr="00635562" w:rsidRDefault="00765547" w:rsidP="00061ADE">
      <w:pPr>
        <w:pStyle w:val="SingleTxtG"/>
      </w:pPr>
      <w:r w:rsidRPr="00635562">
        <w:t>13.5.3.3.1</w:t>
      </w:r>
      <w:r w:rsidRPr="00635562">
        <w:tab/>
        <w:t xml:space="preserve">Replace “wetting agent provided for transport” </w:t>
      </w:r>
      <w:r w:rsidR="0059312F" w:rsidRPr="00635562">
        <w:t xml:space="preserve">by </w:t>
      </w:r>
      <w:r w:rsidRPr="00635562">
        <w:t>“wetting agent specified”.</w:t>
      </w:r>
    </w:p>
    <w:p w14:paraId="5A242F92" w14:textId="594E30D6" w:rsidR="00765547" w:rsidRPr="00635562" w:rsidRDefault="00765547" w:rsidP="00765547">
      <w:pPr>
        <w:pStyle w:val="SingleTxtG"/>
      </w:pPr>
      <w:r w:rsidRPr="00635562">
        <w:t>13.5.4.3.1</w:t>
      </w:r>
      <w:r w:rsidRPr="00635562">
        <w:tab/>
        <w:t xml:space="preserve">Replace “wetting agent provided for transport” </w:t>
      </w:r>
      <w:r w:rsidR="0059312F" w:rsidRPr="00635562">
        <w:t xml:space="preserve">by </w:t>
      </w:r>
      <w:r w:rsidRPr="00635562">
        <w:t>“wetting agent specified”.</w:t>
      </w:r>
    </w:p>
    <w:p w14:paraId="2D1F3B6E" w14:textId="27B46DDE" w:rsidR="00765547" w:rsidRPr="00635562" w:rsidRDefault="00765547" w:rsidP="00765547">
      <w:pPr>
        <w:pStyle w:val="SingleTxtG"/>
      </w:pPr>
      <w:r w:rsidRPr="00635562">
        <w:t>13.6.1.1</w:t>
      </w:r>
      <w:r w:rsidRPr="00635562">
        <w:tab/>
        <w:t xml:space="preserve">Replace “stability” </w:t>
      </w:r>
      <w:r w:rsidR="0059312F" w:rsidRPr="00635562">
        <w:t xml:space="preserve">by </w:t>
      </w:r>
      <w:r w:rsidRPr="00635562">
        <w:t>“thermal stability” and delete “to determine if the substance is too dangerous to transport” at the end on the sentence.</w:t>
      </w:r>
    </w:p>
    <w:p w14:paraId="4BD9F3F2" w14:textId="02556330" w:rsidR="00765547" w:rsidRPr="00635562" w:rsidRDefault="00765547" w:rsidP="00765547">
      <w:pPr>
        <w:pStyle w:val="SingleTxtG"/>
        <w:rPr>
          <w:sz w:val="22"/>
          <w:szCs w:val="22"/>
        </w:rPr>
      </w:pPr>
      <w:r w:rsidRPr="00635562">
        <w:lastRenderedPageBreak/>
        <w:t>13.6.1.3.1</w:t>
      </w:r>
      <w:r w:rsidRPr="00635562">
        <w:tab/>
        <w:t>Amend the last sentence to read as follows: “If explosion or ignition occurs then the substance is too thermally unstable for transport and shall be categorized as an unstable explosive”.</w:t>
      </w:r>
    </w:p>
    <w:p w14:paraId="48C15288" w14:textId="2AE35584" w:rsidR="0059312F" w:rsidRPr="00635562" w:rsidRDefault="0059312F" w:rsidP="00765547">
      <w:pPr>
        <w:pStyle w:val="SingleTxtG"/>
      </w:pPr>
      <w:r w:rsidRPr="00635562">
        <w:t>13.6.1.4.2</w:t>
      </w:r>
      <w:r w:rsidRPr="00635562">
        <w:tab/>
        <w:t>Amend the end of the sentence to read as follows: “…considered thermally unstable, shall be categorised</w:t>
      </w:r>
      <w:r w:rsidRPr="00635562" w:rsidDel="006B55D3">
        <w:t xml:space="preserve"> </w:t>
      </w:r>
      <w:r w:rsidRPr="00635562">
        <w:t>as an unstable explosive and is not permitted for transport.</w:t>
      </w:r>
      <w:proofErr w:type="gramStart"/>
      <w:r w:rsidRPr="00635562">
        <w:t>”.</w:t>
      </w:r>
      <w:proofErr w:type="gramEnd"/>
    </w:p>
    <w:p w14:paraId="75343F26" w14:textId="02CAE767" w:rsidR="00765547" w:rsidRPr="00635562" w:rsidRDefault="00765547" w:rsidP="00765547">
      <w:pPr>
        <w:pStyle w:val="SingleTxtG"/>
      </w:pPr>
      <w:r w:rsidRPr="00635562">
        <w:t>13.6.2.1</w:t>
      </w:r>
      <w:r w:rsidRPr="00635562">
        <w:tab/>
        <w:t xml:space="preserve">Replace “stability” </w:t>
      </w:r>
      <w:r w:rsidR="00B76875" w:rsidRPr="00635562">
        <w:t xml:space="preserve">by </w:t>
      </w:r>
      <w:r w:rsidRPr="00635562">
        <w:t>“thermal stability” and delete “to determine if the substance is too dangerous to transport” at the end on the sentence.</w:t>
      </w:r>
    </w:p>
    <w:p w14:paraId="65C23157" w14:textId="25E473A0" w:rsidR="0059312F" w:rsidRPr="00635562" w:rsidRDefault="0059312F" w:rsidP="00765547">
      <w:pPr>
        <w:pStyle w:val="SingleTxtG"/>
      </w:pPr>
      <w:r w:rsidRPr="00635562">
        <w:t>13.6.2.4.2</w:t>
      </w:r>
      <w:r w:rsidRPr="00635562">
        <w:tab/>
        <w:t>Amend the end of the sentence to read as follows: “…considered thermally unstable, shall be categorised</w:t>
      </w:r>
      <w:r w:rsidRPr="00635562" w:rsidDel="006B55D3">
        <w:t xml:space="preserve"> </w:t>
      </w:r>
      <w:r w:rsidRPr="00635562">
        <w:t>as an unstable explosive and is not permitted for transport</w:t>
      </w:r>
      <w:r w:rsidRPr="00635562">
        <w:rPr>
          <w:sz w:val="18"/>
          <w:szCs w:val="18"/>
        </w:rPr>
        <w:t>.</w:t>
      </w:r>
      <w:proofErr w:type="gramStart"/>
      <w:r w:rsidRPr="00635562">
        <w:rPr>
          <w:sz w:val="18"/>
          <w:szCs w:val="18"/>
        </w:rPr>
        <w:t>”.</w:t>
      </w:r>
      <w:proofErr w:type="gramEnd"/>
    </w:p>
    <w:p w14:paraId="21A29500" w14:textId="77F1E000" w:rsidR="00765547" w:rsidRPr="00635562" w:rsidRDefault="00765547" w:rsidP="00765547">
      <w:pPr>
        <w:pStyle w:val="SingleTxtG"/>
        <w:rPr>
          <w:sz w:val="18"/>
          <w:szCs w:val="18"/>
        </w:rPr>
      </w:pPr>
      <w:r w:rsidRPr="00635562">
        <w:t>13.7.1.3</w:t>
      </w:r>
      <w:r w:rsidRPr="00635562">
        <w:tab/>
        <w:t xml:space="preserve">In the last paragraph, replace “too dangerous for transport” </w:t>
      </w:r>
      <w:r w:rsidR="0059312F" w:rsidRPr="00635562">
        <w:t xml:space="preserve">by </w:t>
      </w:r>
      <w:r w:rsidRPr="00635562">
        <w:t>“an unstable explosive”.</w:t>
      </w:r>
    </w:p>
    <w:p w14:paraId="715CEB4B" w14:textId="77777777" w:rsidR="00A96C07" w:rsidRPr="00635562" w:rsidRDefault="00FA11C4" w:rsidP="00635562">
      <w:pPr>
        <w:pStyle w:val="HChG"/>
      </w:pPr>
      <w:r w:rsidRPr="00635562">
        <w:tab/>
      </w:r>
      <w:r w:rsidRPr="00635562">
        <w:tab/>
        <w:t>Section 15</w:t>
      </w:r>
    </w:p>
    <w:p w14:paraId="14BB97F5" w14:textId="77777777" w:rsidR="00BB4A41" w:rsidRPr="00635562" w:rsidRDefault="00BB4A41" w:rsidP="00BB4A41">
      <w:pPr>
        <w:spacing w:after="120"/>
        <w:ind w:left="2268" w:hanging="1134"/>
      </w:pPr>
      <w:r w:rsidRPr="00635562">
        <w:t>15.3.2</w:t>
      </w:r>
      <w:r w:rsidRPr="00635562">
        <w:tab/>
        <w:t>Replace “to be transported under conditions” by “likely to encounter conditions”.</w:t>
      </w:r>
    </w:p>
    <w:p w14:paraId="4F3DBFB8" w14:textId="152B612E" w:rsidR="00BB4A41" w:rsidRPr="00635562" w:rsidRDefault="00BB4A41" w:rsidP="00DA086C">
      <w:pPr>
        <w:pStyle w:val="SingleTxtG"/>
      </w:pPr>
      <w:r w:rsidRPr="00635562">
        <w:t>15.4.1.3</w:t>
      </w:r>
      <w:r w:rsidRPr="00635562">
        <w:tab/>
        <w:t>Delete the fourth sentence (“In all cases</w:t>
      </w:r>
      <w:proofErr w:type="gramStart"/>
      <w:r w:rsidRPr="00635562">
        <w:t>,…</w:t>
      </w:r>
      <w:proofErr w:type="gramEnd"/>
      <w:r w:rsidRPr="00635562">
        <w:t xml:space="preserve"> shipping density.)”.</w:t>
      </w:r>
      <w:r w:rsidR="00947186" w:rsidRPr="00635562">
        <w:t xml:space="preserve"> </w:t>
      </w:r>
      <w:r w:rsidRPr="00635562">
        <w:t xml:space="preserve">In the fourth last but one sentence, replace “which have to be transported in regions of high ambient temperatures” </w:t>
      </w:r>
      <w:r w:rsidR="00B76875" w:rsidRPr="00635562">
        <w:t xml:space="preserve">by </w:t>
      </w:r>
      <w:r w:rsidRPr="00635562">
        <w:t>“which could be subjected to high ambient temperatures”.</w:t>
      </w:r>
    </w:p>
    <w:p w14:paraId="4A503C3C" w14:textId="39FF4BA0" w:rsidR="00BB4A41" w:rsidRPr="00635562" w:rsidRDefault="00BB4A41" w:rsidP="00DA086C">
      <w:pPr>
        <w:pStyle w:val="SingleTxtG"/>
      </w:pPr>
      <w:r w:rsidRPr="00635562">
        <w:t>Figures 15.4.1.1</w:t>
      </w:r>
      <w:r w:rsidR="00E061DD" w:rsidRPr="00635562">
        <w:tab/>
      </w:r>
      <w:proofErr w:type="gramStart"/>
      <w:r w:rsidRPr="00635562">
        <w:t>Amend</w:t>
      </w:r>
      <w:proofErr w:type="gramEnd"/>
      <w:r w:rsidRPr="00635562">
        <w:t xml:space="preserve"> the description for (B) to read as follows: “Cardboard tube”. </w:t>
      </w:r>
    </w:p>
    <w:p w14:paraId="03239986" w14:textId="51543C5D" w:rsidR="00BB4A41" w:rsidRPr="00635562" w:rsidRDefault="00BB4A41" w:rsidP="0076166F">
      <w:pPr>
        <w:spacing w:after="120"/>
        <w:ind w:left="1134"/>
      </w:pPr>
      <w:r w:rsidRPr="00635562">
        <w:t xml:space="preserve">Figure 15.4.1.2 </w:t>
      </w:r>
      <w:r w:rsidR="00E061DD" w:rsidRPr="00635562">
        <w:tab/>
      </w:r>
      <w:r w:rsidR="0076166F" w:rsidRPr="00635562">
        <w:t xml:space="preserve">Amend the description for (B) to read as follows: “Cardboard tube”. </w:t>
      </w:r>
      <w:r w:rsidRPr="00635562">
        <w:t>Delete the dimensions from the description of (E) and (F).</w:t>
      </w:r>
    </w:p>
    <w:p w14:paraId="3B1A879E" w14:textId="1FBA7E7A" w:rsidR="00BB4A41" w:rsidRPr="00635562" w:rsidRDefault="00BB4A41" w:rsidP="00DA086C">
      <w:pPr>
        <w:pStyle w:val="SingleTxtG"/>
      </w:pPr>
      <w:r w:rsidRPr="00635562">
        <w:t>15.6.1.1</w:t>
      </w:r>
      <w:r w:rsidRPr="00635562">
        <w:tab/>
        <w:t xml:space="preserve">Replace “packaged as for transport” </w:t>
      </w:r>
      <w:r w:rsidR="00E061DD" w:rsidRPr="00635562">
        <w:t xml:space="preserve">by </w:t>
      </w:r>
      <w:r w:rsidRPr="00635562">
        <w:t xml:space="preserve">“as </w:t>
      </w:r>
      <w:r w:rsidR="004F0757" w:rsidRPr="00635562">
        <w:t>packaged</w:t>
      </w:r>
      <w:r w:rsidR="00E061DD" w:rsidRPr="00635562">
        <w:t xml:space="preserve"> </w:t>
      </w:r>
      <w:r w:rsidRPr="00635562">
        <w:t>for transport”.</w:t>
      </w:r>
    </w:p>
    <w:p w14:paraId="19C4053F" w14:textId="15B39AEF" w:rsidR="00BB4A41" w:rsidRPr="00635562" w:rsidRDefault="00BB4A41" w:rsidP="00BB4A41">
      <w:pPr>
        <w:pStyle w:val="SingleTxtG"/>
        <w:ind w:left="2268" w:hanging="1134"/>
      </w:pPr>
      <w:r w:rsidRPr="00635562">
        <w:t>15.6.1.2 (</w:t>
      </w:r>
      <w:proofErr w:type="gramStart"/>
      <w:r w:rsidRPr="00635562">
        <w:t>a</w:t>
      </w:r>
      <w:proofErr w:type="gramEnd"/>
      <w:r w:rsidRPr="00635562">
        <w:t>)</w:t>
      </w:r>
      <w:r w:rsidRPr="00635562">
        <w:tab/>
        <w:t xml:space="preserve">Replace “transport” </w:t>
      </w:r>
      <w:r w:rsidR="00B76875" w:rsidRPr="00635562">
        <w:t xml:space="preserve">by </w:t>
      </w:r>
      <w:r w:rsidRPr="00635562">
        <w:t>“classification”.</w:t>
      </w:r>
    </w:p>
    <w:p w14:paraId="13694372" w14:textId="77777777" w:rsidR="00FA11C4" w:rsidRPr="00635562" w:rsidRDefault="00FA11C4" w:rsidP="00635562">
      <w:pPr>
        <w:pStyle w:val="HChG"/>
      </w:pPr>
      <w:r w:rsidRPr="00635562">
        <w:tab/>
      </w:r>
      <w:r w:rsidRPr="00635562">
        <w:tab/>
        <w:t>Section 16</w:t>
      </w:r>
    </w:p>
    <w:p w14:paraId="535FAD65" w14:textId="7AAE95D7" w:rsidR="00344B87" w:rsidRPr="00635562" w:rsidRDefault="00344B87" w:rsidP="00B76875">
      <w:pPr>
        <w:pStyle w:val="SingleTxtG"/>
      </w:pPr>
      <w:r w:rsidRPr="00635562">
        <w:t>16.1.1</w:t>
      </w:r>
      <w:r w:rsidRPr="00635562">
        <w:tab/>
        <w:t>At the end of the second sentence delete “a load is”.</w:t>
      </w:r>
      <w:r w:rsidR="00B76875" w:rsidRPr="00635562">
        <w:t xml:space="preserve"> </w:t>
      </w:r>
      <w:r w:rsidRPr="00635562">
        <w:t xml:space="preserve">In the last sentence replace “Class 1” </w:t>
      </w:r>
      <w:r w:rsidR="00B76875" w:rsidRPr="00635562">
        <w:t xml:space="preserve">by </w:t>
      </w:r>
      <w:r w:rsidRPr="00635562">
        <w:t>“the class of explosives”.</w:t>
      </w:r>
    </w:p>
    <w:p w14:paraId="1D95DB80" w14:textId="1057BB24" w:rsidR="00344B87" w:rsidRPr="00635562" w:rsidRDefault="00344B87" w:rsidP="00B76875">
      <w:pPr>
        <w:pStyle w:val="SingleTxtG"/>
      </w:pPr>
      <w:r w:rsidRPr="00635562">
        <w:t>16.2.2</w:t>
      </w:r>
      <w:r w:rsidRPr="00635562">
        <w:tab/>
        <w:t xml:space="preserve">In sub-paragraph (a), replace “carried” </w:t>
      </w:r>
      <w:r w:rsidR="00B76875" w:rsidRPr="00635562">
        <w:t xml:space="preserve">by </w:t>
      </w:r>
      <w:r w:rsidRPr="00635562">
        <w:t>“classified”.</w:t>
      </w:r>
      <w:r w:rsidR="00B76875" w:rsidRPr="00635562">
        <w:t xml:space="preserve"> </w:t>
      </w:r>
      <w:r w:rsidRPr="00635562">
        <w:t>In sub-paragraph (b) (</w:t>
      </w:r>
      <w:proofErr w:type="spellStart"/>
      <w:r w:rsidRPr="00635562">
        <w:t>i</w:t>
      </w:r>
      <w:proofErr w:type="spellEnd"/>
      <w:r w:rsidRPr="00635562">
        <w:t xml:space="preserve">), replace “detonation and/or ignition” </w:t>
      </w:r>
      <w:r w:rsidR="00B76875" w:rsidRPr="00635562">
        <w:t xml:space="preserve">by </w:t>
      </w:r>
      <w:r w:rsidRPr="00635562">
        <w:t>“initiation”.</w:t>
      </w:r>
    </w:p>
    <w:p w14:paraId="17ADB859" w14:textId="430AFA19" w:rsidR="00344B87" w:rsidRPr="00635562" w:rsidRDefault="00344B87" w:rsidP="00B76875">
      <w:pPr>
        <w:pStyle w:val="SingleTxtG"/>
      </w:pPr>
      <w:r w:rsidRPr="00635562">
        <w:t>16.3.1</w:t>
      </w:r>
      <w:r w:rsidRPr="00635562">
        <w:tab/>
        <w:t xml:space="preserve">In the second sentence replace “most disadvantageous” </w:t>
      </w:r>
      <w:r w:rsidR="00B76875" w:rsidRPr="00635562">
        <w:t xml:space="preserve">by </w:t>
      </w:r>
      <w:r w:rsidRPr="00635562">
        <w:t>“most severe”.</w:t>
      </w:r>
      <w:r w:rsidR="00B76875" w:rsidRPr="00635562">
        <w:t xml:space="preserve"> </w:t>
      </w:r>
      <w:r w:rsidRPr="00635562">
        <w:t xml:space="preserve">In the third sentence replace “carried” </w:t>
      </w:r>
      <w:r w:rsidR="00B76875" w:rsidRPr="00635562">
        <w:t xml:space="preserve">by </w:t>
      </w:r>
      <w:r w:rsidRPr="00635562">
        <w:t>“classified”.</w:t>
      </w:r>
    </w:p>
    <w:p w14:paraId="70B6198F" w14:textId="17297C4F" w:rsidR="00344B87" w:rsidRPr="00635562" w:rsidRDefault="00344B87" w:rsidP="00344B87">
      <w:pPr>
        <w:spacing w:after="120"/>
        <w:ind w:left="2268" w:hanging="1134"/>
      </w:pPr>
      <w:r w:rsidRPr="00635562">
        <w:t>16.4.1.3.1</w:t>
      </w:r>
      <w:r w:rsidRPr="00635562">
        <w:tab/>
      </w:r>
      <w:r w:rsidRPr="00635562">
        <w:tab/>
        <w:t xml:space="preserve">In the second sentence replace “carried” </w:t>
      </w:r>
      <w:r w:rsidR="00B76875" w:rsidRPr="00635562">
        <w:t xml:space="preserve">by </w:t>
      </w:r>
      <w:r w:rsidRPr="00635562">
        <w:t>“classified”.</w:t>
      </w:r>
    </w:p>
    <w:p w14:paraId="27B9538A" w14:textId="2D929367" w:rsidR="00344B87" w:rsidRPr="00635562" w:rsidRDefault="00344B87" w:rsidP="00344B87">
      <w:pPr>
        <w:spacing w:after="120"/>
        <w:ind w:left="2268" w:hanging="1134"/>
      </w:pPr>
      <w:r w:rsidRPr="00635562">
        <w:t>16.4.1.3.2 (c)</w:t>
      </w:r>
      <w:r w:rsidRPr="00635562">
        <w:tab/>
        <w:t xml:space="preserve">Replace “Class 1” </w:t>
      </w:r>
      <w:r w:rsidR="00B76875" w:rsidRPr="00635562">
        <w:t xml:space="preserve">by </w:t>
      </w:r>
      <w:r w:rsidRPr="00635562">
        <w:t>“the class of explosives”.</w:t>
      </w:r>
    </w:p>
    <w:p w14:paraId="5E1F900D" w14:textId="77777777" w:rsidR="00344B87" w:rsidRPr="00635562" w:rsidRDefault="00344B87" w:rsidP="00344B87">
      <w:pPr>
        <w:spacing w:after="120"/>
        <w:ind w:left="2268" w:hanging="1134"/>
      </w:pPr>
      <w:r w:rsidRPr="00635562">
        <w:t>16.4.1.3.5</w:t>
      </w:r>
      <w:r w:rsidRPr="00635562">
        <w:tab/>
        <w:t>Delete the last sentence.</w:t>
      </w:r>
    </w:p>
    <w:p w14:paraId="4AD638F4" w14:textId="77777777" w:rsidR="00344B87" w:rsidRPr="00635562" w:rsidRDefault="00344B87" w:rsidP="00344B87">
      <w:pPr>
        <w:pStyle w:val="SingleTxtG"/>
        <w:ind w:left="2268" w:hanging="1134"/>
      </w:pPr>
      <w:r w:rsidRPr="00635562">
        <w:t>16.4.1.4</w:t>
      </w:r>
      <w:r w:rsidRPr="00635562">
        <w:tab/>
        <w:t>Delete the text between parentheses.</w:t>
      </w:r>
    </w:p>
    <w:p w14:paraId="012553B5" w14:textId="2A4D4698" w:rsidR="00344B87" w:rsidRPr="00635562" w:rsidRDefault="00344B87" w:rsidP="0083624B">
      <w:pPr>
        <w:pStyle w:val="SingleTxtG"/>
      </w:pPr>
      <w:r w:rsidRPr="00635562">
        <w:t>16.5.1.3</w:t>
      </w:r>
      <w:r w:rsidRPr="00635562">
        <w:tab/>
        <w:t xml:space="preserve">In the second sentence and in the last but one sentence, replace “carried” </w:t>
      </w:r>
      <w:r w:rsidR="00B76875" w:rsidRPr="00635562">
        <w:t xml:space="preserve">by </w:t>
      </w:r>
      <w:r w:rsidRPr="00635562">
        <w:t>“classified”.</w:t>
      </w:r>
    </w:p>
    <w:p w14:paraId="43B3B843" w14:textId="0BE4B644" w:rsidR="00344B87" w:rsidRPr="00635562" w:rsidRDefault="00344B87" w:rsidP="00344B87">
      <w:pPr>
        <w:pStyle w:val="SingleTxtG"/>
        <w:ind w:left="2268" w:hanging="1134"/>
      </w:pPr>
      <w:r w:rsidRPr="00635562">
        <w:t>16.5.1.4 (c)</w:t>
      </w:r>
      <w:r w:rsidRPr="00635562">
        <w:tab/>
        <w:t xml:space="preserve">Replace “Class 1” </w:t>
      </w:r>
      <w:r w:rsidR="00B76875" w:rsidRPr="00635562">
        <w:t xml:space="preserve">by </w:t>
      </w:r>
      <w:r w:rsidRPr="00635562">
        <w:t>“the class of explosives”.</w:t>
      </w:r>
    </w:p>
    <w:p w14:paraId="76C15765" w14:textId="603114C2" w:rsidR="00344B87" w:rsidRPr="00635562" w:rsidRDefault="00344B87" w:rsidP="00344B87">
      <w:pPr>
        <w:pStyle w:val="SingleTxtG"/>
        <w:ind w:left="2268" w:hanging="1134"/>
      </w:pPr>
      <w:r w:rsidRPr="00635562">
        <w:t>16.5.1.6</w:t>
      </w:r>
      <w:r w:rsidRPr="00635562">
        <w:tab/>
        <w:t xml:space="preserve">In the second sentence replace “carried” </w:t>
      </w:r>
      <w:r w:rsidR="00B76875" w:rsidRPr="00635562">
        <w:t xml:space="preserve">by </w:t>
      </w:r>
      <w:r w:rsidRPr="00635562">
        <w:t>“classified”.</w:t>
      </w:r>
    </w:p>
    <w:p w14:paraId="06B7FDB7" w14:textId="77777777" w:rsidR="00344B87" w:rsidRPr="00635562" w:rsidRDefault="00344B87" w:rsidP="00DD6B24">
      <w:pPr>
        <w:pStyle w:val="SingleTxtG"/>
      </w:pPr>
      <w:r w:rsidRPr="00635562">
        <w:t>16.6.1.3.9</w:t>
      </w:r>
      <w:r w:rsidRPr="00635562">
        <w:tab/>
        <w:t>In the first sentence, insert “Division 1.4, Compatibility Group S in transport” before “UN No.0012”.</w:t>
      </w:r>
    </w:p>
    <w:p w14:paraId="4EA89923" w14:textId="1F4510FE" w:rsidR="00344B87" w:rsidRPr="00635562" w:rsidRDefault="00344B87" w:rsidP="00DD6B24">
      <w:pPr>
        <w:pStyle w:val="SingleTxtG"/>
      </w:pPr>
      <w:r w:rsidRPr="00635562">
        <w:lastRenderedPageBreak/>
        <w:t>16.6.1.4.6</w:t>
      </w:r>
      <w:r w:rsidRPr="00635562">
        <w:tab/>
        <w:t>In the last sentence, insert “Division 1.4, Compatibility Group S in transport” before “UN No.</w:t>
      </w:r>
      <w:r w:rsidR="00DD6B24" w:rsidRPr="00635562">
        <w:t xml:space="preserve"> </w:t>
      </w:r>
      <w:r w:rsidRPr="00635562">
        <w:t>0012”.</w:t>
      </w:r>
    </w:p>
    <w:p w14:paraId="051DD54B" w14:textId="0568AF05" w:rsidR="00344B87" w:rsidRPr="00635562" w:rsidRDefault="00344B87" w:rsidP="00344B87">
      <w:pPr>
        <w:pStyle w:val="SingleTxtG"/>
        <w:rPr>
          <w:sz w:val="22"/>
          <w:szCs w:val="22"/>
        </w:rPr>
      </w:pPr>
      <w:r w:rsidRPr="00635562">
        <w:t>16.7.1.3.1</w:t>
      </w:r>
      <w:r w:rsidRPr="00635562">
        <w:tab/>
        <w:t xml:space="preserve"> “In the second sentence replace “are to be carried” </w:t>
      </w:r>
      <w:r w:rsidR="00B76875" w:rsidRPr="00635562">
        <w:t xml:space="preserve">by </w:t>
      </w:r>
      <w:r w:rsidRPr="00635562">
        <w:t>“are classified”.”</w:t>
      </w:r>
    </w:p>
    <w:p w14:paraId="17E99449" w14:textId="32B401C0" w:rsidR="00FA11C4" w:rsidRPr="00635562" w:rsidRDefault="00622C1E" w:rsidP="00635562">
      <w:pPr>
        <w:pStyle w:val="HChG"/>
      </w:pPr>
      <w:r w:rsidRPr="00635562">
        <w:tab/>
      </w:r>
      <w:r w:rsidRPr="00635562">
        <w:tab/>
        <w:t>Section 17</w:t>
      </w:r>
    </w:p>
    <w:p w14:paraId="76EA7495" w14:textId="498E4B64" w:rsidR="003811AF" w:rsidRPr="00635562" w:rsidRDefault="003811AF" w:rsidP="00DD6B24">
      <w:pPr>
        <w:pStyle w:val="SingleTxtG"/>
      </w:pPr>
      <w:r w:rsidRPr="00635562">
        <w:t>17.11.1.2.1</w:t>
      </w:r>
      <w:r w:rsidRPr="00635562">
        <w:tab/>
        <w:t xml:space="preserve">In the last but one sentence, replace “to surround articles transported bare” </w:t>
      </w:r>
      <w:r w:rsidR="00B76875" w:rsidRPr="00635562">
        <w:t xml:space="preserve">by </w:t>
      </w:r>
      <w:r w:rsidRPr="00635562">
        <w:t>“to surround bare articles”.</w:t>
      </w:r>
    </w:p>
    <w:p w14:paraId="331DF4DF" w14:textId="43A22C44" w:rsidR="0040205D" w:rsidRPr="00635562" w:rsidRDefault="0040205D" w:rsidP="00635562">
      <w:pPr>
        <w:pStyle w:val="HChG"/>
      </w:pPr>
      <w:r w:rsidRPr="00635562">
        <w:tab/>
      </w:r>
      <w:r w:rsidRPr="00635562">
        <w:tab/>
        <w:t>Section 18</w:t>
      </w:r>
    </w:p>
    <w:p w14:paraId="1F47DD64" w14:textId="77777777" w:rsidR="000E41E4" w:rsidRPr="00635562" w:rsidRDefault="000E41E4" w:rsidP="00DD6B24">
      <w:pPr>
        <w:pStyle w:val="SingleTxtG"/>
      </w:pPr>
      <w:r w:rsidRPr="00635562">
        <w:t>18.1</w:t>
      </w:r>
      <w:r w:rsidRPr="00635562">
        <w:tab/>
        <w:t>Amend the end of the last paragraph to read: “… of ANEs for containment in portable tanks as an oxidizing substance.</w:t>
      </w:r>
      <w:proofErr w:type="gramStart"/>
      <w:r w:rsidRPr="00635562">
        <w:t>”.</w:t>
      </w:r>
      <w:proofErr w:type="gramEnd"/>
    </w:p>
    <w:p w14:paraId="10C408C5" w14:textId="77777777" w:rsidR="000E41E4" w:rsidRPr="00635562" w:rsidRDefault="000E41E4" w:rsidP="00DD6B24">
      <w:pPr>
        <w:pStyle w:val="SingleTxtG"/>
      </w:pPr>
      <w:r w:rsidRPr="00635562">
        <w:t>Table 18.1</w:t>
      </w:r>
      <w:r w:rsidRPr="00635562">
        <w:tab/>
        <w:t xml:space="preserve">Amend the end of note </w:t>
      </w:r>
      <w:r w:rsidRPr="00635562">
        <w:rPr>
          <w:vertAlign w:val="superscript"/>
        </w:rPr>
        <w:t>b</w:t>
      </w:r>
      <w:r w:rsidRPr="00635562">
        <w:t xml:space="preserve"> to the table to read: “… of ANEs for containment in portable tanks as an oxidizing substance.</w:t>
      </w:r>
      <w:proofErr w:type="gramStart"/>
      <w:r w:rsidRPr="00635562">
        <w:t>”.</w:t>
      </w:r>
      <w:proofErr w:type="gramEnd"/>
    </w:p>
    <w:p w14:paraId="0A97AD82" w14:textId="77777777" w:rsidR="000A5E8D" w:rsidRPr="00635562" w:rsidRDefault="000A5E8D" w:rsidP="000A5E8D">
      <w:pPr>
        <w:pStyle w:val="SingleTxtG"/>
        <w:tabs>
          <w:tab w:val="left" w:pos="2552"/>
        </w:tabs>
      </w:pPr>
      <w:r w:rsidRPr="00635562">
        <w:t>18.6.1.2.1 (</w:t>
      </w:r>
      <w:proofErr w:type="gramStart"/>
      <w:r w:rsidRPr="00635562">
        <w:t>d</w:t>
      </w:r>
      <w:proofErr w:type="gramEnd"/>
      <w:r w:rsidRPr="00635562">
        <w:t>)</w:t>
      </w:r>
      <w:r w:rsidRPr="00635562">
        <w:tab/>
        <w:t xml:space="preserve">Replace “30 ± 3 </w:t>
      </w:r>
      <w:proofErr w:type="spellStart"/>
      <w:r w:rsidRPr="00635562">
        <w:t>MPa</w:t>
      </w:r>
      <w:proofErr w:type="spellEnd"/>
      <w:r w:rsidRPr="00635562">
        <w:t xml:space="preserve">” by “29 </w:t>
      </w:r>
      <w:proofErr w:type="spellStart"/>
      <w:r w:rsidRPr="00635562">
        <w:t>MPa</w:t>
      </w:r>
      <w:proofErr w:type="spellEnd"/>
      <w:r w:rsidRPr="00635562">
        <w:t xml:space="preserve"> ± 4 </w:t>
      </w:r>
      <w:proofErr w:type="spellStart"/>
      <w:r w:rsidRPr="00635562">
        <w:t>MPa</w:t>
      </w:r>
      <w:proofErr w:type="spellEnd"/>
      <w:r w:rsidRPr="00635562">
        <w:t>”.</w:t>
      </w:r>
    </w:p>
    <w:p w14:paraId="1AD86738" w14:textId="77777777" w:rsidR="000E41E4" w:rsidRPr="00635562" w:rsidRDefault="000E41E4" w:rsidP="00DD6B24">
      <w:pPr>
        <w:pStyle w:val="SingleTxtG"/>
      </w:pPr>
      <w:r w:rsidRPr="00635562">
        <w:t>18.7.1.1</w:t>
      </w:r>
      <w:r w:rsidRPr="00635562">
        <w:tab/>
        <w:t>Amend the end of the first sentence to read: “… suitability for containment in portable tanks as an oxidizing substance.</w:t>
      </w:r>
      <w:proofErr w:type="gramStart"/>
      <w:r w:rsidRPr="00635562">
        <w:t>”.</w:t>
      </w:r>
      <w:proofErr w:type="gramEnd"/>
    </w:p>
    <w:p w14:paraId="48E50DE7" w14:textId="77777777" w:rsidR="000E41E4" w:rsidRPr="00635562" w:rsidRDefault="000E41E4" w:rsidP="00DD6B24">
      <w:pPr>
        <w:pStyle w:val="SingleTxtG"/>
      </w:pPr>
      <w:r w:rsidRPr="00635562">
        <w:t>18.7.1.4</w:t>
      </w:r>
      <w:r w:rsidRPr="00635562">
        <w:tab/>
        <w:t>Amend the middle of the second paragraph to read: “…should not be contained in portable tanks as an oxidizing substance…</w:t>
      </w:r>
      <w:proofErr w:type="gramStart"/>
      <w:r w:rsidRPr="00635562">
        <w:t>”.</w:t>
      </w:r>
      <w:proofErr w:type="gramEnd"/>
    </w:p>
    <w:p w14:paraId="1100CE76" w14:textId="77777777" w:rsidR="000E41E4" w:rsidRPr="00635562" w:rsidRDefault="000E41E4" w:rsidP="00DD6B24">
      <w:pPr>
        <w:pStyle w:val="SingleTxtG"/>
      </w:pPr>
      <w:r w:rsidRPr="00635562">
        <w:t>18.7.2.1</w:t>
      </w:r>
      <w:r w:rsidRPr="00635562">
        <w:tab/>
        <w:t>Amend the end of the first paragraph to read: “…to be contained in portable tanks as an oxidizing substance”.</w:t>
      </w:r>
    </w:p>
    <w:p w14:paraId="1CE88850" w14:textId="77777777" w:rsidR="000E41E4" w:rsidRPr="00635562" w:rsidRDefault="000E41E4" w:rsidP="00DD6B24">
      <w:pPr>
        <w:pStyle w:val="SingleTxtG"/>
      </w:pPr>
      <w:r w:rsidRPr="00635562">
        <w:t>18.7.2.4.8</w:t>
      </w:r>
      <w:r w:rsidRPr="00635562">
        <w:tab/>
        <w:t>Amend the middle of the second paragraph to read: “…should not be contained in portable tanks as an oxidizing substance…</w:t>
      </w:r>
      <w:proofErr w:type="gramStart"/>
      <w:r w:rsidRPr="00635562">
        <w:t>”.</w:t>
      </w:r>
      <w:proofErr w:type="gramEnd"/>
    </w:p>
    <w:p w14:paraId="05F83E2F" w14:textId="534A62D7" w:rsidR="00B03C88" w:rsidRPr="00635562" w:rsidRDefault="00B03C88" w:rsidP="00635562">
      <w:pPr>
        <w:pStyle w:val="HChG"/>
      </w:pPr>
      <w:r w:rsidRPr="00635562">
        <w:tab/>
      </w:r>
      <w:r w:rsidRPr="00635562">
        <w:tab/>
        <w:t>Section 20</w:t>
      </w:r>
    </w:p>
    <w:p w14:paraId="01C818DE" w14:textId="77777777" w:rsidR="00B03C88" w:rsidRPr="00635562" w:rsidRDefault="00B03C88" w:rsidP="00B03C88">
      <w:pPr>
        <w:pStyle w:val="SingleTxtG"/>
      </w:pPr>
      <w:r w:rsidRPr="00635562">
        <w:t>Figure 20.1 (a), Exit B, replace “subsidiary risk” by “subsidiary hazard”.</w:t>
      </w:r>
    </w:p>
    <w:p w14:paraId="746E9C58" w14:textId="77777777" w:rsidR="00B03C88" w:rsidRPr="00635562" w:rsidRDefault="00B03C88" w:rsidP="00B03C88">
      <w:pPr>
        <w:pStyle w:val="SingleTxtG"/>
      </w:pPr>
      <w:r w:rsidRPr="00635562">
        <w:t>20.4.2 (</w:t>
      </w:r>
      <w:proofErr w:type="gramStart"/>
      <w:r w:rsidRPr="00635562">
        <w:t>b</w:t>
      </w:r>
      <w:proofErr w:type="gramEnd"/>
      <w:r w:rsidRPr="00635562">
        <w:t>) (c)</w:t>
      </w:r>
      <w:r w:rsidRPr="00635562">
        <w:tab/>
        <w:t>replace “subsidiary risk” by “subsidiary hazard”.</w:t>
      </w:r>
    </w:p>
    <w:p w14:paraId="5270C670" w14:textId="77777777" w:rsidR="00B03C88" w:rsidRPr="00635562" w:rsidRDefault="00B03C88" w:rsidP="00B03C88">
      <w:pPr>
        <w:pStyle w:val="SingleTxtG"/>
      </w:pPr>
      <w:r w:rsidRPr="00635562">
        <w:t>20.4.3 (</w:t>
      </w:r>
      <w:proofErr w:type="gramStart"/>
      <w:r w:rsidRPr="00635562">
        <w:t>b</w:t>
      </w:r>
      <w:proofErr w:type="gramEnd"/>
      <w:r w:rsidRPr="00635562">
        <w:t>) (c)</w:t>
      </w:r>
      <w:r w:rsidRPr="00635562">
        <w:tab/>
        <w:t>replace “subsidiary risk” by “subsidiary hazard”.</w:t>
      </w:r>
    </w:p>
    <w:p w14:paraId="4B798D3B" w14:textId="77777777" w:rsidR="00B03C88" w:rsidRPr="00635562" w:rsidRDefault="00B03C88" w:rsidP="00B03C88">
      <w:pPr>
        <w:pStyle w:val="SingleTxtG"/>
      </w:pPr>
      <w:r w:rsidRPr="00635562">
        <w:t>Figure 20.2, item 9.7, replace “risks” by “hazards”.</w:t>
      </w:r>
    </w:p>
    <w:p w14:paraId="112BE269" w14:textId="77777777" w:rsidR="00B03C88" w:rsidRPr="00635562" w:rsidRDefault="00B03C88" w:rsidP="00B03C88">
      <w:pPr>
        <w:pStyle w:val="SingleTxtG"/>
      </w:pPr>
      <w:r w:rsidRPr="00635562">
        <w:t>Figure 20.3, Exit B, replace “subsidiary risk” by “subsidiary hazard”.</w:t>
      </w:r>
    </w:p>
    <w:p w14:paraId="0F440180" w14:textId="274EF3FE" w:rsidR="0040205D" w:rsidRPr="00635562" w:rsidRDefault="0040205D" w:rsidP="00635562">
      <w:pPr>
        <w:pStyle w:val="HChG"/>
      </w:pPr>
      <w:r w:rsidRPr="00635562">
        <w:tab/>
      </w:r>
      <w:r w:rsidRPr="00635562">
        <w:tab/>
        <w:t>Section 25</w:t>
      </w:r>
    </w:p>
    <w:p w14:paraId="3EFA3BD4" w14:textId="77777777" w:rsidR="0040205D" w:rsidRPr="00635562" w:rsidRDefault="0040205D" w:rsidP="0040205D">
      <w:pPr>
        <w:pStyle w:val="SingleTxtG"/>
        <w:tabs>
          <w:tab w:val="left" w:pos="2552"/>
        </w:tabs>
      </w:pPr>
      <w:r w:rsidRPr="00635562">
        <w:t>25.4.1.2.1 (</w:t>
      </w:r>
      <w:proofErr w:type="gramStart"/>
      <w:r w:rsidRPr="00635562">
        <w:t>d</w:t>
      </w:r>
      <w:proofErr w:type="gramEnd"/>
      <w:r w:rsidRPr="00635562">
        <w:t>)</w:t>
      </w:r>
      <w:r w:rsidRPr="00635562">
        <w:tab/>
        <w:t xml:space="preserve">Replace “30 ± 3 </w:t>
      </w:r>
      <w:proofErr w:type="spellStart"/>
      <w:r w:rsidRPr="00635562">
        <w:t>MPa</w:t>
      </w:r>
      <w:proofErr w:type="spellEnd"/>
      <w:r w:rsidRPr="00635562">
        <w:t xml:space="preserve">” by “29 </w:t>
      </w:r>
      <w:proofErr w:type="spellStart"/>
      <w:r w:rsidRPr="00635562">
        <w:t>MPa</w:t>
      </w:r>
      <w:proofErr w:type="spellEnd"/>
      <w:r w:rsidRPr="00635562">
        <w:t xml:space="preserve"> ± 4 </w:t>
      </w:r>
      <w:proofErr w:type="spellStart"/>
      <w:r w:rsidRPr="00635562">
        <w:t>MPa</w:t>
      </w:r>
      <w:proofErr w:type="spellEnd"/>
      <w:r w:rsidRPr="00635562">
        <w:t>”.</w:t>
      </w:r>
    </w:p>
    <w:p w14:paraId="270DA12A" w14:textId="04EE91A6" w:rsidR="005B2186" w:rsidRPr="00635562" w:rsidRDefault="00635562" w:rsidP="00635562">
      <w:pPr>
        <w:pStyle w:val="HChG"/>
      </w:pPr>
      <w:r w:rsidRPr="00635562">
        <w:tab/>
      </w:r>
      <w:r w:rsidRPr="00635562">
        <w:tab/>
      </w:r>
      <w:r w:rsidR="005B2186" w:rsidRPr="00635562">
        <w:t>Section 28</w:t>
      </w:r>
    </w:p>
    <w:p w14:paraId="1CDA9B62" w14:textId="264B6F55" w:rsidR="005B2186" w:rsidRPr="00635562" w:rsidRDefault="005B2186" w:rsidP="000D2FFA">
      <w:pPr>
        <w:pStyle w:val="SingleTxtG"/>
      </w:pPr>
      <w:r w:rsidRPr="00635562">
        <w:t>28.1</w:t>
      </w:r>
      <w:r w:rsidRPr="00635562">
        <w:tab/>
      </w:r>
      <w:r w:rsidRPr="00635562">
        <w:tab/>
        <w:t>In sub-paragraph (b) and in the second reference, replace “Frank-</w:t>
      </w:r>
      <w:proofErr w:type="spellStart"/>
      <w:r w:rsidRPr="00635562">
        <w:t>Kamentskii</w:t>
      </w:r>
      <w:proofErr w:type="spellEnd"/>
      <w:r w:rsidRPr="00635562">
        <w:t xml:space="preserve">” </w:t>
      </w:r>
      <w:r w:rsidR="00B76875" w:rsidRPr="00635562">
        <w:t xml:space="preserve">by </w:t>
      </w:r>
      <w:r w:rsidRPr="00635562">
        <w:t>“Frank-</w:t>
      </w:r>
      <w:proofErr w:type="spellStart"/>
      <w:r w:rsidRPr="00635562">
        <w:t>Kamenetskii</w:t>
      </w:r>
      <w:proofErr w:type="spellEnd"/>
      <w:r w:rsidRPr="00635562">
        <w:t>”.</w:t>
      </w:r>
    </w:p>
    <w:p w14:paraId="479F3D86" w14:textId="3F74CBEB" w:rsidR="000536D1" w:rsidRPr="00635562" w:rsidRDefault="00635562" w:rsidP="00635562">
      <w:pPr>
        <w:pStyle w:val="HChG"/>
      </w:pPr>
      <w:r w:rsidRPr="00635562">
        <w:lastRenderedPageBreak/>
        <w:tab/>
      </w:r>
      <w:r w:rsidRPr="00635562">
        <w:tab/>
      </w:r>
      <w:r w:rsidR="000536D1" w:rsidRPr="00635562">
        <w:t>Section 30</w:t>
      </w:r>
    </w:p>
    <w:p w14:paraId="43C26D0E" w14:textId="6245F1C8" w:rsidR="000536D1" w:rsidRPr="00635562" w:rsidRDefault="000536D1" w:rsidP="000536D1">
      <w:pPr>
        <w:pStyle w:val="SingleTxtG"/>
      </w:pPr>
      <w:r w:rsidRPr="00635562">
        <w:t>30.1.1</w:t>
      </w:r>
      <w:r w:rsidR="00E838EB" w:rsidRPr="00635562">
        <w:t xml:space="preserve"> (</w:t>
      </w:r>
      <w:proofErr w:type="gramStart"/>
      <w:r w:rsidR="00E838EB" w:rsidRPr="00635562">
        <w:t>h</w:t>
      </w:r>
      <w:proofErr w:type="gramEnd"/>
      <w:r w:rsidR="00E838EB" w:rsidRPr="00635562">
        <w:t>)</w:t>
      </w:r>
      <w:r w:rsidRPr="00635562">
        <w:tab/>
        <w:t>Replace “Ammonium nitrate fertilizers” by “Ammonium nitrate based fertilizers”.</w:t>
      </w:r>
    </w:p>
    <w:p w14:paraId="30C00A72" w14:textId="77777777" w:rsidR="002C2037" w:rsidRPr="00635562" w:rsidRDefault="002C2037" w:rsidP="002C2037">
      <w:pPr>
        <w:pStyle w:val="SingleTxtG"/>
      </w:pPr>
      <w:proofErr w:type="gramStart"/>
      <w:r w:rsidRPr="00635562">
        <w:t>30.2 (c)</w:t>
      </w:r>
      <w:r w:rsidRPr="00635562">
        <w:tab/>
        <w:t>Replace “risk” by “hazard”.</w:t>
      </w:r>
      <w:proofErr w:type="gramEnd"/>
    </w:p>
    <w:p w14:paraId="5A6123A7" w14:textId="10B5078F" w:rsidR="002C2037" w:rsidRPr="00635562" w:rsidRDefault="00635562" w:rsidP="00635562">
      <w:pPr>
        <w:pStyle w:val="HChG"/>
      </w:pPr>
      <w:r w:rsidRPr="00635562">
        <w:tab/>
      </w:r>
      <w:r w:rsidRPr="00635562">
        <w:tab/>
      </w:r>
      <w:r w:rsidR="002C2037" w:rsidRPr="00635562">
        <w:t>Section 32</w:t>
      </w:r>
    </w:p>
    <w:p w14:paraId="677E001B" w14:textId="77777777" w:rsidR="002C2037" w:rsidRPr="00635562" w:rsidRDefault="002C2037" w:rsidP="002C2037">
      <w:pPr>
        <w:pStyle w:val="SingleTxtG"/>
      </w:pPr>
      <w:r w:rsidRPr="00635562">
        <w:t>32.3.1.1</w:t>
      </w:r>
      <w:r w:rsidRPr="00635562">
        <w:tab/>
        <w:t>Replace “risk” by “hazard”.</w:t>
      </w:r>
    </w:p>
    <w:p w14:paraId="67D70231" w14:textId="77777777" w:rsidR="002C2037" w:rsidRPr="00635562" w:rsidRDefault="002C2037" w:rsidP="002C2037">
      <w:pPr>
        <w:pStyle w:val="SingleTxtG"/>
      </w:pPr>
      <w:r w:rsidRPr="00635562">
        <w:t>32.3.1.2</w:t>
      </w:r>
      <w:r w:rsidRPr="00635562">
        <w:tab/>
        <w:t>Replace “risk” by “hazard”.</w:t>
      </w:r>
    </w:p>
    <w:p w14:paraId="3E7C11B4" w14:textId="77777777" w:rsidR="002C2037" w:rsidRPr="00635562" w:rsidRDefault="002C2037" w:rsidP="002C2037">
      <w:pPr>
        <w:pStyle w:val="SingleTxtG"/>
      </w:pPr>
      <w:r w:rsidRPr="00635562">
        <w:t>32.3.1.3</w:t>
      </w:r>
      <w:r w:rsidRPr="00635562">
        <w:tab/>
        <w:t>Replace “risk(s)” by “hazard(s)” twice. At the end, replace “risks” by “hazards”.</w:t>
      </w:r>
    </w:p>
    <w:p w14:paraId="775E56A4" w14:textId="20167272" w:rsidR="000234EA" w:rsidRPr="00635562" w:rsidRDefault="00635562" w:rsidP="00635562">
      <w:pPr>
        <w:pStyle w:val="HChG"/>
      </w:pPr>
      <w:r w:rsidRPr="00635562">
        <w:tab/>
      </w:r>
      <w:r w:rsidRPr="00635562">
        <w:tab/>
      </w:r>
      <w:r w:rsidR="000234EA" w:rsidRPr="00635562">
        <w:t>Section 3</w:t>
      </w:r>
      <w:r w:rsidR="00DD6B24" w:rsidRPr="00635562">
        <w:t>3</w:t>
      </w:r>
    </w:p>
    <w:p w14:paraId="2B969B4F" w14:textId="16FFF45B" w:rsidR="008F1011" w:rsidRPr="00635562" w:rsidRDefault="008F1011" w:rsidP="008F1011">
      <w:pPr>
        <w:pStyle w:val="SingleTxtG"/>
      </w:pPr>
      <w:r w:rsidRPr="00635562">
        <w:t xml:space="preserve">33.2.1.4.4.1 </w:t>
      </w:r>
      <w:r w:rsidR="00DD6B24" w:rsidRPr="00635562">
        <w:tab/>
      </w:r>
      <w:r w:rsidRPr="00635562">
        <w:t>Amend the last sentence to read as follows: “Powders of metals or metal alloys should be classified when they can be ignited and the reaction spreads over the whole length (100 mm) of the sample in 10 minutes or less.</w:t>
      </w:r>
      <w:proofErr w:type="gramStart"/>
      <w:r w:rsidRPr="00635562">
        <w:t>”.</w:t>
      </w:r>
      <w:proofErr w:type="gramEnd"/>
    </w:p>
    <w:p w14:paraId="5BC83895" w14:textId="3ABEB24D" w:rsidR="008F1011" w:rsidRPr="00635562" w:rsidRDefault="008F1011" w:rsidP="008F1011">
      <w:pPr>
        <w:pStyle w:val="SingleTxtG"/>
        <w:rPr>
          <w:rStyle w:val="SingleTxtGCar"/>
        </w:rPr>
      </w:pPr>
      <w:r w:rsidRPr="00635562">
        <w:rPr>
          <w:rStyle w:val="SingleTxtGCar"/>
        </w:rPr>
        <w:t>33.2.1.4.4.2</w:t>
      </w:r>
      <w:r w:rsidR="00DD6B24" w:rsidRPr="00635562">
        <w:rPr>
          <w:rStyle w:val="SingleTxtGCar"/>
        </w:rPr>
        <w:tab/>
      </w:r>
      <w:r w:rsidRPr="00635562">
        <w:rPr>
          <w:rStyle w:val="SingleTxtGCar"/>
        </w:rPr>
        <w:t>Amend the last sentence to read as follows: “Packing group II should be assigned to powders of metals or metal alloys if the zone of reaction spreads over the whole length (100 mm) of the sample in five minutes or less.</w:t>
      </w:r>
      <w:proofErr w:type="gramStart"/>
      <w:r w:rsidRPr="00635562">
        <w:rPr>
          <w:rStyle w:val="SingleTxtGCar"/>
        </w:rPr>
        <w:t>”.</w:t>
      </w:r>
      <w:proofErr w:type="gramEnd"/>
    </w:p>
    <w:p w14:paraId="0BEDCD37" w14:textId="58956D4B" w:rsidR="008F1011" w:rsidRPr="00635562" w:rsidRDefault="008F1011" w:rsidP="008F1011">
      <w:pPr>
        <w:pStyle w:val="SingleTxtG"/>
      </w:pPr>
      <w:r w:rsidRPr="00635562">
        <w:t>33.2.1.4.4.3</w:t>
      </w:r>
      <w:r w:rsidR="00DD6B24" w:rsidRPr="00635562">
        <w:tab/>
      </w:r>
      <w:r w:rsidRPr="00635562">
        <w:t>Amend the last sentence to read as follows: “Packing group III should be assigned to metal powders if the reaction spreads over the whole length (100 mm) of the sample in more than five minutes but not more than ten minutes.</w:t>
      </w:r>
      <w:proofErr w:type="gramStart"/>
      <w:r w:rsidRPr="00635562">
        <w:t>”.</w:t>
      </w:r>
      <w:proofErr w:type="gramEnd"/>
    </w:p>
    <w:p w14:paraId="1BA31E39" w14:textId="77777777" w:rsidR="008222B6" w:rsidRPr="00635562" w:rsidRDefault="0040205D" w:rsidP="00635562">
      <w:pPr>
        <w:pStyle w:val="HChG"/>
      </w:pPr>
      <w:r w:rsidRPr="00635562">
        <w:tab/>
      </w:r>
      <w:r w:rsidRPr="00635562">
        <w:tab/>
      </w:r>
      <w:r w:rsidR="008222B6" w:rsidRPr="00635562">
        <w:t>Section 34</w:t>
      </w:r>
    </w:p>
    <w:p w14:paraId="73A734F8" w14:textId="5B8527AB" w:rsidR="003E3808" w:rsidRPr="00635562" w:rsidRDefault="003E3808" w:rsidP="00802F85">
      <w:pPr>
        <w:pStyle w:val="SingleTxtG"/>
      </w:pPr>
      <w:r w:rsidRPr="00635562">
        <w:t>34.3.1</w:t>
      </w:r>
      <w:r w:rsidRPr="00635562">
        <w:tab/>
      </w:r>
      <w:r w:rsidR="00EB2329" w:rsidRPr="00635562">
        <w:t>Add the following new last sentence: “By exception, solid ammonium nitrate based fertilizers are not classified as oxidizing solids on the basis of results from tests O.1 or O.3, since the hazardous properties are not sufficiently described by the outcome of tests for oxidizing properties. Instead, such fertilizers are classified on the basis of acquired experience and knowledge of their hazardous behaviour. They shall be classified in accordance with the procedure as set out in Section 39.</w:t>
      </w:r>
      <w:proofErr w:type="gramStart"/>
      <w:r w:rsidR="00EB2329" w:rsidRPr="00635562">
        <w:t>”.</w:t>
      </w:r>
      <w:proofErr w:type="gramEnd"/>
    </w:p>
    <w:p w14:paraId="13882E55" w14:textId="77777777" w:rsidR="00802F85" w:rsidRPr="00635562" w:rsidRDefault="00802F85" w:rsidP="00802F85">
      <w:pPr>
        <w:pStyle w:val="SingleTxtG"/>
        <w:rPr>
          <w:i/>
        </w:rPr>
      </w:pPr>
      <w:r w:rsidRPr="00635562">
        <w:t>34.4.1.1</w:t>
      </w:r>
      <w:r w:rsidRPr="00635562">
        <w:tab/>
        <w:t>Replace "fibrous cellulose" by "cellulose".</w:t>
      </w:r>
      <w:r w:rsidRPr="00635562">
        <w:rPr>
          <w:i/>
        </w:rPr>
        <w:t xml:space="preserve"> </w:t>
      </w:r>
    </w:p>
    <w:p w14:paraId="587E3232" w14:textId="34B13FE9" w:rsidR="00F208D5" w:rsidRPr="00635562" w:rsidRDefault="008222B6" w:rsidP="00F208D5">
      <w:pPr>
        <w:pStyle w:val="SingleTxtG"/>
      </w:pPr>
      <w:r w:rsidRPr="00635562">
        <w:t>34.4.1.2.2</w:t>
      </w:r>
      <w:r w:rsidRPr="00635562">
        <w:tab/>
      </w:r>
      <w:r w:rsidR="004704BD" w:rsidRPr="00635562">
        <w:t xml:space="preserve">Replace the first sentence by “Dried white cellulose </w:t>
      </w:r>
      <w:r w:rsidR="004704BD" w:rsidRPr="00635562">
        <w:rPr>
          <w:b/>
          <w:vertAlign w:val="superscript"/>
        </w:rPr>
        <w:t>1</w:t>
      </w:r>
      <w:r w:rsidR="004704BD" w:rsidRPr="00635562">
        <w:t>, with a fibre mean diameter of approximately 25 µm, grain size less than 100 µm, apparent density of approximately 170 kg/m</w:t>
      </w:r>
      <w:r w:rsidR="004704BD" w:rsidRPr="00635562">
        <w:rPr>
          <w:vertAlign w:val="superscript"/>
        </w:rPr>
        <w:t>3</w:t>
      </w:r>
      <w:r w:rsidR="004704BD" w:rsidRPr="00635562">
        <w:t xml:space="preserve"> and pH-value between 5 and 7, is used as the combustible material.</w:t>
      </w:r>
      <w:proofErr w:type="gramStart"/>
      <w:r w:rsidR="004704BD" w:rsidRPr="00635562">
        <w:t>”.</w:t>
      </w:r>
      <w:proofErr w:type="gramEnd"/>
      <w:r w:rsidR="004704BD" w:rsidRPr="00635562">
        <w:t xml:space="preserve"> Footnote 1 remains unchanged.</w:t>
      </w:r>
    </w:p>
    <w:p w14:paraId="47EDF335" w14:textId="77777777" w:rsidR="007476DA" w:rsidRPr="00635562" w:rsidRDefault="007476DA" w:rsidP="007476DA">
      <w:pPr>
        <w:pStyle w:val="SingleTxtG"/>
      </w:pPr>
      <w:r w:rsidRPr="00635562">
        <w:t>34.4.1.4.2</w:t>
      </w:r>
      <w:r w:rsidRPr="00635562">
        <w:tab/>
        <w:t>At the end, replace “risks” by “hazards”.</w:t>
      </w:r>
    </w:p>
    <w:p w14:paraId="18675AFD" w14:textId="77777777" w:rsidR="004704BD" w:rsidRPr="00635562" w:rsidRDefault="004704BD" w:rsidP="004704BD">
      <w:pPr>
        <w:pStyle w:val="SingleTxtG"/>
        <w:rPr>
          <w:i/>
        </w:rPr>
      </w:pPr>
      <w:r w:rsidRPr="00635562">
        <w:t>34.4.2.1</w:t>
      </w:r>
      <w:r w:rsidRPr="00635562">
        <w:tab/>
        <w:t>Replace "fibrous cellulose" by "cellulose".</w:t>
      </w:r>
      <w:r w:rsidRPr="00635562">
        <w:rPr>
          <w:i/>
        </w:rPr>
        <w:t xml:space="preserve"> </w:t>
      </w:r>
    </w:p>
    <w:p w14:paraId="23560C63" w14:textId="750B41A6" w:rsidR="00E26963" w:rsidRPr="00635562" w:rsidRDefault="008222B6" w:rsidP="004704BD">
      <w:pPr>
        <w:pStyle w:val="SingleTxtG"/>
      </w:pPr>
      <w:r w:rsidRPr="00635562">
        <w:t>34.4.2.2.5</w:t>
      </w:r>
      <w:r w:rsidRPr="00635562">
        <w:tab/>
      </w:r>
      <w:r w:rsidR="004704BD" w:rsidRPr="00635562">
        <w:t xml:space="preserve">Replace the first sentence by “Dried white cellulose </w:t>
      </w:r>
      <w:r w:rsidR="004704BD" w:rsidRPr="00635562">
        <w:rPr>
          <w:b/>
          <w:vertAlign w:val="superscript"/>
        </w:rPr>
        <w:t>3</w:t>
      </w:r>
      <w:r w:rsidR="004704BD" w:rsidRPr="00635562">
        <w:t>, with a fibre mean diameter of approximately 25 µm, grain size approximately 100 µm, apparent density 150 to 200 kg/m</w:t>
      </w:r>
      <w:r w:rsidR="004704BD" w:rsidRPr="00635562">
        <w:rPr>
          <w:vertAlign w:val="superscript"/>
        </w:rPr>
        <w:t>3</w:t>
      </w:r>
      <w:r w:rsidR="004704BD" w:rsidRPr="00635562">
        <w:t xml:space="preserve"> and pH-value between 5 and 7.5, is used as the combustible material.”. The text of footnote 3 is replaced by: “</w:t>
      </w:r>
      <w:r w:rsidR="004704BD" w:rsidRPr="00635562">
        <w:rPr>
          <w:b/>
          <w:vertAlign w:val="superscript"/>
        </w:rPr>
        <w:t>3</w:t>
      </w:r>
      <w:r w:rsidR="004704BD" w:rsidRPr="00635562">
        <w:tab/>
        <w:t>Source reference available from the national contact for test details in France (see Appendix 4)”.</w:t>
      </w:r>
    </w:p>
    <w:p w14:paraId="3D3575EB" w14:textId="77777777" w:rsidR="007476DA" w:rsidRPr="00635562" w:rsidRDefault="007476DA" w:rsidP="007476DA">
      <w:pPr>
        <w:pStyle w:val="SingleTxtG"/>
      </w:pPr>
      <w:r w:rsidRPr="00635562">
        <w:lastRenderedPageBreak/>
        <w:t>34.4.2.4.2</w:t>
      </w:r>
      <w:r w:rsidRPr="00635562">
        <w:tab/>
        <w:t>At the end, replace “risks” by “hazards”.</w:t>
      </w:r>
    </w:p>
    <w:p w14:paraId="66A905C0" w14:textId="1A88A521" w:rsidR="004704BD" w:rsidRPr="00635562" w:rsidRDefault="004704BD" w:rsidP="004704BD">
      <w:pPr>
        <w:pStyle w:val="SingleTxtG"/>
        <w:rPr>
          <w:i/>
        </w:rPr>
      </w:pPr>
      <w:r w:rsidRPr="00635562">
        <w:t>34.4.3.1</w:t>
      </w:r>
      <w:r w:rsidRPr="00635562">
        <w:tab/>
        <w:t>Replace "fibrous cellulose" by "cellulose".</w:t>
      </w:r>
      <w:r w:rsidRPr="00635562">
        <w:rPr>
          <w:i/>
        </w:rPr>
        <w:t xml:space="preserve"> </w:t>
      </w:r>
    </w:p>
    <w:p w14:paraId="2496FF72" w14:textId="77777777" w:rsidR="004704BD" w:rsidRPr="00635562" w:rsidRDefault="004704BD" w:rsidP="004704BD">
      <w:pPr>
        <w:pStyle w:val="SingleTxtG"/>
      </w:pPr>
      <w:r w:rsidRPr="00635562">
        <w:t>34.4.3.2.2</w:t>
      </w:r>
      <w:r w:rsidRPr="00635562">
        <w:tab/>
        <w:t xml:space="preserve">Replace the first sentence by “Dried white cellulose </w:t>
      </w:r>
      <w:r w:rsidRPr="00635562">
        <w:rPr>
          <w:b/>
          <w:vertAlign w:val="superscript"/>
        </w:rPr>
        <w:t>5</w:t>
      </w:r>
      <w:r w:rsidRPr="00635562">
        <w:t>, with a fibre mean diameter of approximately 25 µm, grain size less than 100 µm, apparent density of approximately 170 kg/m</w:t>
      </w:r>
      <w:r w:rsidRPr="00635562">
        <w:rPr>
          <w:vertAlign w:val="superscript"/>
        </w:rPr>
        <w:t>3</w:t>
      </w:r>
      <w:r w:rsidRPr="00635562">
        <w:t xml:space="preserve"> and pH-value between 5 and 7, is used as the combustible material.</w:t>
      </w:r>
      <w:proofErr w:type="gramStart"/>
      <w:r w:rsidRPr="00635562">
        <w:t>”.</w:t>
      </w:r>
      <w:proofErr w:type="gramEnd"/>
      <w:r w:rsidRPr="00635562">
        <w:t xml:space="preserve"> Footnote 5 reads: “</w:t>
      </w:r>
      <w:r w:rsidRPr="00635562">
        <w:rPr>
          <w:b/>
          <w:vertAlign w:val="superscript"/>
        </w:rPr>
        <w:t>5</w:t>
      </w:r>
      <w:r w:rsidRPr="00635562">
        <w:tab/>
        <w:t>Source reference available from the national contact for test details in France (see Appendix 4)”. In 34.4.3.3, renumber footnote 5 as footnote 6.</w:t>
      </w:r>
    </w:p>
    <w:p w14:paraId="72F6ED36" w14:textId="420A0982" w:rsidR="002C2037" w:rsidRPr="00635562" w:rsidRDefault="002C2037" w:rsidP="002C2037">
      <w:pPr>
        <w:pStyle w:val="SingleTxtG"/>
      </w:pPr>
      <w:r w:rsidRPr="00635562">
        <w:t>34.4.3.5.4</w:t>
      </w:r>
      <w:r w:rsidRPr="00635562">
        <w:tab/>
      </w:r>
      <w:r w:rsidR="000A5B1D" w:rsidRPr="00635562">
        <w:t>In the paragraph after “Not Division 5.1”</w:t>
      </w:r>
      <w:r w:rsidRPr="00635562">
        <w:t>, replace “risks” by “hazards”.</w:t>
      </w:r>
    </w:p>
    <w:p w14:paraId="07DB2CE1" w14:textId="77777777" w:rsidR="0040205D" w:rsidRPr="00635562" w:rsidRDefault="008222B6" w:rsidP="00635562">
      <w:pPr>
        <w:pStyle w:val="HChG"/>
      </w:pPr>
      <w:r w:rsidRPr="00635562">
        <w:tab/>
      </w:r>
      <w:r w:rsidRPr="00635562">
        <w:tab/>
      </w:r>
      <w:r w:rsidR="0040205D" w:rsidRPr="00635562">
        <w:t>Section 38</w:t>
      </w:r>
    </w:p>
    <w:p w14:paraId="63CED369" w14:textId="37626A4E" w:rsidR="00B16FBA" w:rsidRPr="00635562" w:rsidRDefault="00B16FBA" w:rsidP="00DA086C">
      <w:pPr>
        <w:pStyle w:val="SingleTxtG"/>
      </w:pPr>
      <w:r w:rsidRPr="00635562">
        <w:t>38.2</w:t>
      </w:r>
      <w:r w:rsidRPr="00635562">
        <w:tab/>
        <w:t>In the heading, replace “ammonium nitrate fertilizers” by “ammonium nitrate based fertilizers”.</w:t>
      </w:r>
    </w:p>
    <w:p w14:paraId="5595014F" w14:textId="58E34ECF" w:rsidR="00E576ED" w:rsidRPr="00635562" w:rsidRDefault="00E576ED" w:rsidP="00DA086C">
      <w:pPr>
        <w:pStyle w:val="SingleTxtG"/>
      </w:pPr>
      <w:r w:rsidRPr="00635562">
        <w:t>38.2.1.1</w:t>
      </w:r>
      <w:r w:rsidRPr="00635562">
        <w:tab/>
        <w:t>Replace “ammonium nitrate” by “ammonium nitrate based” (twice).</w:t>
      </w:r>
    </w:p>
    <w:p w14:paraId="23532EAC" w14:textId="20B1A519" w:rsidR="006C2401" w:rsidRPr="00635562" w:rsidRDefault="006C2401" w:rsidP="00DA086C">
      <w:pPr>
        <w:pStyle w:val="SingleTxtG"/>
      </w:pPr>
      <w:r w:rsidRPr="00635562">
        <w:t>38.2.3.1</w:t>
      </w:r>
      <w:r w:rsidRPr="00635562">
        <w:tab/>
        <w:t>Replace “ammonium nitrate fertilizer” by “ammonium nitrate based fertilizer”.</w:t>
      </w:r>
    </w:p>
    <w:p w14:paraId="22FBBD04" w14:textId="36FAE5AC" w:rsidR="007224D6" w:rsidRPr="00635562" w:rsidRDefault="007224D6" w:rsidP="008507F5">
      <w:pPr>
        <w:pStyle w:val="SingleTxtG"/>
      </w:pPr>
      <w:r w:rsidRPr="00635562">
        <w:t>38.2.3.2</w:t>
      </w:r>
      <w:r w:rsidRPr="00635562">
        <w:tab/>
        <w:t>Replace “</w:t>
      </w:r>
      <w:r w:rsidR="00FF12B2" w:rsidRPr="00635562">
        <w:t xml:space="preserve">ammonium nitrate </w:t>
      </w:r>
      <w:r w:rsidRPr="00635562">
        <w:t xml:space="preserve">fertilisers” </w:t>
      </w:r>
      <w:r w:rsidR="00FF12B2" w:rsidRPr="00635562">
        <w:t xml:space="preserve">by “ammonium nitrate based </w:t>
      </w:r>
      <w:r w:rsidRPr="00635562">
        <w:t>fertilizers”.</w:t>
      </w:r>
    </w:p>
    <w:p w14:paraId="488B8248" w14:textId="77777777" w:rsidR="005565B8" w:rsidRPr="00635562" w:rsidRDefault="005565B8" w:rsidP="005565B8">
      <w:pPr>
        <w:pStyle w:val="SingleTxtG"/>
      </w:pPr>
      <w:r w:rsidRPr="00635562">
        <w:t>38.2.3.3</w:t>
      </w:r>
      <w:r w:rsidRPr="00635562">
        <w:tab/>
        <w:t xml:space="preserve">At the beginning, replace “Ammonium nitrate fertilizers” by “Ammonium nitrate based fertilizers”. </w:t>
      </w:r>
    </w:p>
    <w:p w14:paraId="6230925E" w14:textId="0531BC56" w:rsidR="00E838EB" w:rsidRPr="00635562" w:rsidRDefault="00E838EB" w:rsidP="00E838EB">
      <w:pPr>
        <w:pStyle w:val="SingleTxtG"/>
      </w:pPr>
      <w:r w:rsidRPr="00635562">
        <w:t xml:space="preserve">Insert the following new </w:t>
      </w:r>
      <w:r w:rsidR="00802F85" w:rsidRPr="00635562">
        <w:t>38.2.3.4</w:t>
      </w:r>
      <w:r w:rsidRPr="00635562">
        <w:t>:</w:t>
      </w:r>
    </w:p>
    <w:p w14:paraId="7C6C0C91" w14:textId="2B385308" w:rsidR="00E838EB" w:rsidRPr="00635562" w:rsidRDefault="00E838EB" w:rsidP="00E838EB">
      <w:pPr>
        <w:pStyle w:val="SingleTxtG"/>
      </w:pPr>
      <w:r w:rsidRPr="00635562">
        <w:t>“38.2.3.4</w:t>
      </w:r>
      <w:r w:rsidRPr="00635562">
        <w:tab/>
        <w:t>The overall classification procedure for ammonium nitrate based fertilizers is set out in Section 39.</w:t>
      </w:r>
      <w:proofErr w:type="gramStart"/>
      <w:r w:rsidRPr="00635562">
        <w:t>”</w:t>
      </w:r>
      <w:r w:rsidR="00802F85" w:rsidRPr="00635562">
        <w:t>.</w:t>
      </w:r>
      <w:proofErr w:type="gramEnd"/>
    </w:p>
    <w:p w14:paraId="5FEE8230" w14:textId="77777777" w:rsidR="0040205D" w:rsidRPr="00635562" w:rsidRDefault="0040205D" w:rsidP="0040205D">
      <w:pPr>
        <w:pStyle w:val="SingleTxtG"/>
      </w:pPr>
      <w:r w:rsidRPr="00635562">
        <w:t>38.3.2.1</w:t>
      </w:r>
      <w:r w:rsidRPr="00635562">
        <w:tab/>
        <w:t>At the end, add the new following sentence: “A cell or battery that is an integral part of the equipment it is intended to power that is transported only when installed in the equipment, may be tested in accordance with the applicable tests when installed in the equipment.</w:t>
      </w:r>
      <w:proofErr w:type="gramStart"/>
      <w:r w:rsidRPr="00635562">
        <w:t>”.</w:t>
      </w:r>
      <w:proofErr w:type="gramEnd"/>
    </w:p>
    <w:p w14:paraId="53368FD5" w14:textId="77777777" w:rsidR="0040205D" w:rsidRPr="00635562" w:rsidRDefault="0040205D" w:rsidP="0040205D">
      <w:pPr>
        <w:pStyle w:val="SingleTxtG"/>
      </w:pPr>
      <w:r w:rsidRPr="00635562">
        <w:t>38.3.2.3</w:t>
      </w:r>
      <w:r w:rsidRPr="00635562">
        <w:tab/>
        <w:t xml:space="preserve">Amend the definition of “Disassembly” to read as follows: </w:t>
      </w:r>
    </w:p>
    <w:p w14:paraId="6F38BF7C" w14:textId="77777777" w:rsidR="0040205D" w:rsidRPr="00635562" w:rsidRDefault="0040205D" w:rsidP="0040205D">
      <w:pPr>
        <w:pStyle w:val="SingleTxtG"/>
      </w:pPr>
      <w:r w:rsidRPr="00635562">
        <w:t>“</w:t>
      </w:r>
      <w:r w:rsidRPr="00635562">
        <w:rPr>
          <w:i/>
          <w:iCs/>
        </w:rPr>
        <w:t>Disassembly</w:t>
      </w:r>
      <w:r w:rsidRPr="00635562">
        <w:t xml:space="preserve"> means a rupture of the cell or battery case where solid components are ejected.</w:t>
      </w:r>
    </w:p>
    <w:p w14:paraId="6F16E178" w14:textId="77777777" w:rsidR="0040205D" w:rsidRPr="00635562" w:rsidRDefault="0040205D" w:rsidP="0040205D">
      <w:pPr>
        <w:pStyle w:val="SingleTxtG"/>
        <w:rPr>
          <w:i/>
        </w:rPr>
      </w:pPr>
      <w:r w:rsidRPr="00635562">
        <w:rPr>
          <w:b/>
          <w:i/>
        </w:rPr>
        <w:t>NOTE:</w:t>
      </w:r>
      <w:r w:rsidRPr="00635562">
        <w:rPr>
          <w:i/>
        </w:rPr>
        <w:tab/>
        <w:t>During cell or component cell testing, ejection of internal components is acceptable. Energy of ejected components shall be limited and can be measured as follows:</w:t>
      </w:r>
    </w:p>
    <w:p w14:paraId="5BD4A84F" w14:textId="77777777" w:rsidR="0040205D" w:rsidRPr="00635562" w:rsidRDefault="0040205D" w:rsidP="0040205D">
      <w:pPr>
        <w:pStyle w:val="SingleTxtG"/>
        <w:rPr>
          <w:i/>
        </w:rPr>
      </w:pPr>
      <w:r w:rsidRPr="00635562">
        <w:rPr>
          <w:i/>
        </w:rPr>
        <w:t>(a)</w:t>
      </w:r>
      <w:r w:rsidRPr="00635562">
        <w:rPr>
          <w:i/>
        </w:rPr>
        <w:tab/>
        <w:t xml:space="preserve">It will not penetrate a wire mesh screen (annealed aluminium wire with a diameter of 0.25 mm and grid density of 6 to 7 wires per cm) placed 25 cm away from the cell; or </w:t>
      </w:r>
    </w:p>
    <w:p w14:paraId="0849D850" w14:textId="77777777" w:rsidR="0040205D" w:rsidRPr="00635562" w:rsidRDefault="0040205D" w:rsidP="0040205D">
      <w:pPr>
        <w:pStyle w:val="SingleTxtG"/>
        <w:keepNext/>
        <w:keepLines/>
        <w:rPr>
          <w:i/>
        </w:rPr>
      </w:pPr>
      <w:r w:rsidRPr="00635562">
        <w:rPr>
          <w:i/>
        </w:rPr>
        <w:t>(</w:t>
      </w:r>
      <w:proofErr w:type="gramStart"/>
      <w:r w:rsidRPr="00635562">
        <w:rPr>
          <w:i/>
        </w:rPr>
        <w:t>b</w:t>
      </w:r>
      <w:proofErr w:type="gramEnd"/>
      <w:r w:rsidRPr="00635562">
        <w:rPr>
          <w:i/>
        </w:rPr>
        <w:t>)</w:t>
      </w:r>
      <w:r w:rsidRPr="00635562">
        <w:rPr>
          <w:i/>
        </w:rPr>
        <w:tab/>
        <w:t>It can be measured by a method demonstrated to be equivalent to the one described in sub-paragraph (a) above.”.</w:t>
      </w:r>
    </w:p>
    <w:p w14:paraId="4A89B4DE" w14:textId="77777777" w:rsidR="0040205D" w:rsidRPr="00635562" w:rsidRDefault="0040205D" w:rsidP="0040205D">
      <w:pPr>
        <w:pStyle w:val="SingleTxtG"/>
      </w:pPr>
      <w:r w:rsidRPr="00635562">
        <w:t>38.3.3 (</w:t>
      </w:r>
      <w:proofErr w:type="gramStart"/>
      <w:r w:rsidRPr="00635562">
        <w:t>b</w:t>
      </w:r>
      <w:proofErr w:type="gramEnd"/>
      <w:r w:rsidRPr="00635562">
        <w:t>)</w:t>
      </w:r>
      <w:r w:rsidRPr="00635562">
        <w:tab/>
        <w:t>In (</w:t>
      </w:r>
      <w:proofErr w:type="spellStart"/>
      <w:r w:rsidRPr="00635562">
        <w:t>i</w:t>
      </w:r>
      <w:proofErr w:type="spellEnd"/>
      <w:r w:rsidRPr="00635562">
        <w:t>), replace “ten” by “five”. Add a new paragraph (ii) to read as follows and renumber the following paragraphs consequently: “Five cells after 25 cycles ending in fully charged states;</w:t>
      </w:r>
      <w:proofErr w:type="gramStart"/>
      <w:r w:rsidRPr="00635562">
        <w:t>”.</w:t>
      </w:r>
      <w:proofErr w:type="gramEnd"/>
      <w:r w:rsidRPr="00635562">
        <w:t xml:space="preserve"> In paragraph (</w:t>
      </w:r>
      <w:proofErr w:type="gramStart"/>
      <w:r w:rsidRPr="00635562">
        <w:t>iv</w:t>
      </w:r>
      <w:proofErr w:type="gramEnd"/>
      <w:r w:rsidRPr="00635562">
        <w:t>) (previously (iii)), replace “50” by “25”.</w:t>
      </w:r>
    </w:p>
    <w:p w14:paraId="0E4BF519" w14:textId="5254CF52" w:rsidR="00A45506" w:rsidRPr="00635562" w:rsidRDefault="00A45506" w:rsidP="00756BA4">
      <w:pPr>
        <w:pStyle w:val="SingleTxtG"/>
      </w:pPr>
      <w:r w:rsidRPr="00635562">
        <w:t>38.3.3 (c)</w:t>
      </w:r>
      <w:r w:rsidRPr="00635562">
        <w:tab/>
        <w:t xml:space="preserve"> In paragraph (iii), after “rated capacity” add “and five cells after 25 cycles ending at 50% of the design rated capacity;</w:t>
      </w:r>
      <w:proofErr w:type="gramStart"/>
      <w:r w:rsidRPr="00635562">
        <w:t>”.</w:t>
      </w:r>
      <w:proofErr w:type="gramEnd"/>
      <w:r w:rsidRPr="00635562">
        <w:t xml:space="preserve"> In paragraph (iv), after “rated capacity” add “and five cells after 25 cycles ending at 50% of the design rated capacity.</w:t>
      </w:r>
      <w:proofErr w:type="gramStart"/>
      <w:r w:rsidRPr="00635562">
        <w:t>”.</w:t>
      </w:r>
      <w:proofErr w:type="gramEnd"/>
    </w:p>
    <w:p w14:paraId="0FF2DD7F" w14:textId="77777777" w:rsidR="0040205D" w:rsidRPr="00635562" w:rsidRDefault="0040205D" w:rsidP="0040205D">
      <w:pPr>
        <w:pStyle w:val="SingleTxtG"/>
      </w:pPr>
      <w:r w:rsidRPr="00635562">
        <w:t>38.3.3 (</w:t>
      </w:r>
      <w:proofErr w:type="gramStart"/>
      <w:r w:rsidRPr="00635562">
        <w:t>d</w:t>
      </w:r>
      <w:proofErr w:type="gramEnd"/>
      <w:r w:rsidRPr="00635562">
        <w:t>)</w:t>
      </w:r>
      <w:r w:rsidRPr="00635562">
        <w:tab/>
        <w:t>In paragraph (ii), replace “50” by “25”.</w:t>
      </w:r>
    </w:p>
    <w:p w14:paraId="620943E9" w14:textId="77777777" w:rsidR="0040205D" w:rsidRPr="00635562" w:rsidRDefault="0040205D" w:rsidP="0040205D">
      <w:pPr>
        <w:pStyle w:val="SingleTxtG"/>
      </w:pPr>
      <w:r w:rsidRPr="00635562">
        <w:lastRenderedPageBreak/>
        <w:t>38.3.3 (</w:t>
      </w:r>
      <w:proofErr w:type="gramStart"/>
      <w:r w:rsidRPr="00635562">
        <w:t>e</w:t>
      </w:r>
      <w:proofErr w:type="gramEnd"/>
      <w:r w:rsidRPr="00635562">
        <w:t>)</w:t>
      </w:r>
      <w:r w:rsidRPr="00635562">
        <w:tab/>
        <w:t>In paragraphs (v) and (vi), replace “50” by “25”.</w:t>
      </w:r>
    </w:p>
    <w:p w14:paraId="63420832" w14:textId="77777777" w:rsidR="0040205D" w:rsidRPr="00635562" w:rsidRDefault="0040205D" w:rsidP="0040205D">
      <w:pPr>
        <w:spacing w:before="120" w:after="120" w:line="240" w:lineRule="auto"/>
        <w:ind w:left="1134" w:right="1134"/>
        <w:jc w:val="both"/>
      </w:pPr>
      <w:r w:rsidRPr="00635562">
        <w:t>38.3.3</w:t>
      </w:r>
      <w:r w:rsidRPr="00635562">
        <w:tab/>
      </w:r>
      <w:r w:rsidRPr="00635562">
        <w:tab/>
        <w:t>Add the following new 38.3.3.1</w:t>
      </w:r>
    </w:p>
    <w:p w14:paraId="774146BE" w14:textId="77777777" w:rsidR="0040205D" w:rsidRPr="00635562" w:rsidRDefault="0040205D" w:rsidP="0040205D">
      <w:pPr>
        <w:spacing w:before="120" w:after="120" w:line="240" w:lineRule="auto"/>
        <w:ind w:left="1134" w:right="1134"/>
        <w:jc w:val="both"/>
      </w:pPr>
      <w:r w:rsidRPr="00635562">
        <w:t>“38.3.3.1</w:t>
      </w:r>
      <w:r w:rsidRPr="00635562">
        <w:tab/>
        <w:t>Provisions 38.3.2.1 and 38.3.3 are summarized in the following table</w:t>
      </w:r>
    </w:p>
    <w:p w14:paraId="1E43EC66" w14:textId="77777777" w:rsidR="0040205D" w:rsidRPr="00635562" w:rsidRDefault="0040205D" w:rsidP="0040205D">
      <w:pPr>
        <w:keepNext/>
        <w:keepLines/>
        <w:spacing w:after="160" w:line="259" w:lineRule="auto"/>
        <w:ind w:firstLine="720"/>
        <w:contextualSpacing/>
        <w:jc w:val="center"/>
        <w:rPr>
          <w:b/>
        </w:rPr>
      </w:pPr>
      <w:r w:rsidRPr="00635562">
        <w:rPr>
          <w:b/>
        </w:rPr>
        <w:t>Table 38.3.2: Summary table of required tests for primary cells and batteries</w:t>
      </w:r>
    </w:p>
    <w:p w14:paraId="2ED0C4D2" w14:textId="77777777" w:rsidR="0040205D" w:rsidRPr="00635562" w:rsidRDefault="0040205D" w:rsidP="0040205D">
      <w:pPr>
        <w:keepNext/>
        <w:keepLines/>
        <w:spacing w:after="160" w:line="259" w:lineRule="auto"/>
        <w:ind w:firstLine="720"/>
        <w:contextualSpacing/>
        <w:jc w:val="center"/>
        <w:rPr>
          <w:b/>
        </w:rPr>
      </w:pPr>
    </w:p>
    <w:tbl>
      <w:tblPr>
        <w:tblW w:w="9551" w:type="dxa"/>
        <w:jc w:val="center"/>
        <w:tblLook w:val="04A0" w:firstRow="1" w:lastRow="0" w:firstColumn="1" w:lastColumn="0" w:noHBand="0" w:noVBand="1"/>
      </w:tblPr>
      <w:tblGrid>
        <w:gridCol w:w="1116"/>
        <w:gridCol w:w="2126"/>
        <w:gridCol w:w="709"/>
        <w:gridCol w:w="142"/>
        <w:gridCol w:w="567"/>
        <w:gridCol w:w="694"/>
        <w:gridCol w:w="723"/>
        <w:gridCol w:w="709"/>
        <w:gridCol w:w="709"/>
        <w:gridCol w:w="708"/>
        <w:gridCol w:w="709"/>
        <w:gridCol w:w="680"/>
      </w:tblGrid>
      <w:tr w:rsidR="0040205D" w:rsidRPr="00635562" w14:paraId="2A85ADBA" w14:textId="77777777" w:rsidTr="00A96C07">
        <w:trPr>
          <w:cantSplit/>
          <w:trHeight w:val="336"/>
          <w:jc w:val="center"/>
        </w:trPr>
        <w:tc>
          <w:tcPr>
            <w:tcW w:w="9551" w:type="dxa"/>
            <w:gridSpan w:val="12"/>
            <w:tcBorders>
              <w:top w:val="single" w:sz="12" w:space="0" w:color="auto"/>
              <w:left w:val="single" w:sz="12" w:space="0" w:color="auto"/>
              <w:bottom w:val="single" w:sz="8" w:space="0" w:color="auto"/>
              <w:right w:val="single" w:sz="12" w:space="0" w:color="000000"/>
            </w:tcBorders>
            <w:shd w:val="clear" w:color="auto" w:fill="auto"/>
            <w:noWrap/>
            <w:vAlign w:val="center"/>
            <w:hideMark/>
          </w:tcPr>
          <w:p w14:paraId="1A1B75DF" w14:textId="77777777" w:rsidR="0040205D" w:rsidRPr="00635562" w:rsidRDefault="0040205D" w:rsidP="00A96C07">
            <w:pPr>
              <w:keepNext/>
              <w:keepLines/>
              <w:spacing w:line="240" w:lineRule="auto"/>
              <w:ind w:left="79"/>
              <w:jc w:val="center"/>
              <w:rPr>
                <w:b/>
                <w:sz w:val="18"/>
                <w:szCs w:val="18"/>
              </w:rPr>
            </w:pPr>
            <w:r w:rsidRPr="00635562">
              <w:rPr>
                <w:b/>
                <w:sz w:val="18"/>
                <w:szCs w:val="18"/>
              </w:rPr>
              <w:t>Primary cells and batteries</w:t>
            </w:r>
          </w:p>
        </w:tc>
      </w:tr>
      <w:tr w:rsidR="0040205D" w:rsidRPr="00635562" w14:paraId="43506EA1" w14:textId="77777777" w:rsidTr="00A96C07">
        <w:trPr>
          <w:cantSplit/>
          <w:trHeight w:val="324"/>
          <w:jc w:val="center"/>
        </w:trPr>
        <w:tc>
          <w:tcPr>
            <w:tcW w:w="1116" w:type="dxa"/>
            <w:tcBorders>
              <w:top w:val="nil"/>
              <w:left w:val="single" w:sz="12" w:space="0" w:color="auto"/>
              <w:bottom w:val="nil"/>
              <w:right w:val="nil"/>
            </w:tcBorders>
            <w:shd w:val="clear" w:color="auto" w:fill="auto"/>
            <w:noWrap/>
            <w:vAlign w:val="bottom"/>
            <w:hideMark/>
          </w:tcPr>
          <w:p w14:paraId="65667782" w14:textId="77777777" w:rsidR="0040205D" w:rsidRPr="00635562" w:rsidRDefault="0040205D" w:rsidP="00A96C07">
            <w:pPr>
              <w:keepNext/>
              <w:keepLines/>
              <w:ind w:left="80"/>
              <w:rPr>
                <w:sz w:val="18"/>
                <w:szCs w:val="18"/>
              </w:rPr>
            </w:pPr>
            <w:r w:rsidRPr="00635562">
              <w:rPr>
                <w:sz w:val="18"/>
                <w:szCs w:val="18"/>
              </w:rPr>
              <w:t> </w:t>
            </w:r>
          </w:p>
        </w:tc>
        <w:tc>
          <w:tcPr>
            <w:tcW w:w="2126" w:type="dxa"/>
            <w:tcBorders>
              <w:top w:val="nil"/>
              <w:left w:val="nil"/>
              <w:bottom w:val="nil"/>
              <w:right w:val="nil"/>
            </w:tcBorders>
            <w:shd w:val="clear" w:color="auto" w:fill="auto"/>
            <w:noWrap/>
            <w:vAlign w:val="bottom"/>
            <w:hideMark/>
          </w:tcPr>
          <w:p w14:paraId="2703A63F" w14:textId="77777777" w:rsidR="0040205D" w:rsidRPr="00635562" w:rsidRDefault="0040205D" w:rsidP="00A96C07">
            <w:pPr>
              <w:keepNext/>
              <w:keepLines/>
              <w:ind w:left="80"/>
              <w:rPr>
                <w:sz w:val="18"/>
                <w:szCs w:val="18"/>
              </w:rPr>
            </w:pPr>
            <w:r w:rsidRPr="00635562">
              <w:rPr>
                <w:sz w:val="18"/>
                <w:szCs w:val="18"/>
              </w:rPr>
              <w:t> </w:t>
            </w:r>
          </w:p>
        </w:tc>
        <w:tc>
          <w:tcPr>
            <w:tcW w:w="709" w:type="dxa"/>
            <w:tcBorders>
              <w:top w:val="nil"/>
              <w:left w:val="single" w:sz="4" w:space="0" w:color="auto"/>
              <w:bottom w:val="single" w:sz="8" w:space="0" w:color="auto"/>
              <w:right w:val="nil"/>
            </w:tcBorders>
            <w:shd w:val="clear" w:color="auto" w:fill="auto"/>
            <w:noWrap/>
            <w:vAlign w:val="bottom"/>
            <w:hideMark/>
          </w:tcPr>
          <w:p w14:paraId="520D8791" w14:textId="77777777" w:rsidR="0040205D" w:rsidRPr="00635562" w:rsidRDefault="0040205D" w:rsidP="00A96C07">
            <w:pPr>
              <w:keepNext/>
              <w:keepLines/>
              <w:ind w:left="80"/>
              <w:rPr>
                <w:sz w:val="18"/>
                <w:szCs w:val="18"/>
              </w:rPr>
            </w:pPr>
            <w:r w:rsidRPr="00635562">
              <w:rPr>
                <w:sz w:val="18"/>
                <w:szCs w:val="18"/>
              </w:rPr>
              <w:t>T.1</w:t>
            </w:r>
          </w:p>
        </w:tc>
        <w:tc>
          <w:tcPr>
            <w:tcW w:w="709" w:type="dxa"/>
            <w:gridSpan w:val="2"/>
            <w:tcBorders>
              <w:top w:val="nil"/>
              <w:left w:val="single" w:sz="4" w:space="0" w:color="auto"/>
              <w:bottom w:val="single" w:sz="8" w:space="0" w:color="auto"/>
              <w:right w:val="nil"/>
            </w:tcBorders>
            <w:shd w:val="clear" w:color="auto" w:fill="auto"/>
            <w:noWrap/>
            <w:vAlign w:val="bottom"/>
            <w:hideMark/>
          </w:tcPr>
          <w:p w14:paraId="6C16A6DB" w14:textId="77777777" w:rsidR="0040205D" w:rsidRPr="00635562" w:rsidRDefault="0040205D" w:rsidP="00A96C07">
            <w:pPr>
              <w:keepNext/>
              <w:keepLines/>
              <w:ind w:left="80"/>
              <w:rPr>
                <w:sz w:val="18"/>
                <w:szCs w:val="18"/>
              </w:rPr>
            </w:pPr>
            <w:r w:rsidRPr="00635562">
              <w:rPr>
                <w:sz w:val="18"/>
                <w:szCs w:val="18"/>
              </w:rPr>
              <w:t>T.2</w:t>
            </w:r>
          </w:p>
        </w:tc>
        <w:tc>
          <w:tcPr>
            <w:tcW w:w="694" w:type="dxa"/>
            <w:tcBorders>
              <w:top w:val="nil"/>
              <w:left w:val="single" w:sz="4" w:space="0" w:color="auto"/>
              <w:bottom w:val="single" w:sz="8" w:space="0" w:color="auto"/>
              <w:right w:val="nil"/>
            </w:tcBorders>
            <w:shd w:val="clear" w:color="auto" w:fill="auto"/>
            <w:noWrap/>
            <w:vAlign w:val="bottom"/>
            <w:hideMark/>
          </w:tcPr>
          <w:p w14:paraId="3C0C0FF4" w14:textId="77777777" w:rsidR="0040205D" w:rsidRPr="00635562" w:rsidRDefault="0040205D" w:rsidP="00A96C07">
            <w:pPr>
              <w:keepNext/>
              <w:keepLines/>
              <w:ind w:left="80"/>
              <w:rPr>
                <w:sz w:val="18"/>
                <w:szCs w:val="18"/>
              </w:rPr>
            </w:pPr>
            <w:r w:rsidRPr="00635562">
              <w:rPr>
                <w:sz w:val="18"/>
                <w:szCs w:val="18"/>
              </w:rPr>
              <w:t>T.3</w:t>
            </w:r>
          </w:p>
        </w:tc>
        <w:tc>
          <w:tcPr>
            <w:tcW w:w="723" w:type="dxa"/>
            <w:tcBorders>
              <w:top w:val="nil"/>
              <w:left w:val="single" w:sz="4" w:space="0" w:color="auto"/>
              <w:bottom w:val="single" w:sz="8" w:space="0" w:color="auto"/>
              <w:right w:val="nil"/>
            </w:tcBorders>
            <w:shd w:val="clear" w:color="auto" w:fill="auto"/>
            <w:noWrap/>
            <w:vAlign w:val="bottom"/>
            <w:hideMark/>
          </w:tcPr>
          <w:p w14:paraId="35CCC8CD" w14:textId="77777777" w:rsidR="0040205D" w:rsidRPr="00635562" w:rsidRDefault="0040205D" w:rsidP="00A96C07">
            <w:pPr>
              <w:keepNext/>
              <w:keepLines/>
              <w:ind w:left="80"/>
              <w:rPr>
                <w:sz w:val="18"/>
                <w:szCs w:val="18"/>
              </w:rPr>
            </w:pPr>
            <w:r w:rsidRPr="00635562">
              <w:rPr>
                <w:sz w:val="18"/>
                <w:szCs w:val="18"/>
              </w:rPr>
              <w:t>T.4</w:t>
            </w:r>
          </w:p>
        </w:tc>
        <w:tc>
          <w:tcPr>
            <w:tcW w:w="709" w:type="dxa"/>
            <w:tcBorders>
              <w:top w:val="nil"/>
              <w:left w:val="single" w:sz="4" w:space="0" w:color="auto"/>
              <w:bottom w:val="single" w:sz="8" w:space="0" w:color="auto"/>
              <w:right w:val="nil"/>
            </w:tcBorders>
            <w:shd w:val="clear" w:color="auto" w:fill="auto"/>
            <w:noWrap/>
            <w:vAlign w:val="bottom"/>
            <w:hideMark/>
          </w:tcPr>
          <w:p w14:paraId="0C402D0E" w14:textId="77777777" w:rsidR="0040205D" w:rsidRPr="00635562" w:rsidRDefault="0040205D" w:rsidP="00A96C07">
            <w:pPr>
              <w:keepNext/>
              <w:keepLines/>
              <w:ind w:left="80"/>
              <w:rPr>
                <w:sz w:val="18"/>
                <w:szCs w:val="18"/>
              </w:rPr>
            </w:pPr>
            <w:r w:rsidRPr="00635562">
              <w:rPr>
                <w:sz w:val="18"/>
                <w:szCs w:val="18"/>
              </w:rPr>
              <w:t>T.5</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14:paraId="150D17A1" w14:textId="77777777" w:rsidR="0040205D" w:rsidRPr="00635562" w:rsidRDefault="0040205D" w:rsidP="00A96C07">
            <w:pPr>
              <w:keepNext/>
              <w:keepLines/>
              <w:ind w:left="80"/>
              <w:rPr>
                <w:sz w:val="18"/>
                <w:szCs w:val="18"/>
              </w:rPr>
            </w:pPr>
            <w:r w:rsidRPr="00635562">
              <w:rPr>
                <w:sz w:val="18"/>
                <w:szCs w:val="18"/>
              </w:rPr>
              <w:t>T.6</w:t>
            </w:r>
          </w:p>
        </w:tc>
        <w:tc>
          <w:tcPr>
            <w:tcW w:w="708" w:type="dxa"/>
            <w:tcBorders>
              <w:top w:val="nil"/>
              <w:left w:val="nil"/>
              <w:bottom w:val="single" w:sz="8" w:space="0" w:color="auto"/>
              <w:right w:val="single" w:sz="4" w:space="0" w:color="auto"/>
            </w:tcBorders>
            <w:shd w:val="clear" w:color="auto" w:fill="auto"/>
            <w:noWrap/>
            <w:vAlign w:val="bottom"/>
            <w:hideMark/>
          </w:tcPr>
          <w:p w14:paraId="32502F0A" w14:textId="77777777" w:rsidR="0040205D" w:rsidRPr="00635562" w:rsidRDefault="0040205D" w:rsidP="00A96C07">
            <w:pPr>
              <w:keepNext/>
              <w:keepLines/>
              <w:ind w:left="80"/>
              <w:rPr>
                <w:sz w:val="18"/>
                <w:szCs w:val="18"/>
              </w:rPr>
            </w:pPr>
            <w:r w:rsidRPr="00635562">
              <w:rPr>
                <w:sz w:val="18"/>
                <w:szCs w:val="18"/>
              </w:rPr>
              <w:t>T.7</w:t>
            </w:r>
          </w:p>
        </w:tc>
        <w:tc>
          <w:tcPr>
            <w:tcW w:w="709" w:type="dxa"/>
            <w:tcBorders>
              <w:top w:val="nil"/>
              <w:left w:val="nil"/>
              <w:bottom w:val="single" w:sz="8" w:space="0" w:color="auto"/>
              <w:right w:val="single" w:sz="4" w:space="0" w:color="auto"/>
            </w:tcBorders>
            <w:shd w:val="clear" w:color="auto" w:fill="auto"/>
            <w:noWrap/>
            <w:vAlign w:val="bottom"/>
            <w:hideMark/>
          </w:tcPr>
          <w:p w14:paraId="49296B46" w14:textId="77777777" w:rsidR="0040205D" w:rsidRPr="00635562" w:rsidRDefault="0040205D" w:rsidP="00A96C07">
            <w:pPr>
              <w:keepNext/>
              <w:keepLines/>
              <w:ind w:left="80"/>
              <w:rPr>
                <w:sz w:val="18"/>
                <w:szCs w:val="18"/>
              </w:rPr>
            </w:pPr>
            <w:r w:rsidRPr="00635562">
              <w:rPr>
                <w:sz w:val="18"/>
                <w:szCs w:val="18"/>
              </w:rPr>
              <w:t>T.8</w:t>
            </w:r>
          </w:p>
        </w:tc>
        <w:tc>
          <w:tcPr>
            <w:tcW w:w="639" w:type="dxa"/>
            <w:tcBorders>
              <w:top w:val="nil"/>
              <w:left w:val="nil"/>
              <w:bottom w:val="nil"/>
              <w:right w:val="single" w:sz="12" w:space="0" w:color="auto"/>
            </w:tcBorders>
            <w:shd w:val="clear" w:color="auto" w:fill="auto"/>
            <w:noWrap/>
            <w:vAlign w:val="bottom"/>
            <w:hideMark/>
          </w:tcPr>
          <w:p w14:paraId="550531B2" w14:textId="77777777" w:rsidR="0040205D" w:rsidRPr="00635562" w:rsidRDefault="0040205D" w:rsidP="00A96C07">
            <w:pPr>
              <w:keepNext/>
              <w:keepLines/>
              <w:ind w:left="80"/>
              <w:rPr>
                <w:sz w:val="18"/>
                <w:szCs w:val="18"/>
              </w:rPr>
            </w:pPr>
            <w:proofErr w:type="spellStart"/>
            <w:r w:rsidRPr="00635562">
              <w:rPr>
                <w:sz w:val="18"/>
                <w:szCs w:val="18"/>
              </w:rPr>
              <w:t>Sum</w:t>
            </w:r>
            <w:r w:rsidRPr="00635562">
              <w:rPr>
                <w:sz w:val="18"/>
                <w:szCs w:val="18"/>
                <w:vertAlign w:val="superscript"/>
              </w:rPr>
              <w:t>c</w:t>
            </w:r>
            <w:proofErr w:type="spellEnd"/>
          </w:p>
        </w:tc>
      </w:tr>
      <w:tr w:rsidR="0040205D" w:rsidRPr="00635562" w14:paraId="12F03BF6" w14:textId="77777777" w:rsidTr="00A96C07">
        <w:trPr>
          <w:cantSplit/>
          <w:trHeight w:val="312"/>
          <w:jc w:val="center"/>
        </w:trPr>
        <w:tc>
          <w:tcPr>
            <w:tcW w:w="1116" w:type="dxa"/>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14:paraId="7FB0DEB7" w14:textId="77777777" w:rsidR="0040205D" w:rsidRPr="00635562" w:rsidRDefault="0040205D" w:rsidP="00A96C07">
            <w:pPr>
              <w:keepNext/>
              <w:keepLines/>
              <w:ind w:left="80"/>
              <w:rPr>
                <w:sz w:val="18"/>
                <w:szCs w:val="18"/>
              </w:rPr>
            </w:pPr>
            <w:r w:rsidRPr="00635562">
              <w:rPr>
                <w:sz w:val="18"/>
                <w:szCs w:val="18"/>
              </w:rPr>
              <w:t>Cells not transported separately</w:t>
            </w:r>
          </w:p>
        </w:tc>
        <w:tc>
          <w:tcPr>
            <w:tcW w:w="2126" w:type="dxa"/>
            <w:tcBorders>
              <w:top w:val="single" w:sz="8" w:space="0" w:color="auto"/>
              <w:left w:val="nil"/>
              <w:bottom w:val="single" w:sz="4" w:space="0" w:color="auto"/>
              <w:right w:val="nil"/>
            </w:tcBorders>
            <w:shd w:val="clear" w:color="auto" w:fill="auto"/>
            <w:noWrap/>
            <w:vAlign w:val="bottom"/>
            <w:hideMark/>
          </w:tcPr>
          <w:p w14:paraId="3F5D1694" w14:textId="77777777" w:rsidR="0040205D" w:rsidRPr="00635562" w:rsidRDefault="0040205D" w:rsidP="00A96C07">
            <w:pPr>
              <w:keepNext/>
              <w:keepLines/>
              <w:ind w:left="80"/>
              <w:rPr>
                <w:sz w:val="18"/>
                <w:szCs w:val="18"/>
              </w:rPr>
            </w:pPr>
            <w:r w:rsidRPr="00635562">
              <w:rPr>
                <w:sz w:val="18"/>
                <w:szCs w:val="18"/>
              </w:rPr>
              <w:t>undischarged state</w:t>
            </w:r>
          </w:p>
        </w:tc>
        <w:tc>
          <w:tcPr>
            <w:tcW w:w="709" w:type="dxa"/>
            <w:tcBorders>
              <w:top w:val="nil"/>
              <w:left w:val="single" w:sz="4" w:space="0" w:color="auto"/>
              <w:bottom w:val="single" w:sz="4" w:space="0" w:color="auto"/>
              <w:right w:val="nil"/>
            </w:tcBorders>
            <w:shd w:val="clear" w:color="auto" w:fill="auto"/>
            <w:noWrap/>
            <w:vAlign w:val="bottom"/>
            <w:hideMark/>
          </w:tcPr>
          <w:p w14:paraId="71380E98" w14:textId="77777777" w:rsidR="0040205D" w:rsidRPr="00635562" w:rsidRDefault="0040205D" w:rsidP="00A96C07">
            <w:pPr>
              <w:keepNext/>
              <w:keepLines/>
              <w:ind w:left="80"/>
              <w:jc w:val="center"/>
              <w:rPr>
                <w:sz w:val="18"/>
                <w:szCs w:val="18"/>
              </w:rPr>
            </w:pPr>
          </w:p>
        </w:tc>
        <w:tc>
          <w:tcPr>
            <w:tcW w:w="709" w:type="dxa"/>
            <w:gridSpan w:val="2"/>
            <w:tcBorders>
              <w:top w:val="nil"/>
              <w:left w:val="single" w:sz="4" w:space="0" w:color="auto"/>
              <w:bottom w:val="single" w:sz="4" w:space="0" w:color="auto"/>
              <w:right w:val="nil"/>
            </w:tcBorders>
            <w:shd w:val="clear" w:color="auto" w:fill="auto"/>
            <w:noWrap/>
            <w:vAlign w:val="bottom"/>
            <w:hideMark/>
          </w:tcPr>
          <w:p w14:paraId="0E94CD77" w14:textId="77777777" w:rsidR="0040205D" w:rsidRPr="00635562" w:rsidRDefault="0040205D" w:rsidP="00A96C07">
            <w:pPr>
              <w:keepNext/>
              <w:keepLines/>
              <w:ind w:left="80"/>
              <w:jc w:val="center"/>
              <w:rPr>
                <w:sz w:val="18"/>
                <w:szCs w:val="18"/>
              </w:rPr>
            </w:pPr>
          </w:p>
        </w:tc>
        <w:tc>
          <w:tcPr>
            <w:tcW w:w="694" w:type="dxa"/>
            <w:tcBorders>
              <w:top w:val="nil"/>
              <w:left w:val="single" w:sz="4" w:space="0" w:color="auto"/>
              <w:bottom w:val="single" w:sz="4" w:space="0" w:color="auto"/>
              <w:right w:val="nil"/>
            </w:tcBorders>
            <w:shd w:val="clear" w:color="auto" w:fill="auto"/>
            <w:noWrap/>
            <w:vAlign w:val="bottom"/>
            <w:hideMark/>
          </w:tcPr>
          <w:p w14:paraId="7D9B0599" w14:textId="77777777" w:rsidR="0040205D" w:rsidRPr="00635562" w:rsidRDefault="0040205D" w:rsidP="00A96C07">
            <w:pPr>
              <w:keepNext/>
              <w:keepLines/>
              <w:ind w:left="80"/>
              <w:jc w:val="center"/>
              <w:rPr>
                <w:sz w:val="18"/>
                <w:szCs w:val="18"/>
              </w:rPr>
            </w:pPr>
          </w:p>
        </w:tc>
        <w:tc>
          <w:tcPr>
            <w:tcW w:w="723" w:type="dxa"/>
            <w:tcBorders>
              <w:top w:val="nil"/>
              <w:left w:val="single" w:sz="4" w:space="0" w:color="auto"/>
              <w:bottom w:val="single" w:sz="4" w:space="0" w:color="auto"/>
              <w:right w:val="nil"/>
            </w:tcBorders>
            <w:shd w:val="clear" w:color="auto" w:fill="auto"/>
            <w:noWrap/>
            <w:vAlign w:val="bottom"/>
            <w:hideMark/>
          </w:tcPr>
          <w:p w14:paraId="3F32C7B4" w14:textId="77777777" w:rsidR="0040205D" w:rsidRPr="00635562" w:rsidRDefault="0040205D" w:rsidP="00A96C07">
            <w:pPr>
              <w:keepNext/>
              <w:keepLines/>
              <w:ind w:left="80"/>
              <w:jc w:val="center"/>
              <w:rPr>
                <w:sz w:val="18"/>
                <w:szCs w:val="18"/>
              </w:rPr>
            </w:pPr>
          </w:p>
        </w:tc>
        <w:tc>
          <w:tcPr>
            <w:tcW w:w="709" w:type="dxa"/>
            <w:tcBorders>
              <w:top w:val="nil"/>
              <w:left w:val="single" w:sz="4" w:space="0" w:color="auto"/>
              <w:bottom w:val="single" w:sz="4" w:space="0" w:color="auto"/>
              <w:right w:val="nil"/>
            </w:tcBorders>
            <w:shd w:val="clear" w:color="auto" w:fill="auto"/>
            <w:noWrap/>
            <w:vAlign w:val="bottom"/>
            <w:hideMark/>
          </w:tcPr>
          <w:p w14:paraId="1A240774" w14:textId="77777777" w:rsidR="0040205D" w:rsidRPr="00635562" w:rsidRDefault="0040205D" w:rsidP="00A96C07">
            <w:pPr>
              <w:keepNext/>
              <w:keepLines/>
              <w:ind w:left="8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3EB66B" w14:textId="77777777" w:rsidR="0040205D" w:rsidRPr="00635562" w:rsidRDefault="0040205D" w:rsidP="00A96C07">
            <w:pPr>
              <w:keepNext/>
              <w:keepLines/>
              <w:ind w:left="80"/>
              <w:jc w:val="center"/>
              <w:rPr>
                <w:sz w:val="18"/>
                <w:szCs w:val="18"/>
              </w:rPr>
            </w:pPr>
            <w:r w:rsidRPr="00635562">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14:paraId="47E91970" w14:textId="77777777" w:rsidR="0040205D" w:rsidRPr="00635562" w:rsidRDefault="0040205D" w:rsidP="00A96C07">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5481AD2F" w14:textId="77777777" w:rsidR="0040205D" w:rsidRPr="00635562" w:rsidRDefault="0040205D" w:rsidP="00A96C07">
            <w:pPr>
              <w:keepNext/>
              <w:keepLines/>
              <w:ind w:left="80"/>
              <w:jc w:val="center"/>
              <w:rPr>
                <w:sz w:val="18"/>
                <w:szCs w:val="18"/>
              </w:rPr>
            </w:pPr>
          </w:p>
        </w:tc>
        <w:tc>
          <w:tcPr>
            <w:tcW w:w="639" w:type="dxa"/>
            <w:vMerge w:val="restart"/>
            <w:tcBorders>
              <w:top w:val="single" w:sz="8" w:space="0" w:color="auto"/>
              <w:left w:val="single" w:sz="4" w:space="0" w:color="auto"/>
              <w:bottom w:val="single" w:sz="8" w:space="0" w:color="000000"/>
              <w:right w:val="single" w:sz="12" w:space="0" w:color="auto"/>
            </w:tcBorders>
            <w:shd w:val="clear" w:color="auto" w:fill="auto"/>
            <w:noWrap/>
            <w:vAlign w:val="center"/>
            <w:hideMark/>
          </w:tcPr>
          <w:p w14:paraId="0DDDD991" w14:textId="77777777" w:rsidR="0040205D" w:rsidRPr="00635562" w:rsidRDefault="0040205D" w:rsidP="00A96C07">
            <w:pPr>
              <w:keepNext/>
              <w:keepLines/>
              <w:ind w:left="80"/>
              <w:jc w:val="center"/>
              <w:rPr>
                <w:sz w:val="18"/>
                <w:szCs w:val="18"/>
              </w:rPr>
            </w:pPr>
            <w:r w:rsidRPr="00635562">
              <w:rPr>
                <w:sz w:val="18"/>
                <w:szCs w:val="18"/>
              </w:rPr>
              <w:t>20</w:t>
            </w:r>
          </w:p>
        </w:tc>
      </w:tr>
      <w:tr w:rsidR="0040205D" w:rsidRPr="00635562" w14:paraId="4B60C524" w14:textId="77777777" w:rsidTr="00A96C07">
        <w:trPr>
          <w:cantSplit/>
          <w:trHeight w:val="324"/>
          <w:jc w:val="center"/>
        </w:trPr>
        <w:tc>
          <w:tcPr>
            <w:tcW w:w="1116" w:type="dxa"/>
            <w:vMerge/>
            <w:tcBorders>
              <w:top w:val="single" w:sz="8" w:space="0" w:color="auto"/>
              <w:left w:val="single" w:sz="12" w:space="0" w:color="auto"/>
              <w:bottom w:val="single" w:sz="8" w:space="0" w:color="000000"/>
              <w:right w:val="single" w:sz="4" w:space="0" w:color="auto"/>
            </w:tcBorders>
            <w:vAlign w:val="center"/>
            <w:hideMark/>
          </w:tcPr>
          <w:p w14:paraId="25390D42" w14:textId="77777777" w:rsidR="0040205D" w:rsidRPr="00635562" w:rsidRDefault="0040205D" w:rsidP="00A96C07">
            <w:pPr>
              <w:keepNext/>
              <w:keepLines/>
              <w:ind w:left="80"/>
              <w:rPr>
                <w:sz w:val="18"/>
                <w:szCs w:val="18"/>
              </w:rPr>
            </w:pPr>
          </w:p>
        </w:tc>
        <w:tc>
          <w:tcPr>
            <w:tcW w:w="2126" w:type="dxa"/>
            <w:tcBorders>
              <w:top w:val="nil"/>
              <w:left w:val="nil"/>
              <w:bottom w:val="single" w:sz="8" w:space="0" w:color="auto"/>
              <w:right w:val="nil"/>
            </w:tcBorders>
            <w:shd w:val="clear" w:color="auto" w:fill="auto"/>
            <w:noWrap/>
            <w:vAlign w:val="bottom"/>
            <w:hideMark/>
          </w:tcPr>
          <w:p w14:paraId="18BE5BFE" w14:textId="77777777" w:rsidR="0040205D" w:rsidRPr="00635562" w:rsidRDefault="0040205D" w:rsidP="00A96C07">
            <w:pPr>
              <w:keepNext/>
              <w:keepLines/>
              <w:ind w:left="80"/>
              <w:rPr>
                <w:sz w:val="18"/>
                <w:szCs w:val="18"/>
              </w:rPr>
            </w:pPr>
            <w:r w:rsidRPr="00635562">
              <w:rPr>
                <w:sz w:val="18"/>
                <w:szCs w:val="18"/>
              </w:rPr>
              <w:t>fully discharged state</w:t>
            </w:r>
          </w:p>
        </w:tc>
        <w:tc>
          <w:tcPr>
            <w:tcW w:w="709" w:type="dxa"/>
            <w:tcBorders>
              <w:top w:val="nil"/>
              <w:left w:val="single" w:sz="4" w:space="0" w:color="auto"/>
              <w:bottom w:val="single" w:sz="8" w:space="0" w:color="auto"/>
              <w:right w:val="nil"/>
            </w:tcBorders>
            <w:shd w:val="clear" w:color="auto" w:fill="auto"/>
            <w:noWrap/>
            <w:vAlign w:val="bottom"/>
            <w:hideMark/>
          </w:tcPr>
          <w:p w14:paraId="59DBEFE5" w14:textId="77777777" w:rsidR="0040205D" w:rsidRPr="00635562" w:rsidRDefault="0040205D" w:rsidP="00A96C07">
            <w:pPr>
              <w:keepNext/>
              <w:keepLines/>
              <w:ind w:left="80"/>
              <w:jc w:val="center"/>
              <w:rPr>
                <w:sz w:val="18"/>
                <w:szCs w:val="18"/>
              </w:rPr>
            </w:pPr>
          </w:p>
        </w:tc>
        <w:tc>
          <w:tcPr>
            <w:tcW w:w="709" w:type="dxa"/>
            <w:gridSpan w:val="2"/>
            <w:tcBorders>
              <w:top w:val="nil"/>
              <w:left w:val="single" w:sz="4" w:space="0" w:color="auto"/>
              <w:bottom w:val="single" w:sz="8" w:space="0" w:color="auto"/>
              <w:right w:val="nil"/>
            </w:tcBorders>
            <w:shd w:val="clear" w:color="auto" w:fill="auto"/>
            <w:noWrap/>
            <w:vAlign w:val="bottom"/>
            <w:hideMark/>
          </w:tcPr>
          <w:p w14:paraId="658F0F1D" w14:textId="77777777" w:rsidR="0040205D" w:rsidRPr="00635562" w:rsidRDefault="0040205D" w:rsidP="00A96C07">
            <w:pPr>
              <w:keepNext/>
              <w:keepLines/>
              <w:ind w:left="80"/>
              <w:jc w:val="center"/>
              <w:rPr>
                <w:sz w:val="18"/>
                <w:szCs w:val="18"/>
              </w:rPr>
            </w:pPr>
          </w:p>
        </w:tc>
        <w:tc>
          <w:tcPr>
            <w:tcW w:w="694" w:type="dxa"/>
            <w:tcBorders>
              <w:top w:val="nil"/>
              <w:left w:val="single" w:sz="4" w:space="0" w:color="auto"/>
              <w:bottom w:val="single" w:sz="8" w:space="0" w:color="auto"/>
              <w:right w:val="nil"/>
            </w:tcBorders>
            <w:shd w:val="clear" w:color="auto" w:fill="auto"/>
            <w:noWrap/>
            <w:vAlign w:val="bottom"/>
            <w:hideMark/>
          </w:tcPr>
          <w:p w14:paraId="3C43AD18" w14:textId="77777777" w:rsidR="0040205D" w:rsidRPr="00635562" w:rsidRDefault="0040205D" w:rsidP="00A96C07">
            <w:pPr>
              <w:keepNext/>
              <w:keepLines/>
              <w:ind w:left="80"/>
              <w:jc w:val="center"/>
              <w:rPr>
                <w:sz w:val="18"/>
                <w:szCs w:val="18"/>
              </w:rPr>
            </w:pPr>
          </w:p>
        </w:tc>
        <w:tc>
          <w:tcPr>
            <w:tcW w:w="723" w:type="dxa"/>
            <w:tcBorders>
              <w:top w:val="nil"/>
              <w:left w:val="single" w:sz="4" w:space="0" w:color="auto"/>
              <w:bottom w:val="single" w:sz="8" w:space="0" w:color="auto"/>
              <w:right w:val="nil"/>
            </w:tcBorders>
            <w:shd w:val="clear" w:color="auto" w:fill="auto"/>
            <w:noWrap/>
            <w:vAlign w:val="bottom"/>
            <w:hideMark/>
          </w:tcPr>
          <w:p w14:paraId="0B54383B" w14:textId="77777777" w:rsidR="0040205D" w:rsidRPr="00635562" w:rsidRDefault="0040205D" w:rsidP="00A96C07">
            <w:pPr>
              <w:keepNext/>
              <w:keepLines/>
              <w:ind w:left="80"/>
              <w:jc w:val="center"/>
              <w:rPr>
                <w:sz w:val="18"/>
                <w:szCs w:val="18"/>
              </w:rPr>
            </w:pPr>
          </w:p>
        </w:tc>
        <w:tc>
          <w:tcPr>
            <w:tcW w:w="709" w:type="dxa"/>
            <w:tcBorders>
              <w:top w:val="nil"/>
              <w:left w:val="single" w:sz="4" w:space="0" w:color="auto"/>
              <w:bottom w:val="single" w:sz="8" w:space="0" w:color="auto"/>
              <w:right w:val="nil"/>
            </w:tcBorders>
            <w:shd w:val="clear" w:color="auto" w:fill="auto"/>
            <w:noWrap/>
            <w:vAlign w:val="bottom"/>
            <w:hideMark/>
          </w:tcPr>
          <w:p w14:paraId="38FDDFFD" w14:textId="77777777" w:rsidR="0040205D" w:rsidRPr="00635562" w:rsidRDefault="0040205D" w:rsidP="00A96C07">
            <w:pPr>
              <w:keepNext/>
              <w:keepLines/>
              <w:ind w:left="80"/>
              <w:jc w:val="center"/>
              <w:rPr>
                <w:sz w:val="18"/>
                <w:szCs w:val="18"/>
              </w:rPr>
            </w:pP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14:paraId="7E86BB5B" w14:textId="77777777" w:rsidR="0040205D" w:rsidRPr="00635562" w:rsidRDefault="0040205D" w:rsidP="00A96C07">
            <w:pPr>
              <w:keepNext/>
              <w:keepLines/>
              <w:ind w:left="80"/>
              <w:jc w:val="center"/>
              <w:rPr>
                <w:sz w:val="18"/>
                <w:szCs w:val="18"/>
              </w:rPr>
            </w:pPr>
            <w:r w:rsidRPr="00635562">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14:paraId="11CE9915" w14:textId="77777777" w:rsidR="0040205D" w:rsidRPr="00635562" w:rsidRDefault="0040205D" w:rsidP="00A96C07">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14:paraId="3DD37A65" w14:textId="77777777" w:rsidR="0040205D" w:rsidRPr="00635562" w:rsidRDefault="0040205D" w:rsidP="00A96C07">
            <w:pPr>
              <w:keepNext/>
              <w:keepLines/>
              <w:ind w:left="80"/>
              <w:jc w:val="center"/>
              <w:rPr>
                <w:sz w:val="18"/>
                <w:szCs w:val="18"/>
              </w:rPr>
            </w:pPr>
            <w:r w:rsidRPr="00635562">
              <w:rPr>
                <w:sz w:val="18"/>
                <w:szCs w:val="18"/>
              </w:rPr>
              <w:t>10</w:t>
            </w:r>
          </w:p>
        </w:tc>
        <w:tc>
          <w:tcPr>
            <w:tcW w:w="639" w:type="dxa"/>
            <w:vMerge/>
            <w:tcBorders>
              <w:top w:val="single" w:sz="8" w:space="0" w:color="auto"/>
              <w:left w:val="single" w:sz="4" w:space="0" w:color="auto"/>
              <w:bottom w:val="single" w:sz="8" w:space="0" w:color="000000"/>
              <w:right w:val="single" w:sz="12" w:space="0" w:color="auto"/>
            </w:tcBorders>
            <w:vAlign w:val="center"/>
            <w:hideMark/>
          </w:tcPr>
          <w:p w14:paraId="750B3E45" w14:textId="77777777" w:rsidR="0040205D" w:rsidRPr="00635562" w:rsidRDefault="0040205D" w:rsidP="00A96C07">
            <w:pPr>
              <w:keepNext/>
              <w:keepLines/>
              <w:ind w:left="80"/>
              <w:jc w:val="center"/>
              <w:rPr>
                <w:sz w:val="18"/>
                <w:szCs w:val="18"/>
              </w:rPr>
            </w:pPr>
          </w:p>
        </w:tc>
      </w:tr>
      <w:tr w:rsidR="0040205D" w:rsidRPr="00635562" w14:paraId="7EDBC6D6" w14:textId="77777777" w:rsidTr="00A96C07">
        <w:trPr>
          <w:cantSplit/>
          <w:trHeight w:val="312"/>
          <w:jc w:val="center"/>
        </w:trPr>
        <w:tc>
          <w:tcPr>
            <w:tcW w:w="1116" w:type="dxa"/>
            <w:vMerge w:val="restart"/>
            <w:tcBorders>
              <w:top w:val="nil"/>
              <w:left w:val="single" w:sz="12" w:space="0" w:color="auto"/>
              <w:bottom w:val="single" w:sz="8" w:space="0" w:color="000000"/>
              <w:right w:val="nil"/>
            </w:tcBorders>
            <w:shd w:val="clear" w:color="auto" w:fill="auto"/>
            <w:noWrap/>
            <w:vAlign w:val="center"/>
            <w:hideMark/>
          </w:tcPr>
          <w:p w14:paraId="5A77DB74" w14:textId="77777777" w:rsidR="0040205D" w:rsidRPr="00635562" w:rsidRDefault="0040205D" w:rsidP="00A96C07">
            <w:pPr>
              <w:keepNext/>
              <w:keepLines/>
              <w:ind w:left="80"/>
              <w:rPr>
                <w:sz w:val="18"/>
                <w:szCs w:val="18"/>
              </w:rPr>
            </w:pPr>
            <w:r w:rsidRPr="00635562">
              <w:rPr>
                <w:sz w:val="18"/>
                <w:szCs w:val="18"/>
              </w:rPr>
              <w:t>Cells</w:t>
            </w:r>
          </w:p>
        </w:tc>
        <w:tc>
          <w:tcPr>
            <w:tcW w:w="2126" w:type="dxa"/>
            <w:tcBorders>
              <w:top w:val="nil"/>
              <w:left w:val="single" w:sz="4" w:space="0" w:color="auto"/>
              <w:bottom w:val="single" w:sz="4" w:space="0" w:color="auto"/>
              <w:right w:val="nil"/>
            </w:tcBorders>
            <w:shd w:val="clear" w:color="auto" w:fill="auto"/>
            <w:noWrap/>
            <w:vAlign w:val="bottom"/>
            <w:hideMark/>
          </w:tcPr>
          <w:p w14:paraId="432AE820" w14:textId="77777777" w:rsidR="0040205D" w:rsidRPr="00635562" w:rsidRDefault="0040205D" w:rsidP="00A96C07">
            <w:pPr>
              <w:keepNext/>
              <w:keepLines/>
              <w:ind w:left="80"/>
              <w:rPr>
                <w:sz w:val="18"/>
                <w:szCs w:val="18"/>
              </w:rPr>
            </w:pPr>
            <w:r w:rsidRPr="00635562">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6017FE8C" w14:textId="77777777" w:rsidR="0040205D" w:rsidRPr="00635562" w:rsidRDefault="0040205D" w:rsidP="00A96C07">
            <w:pPr>
              <w:keepNext/>
              <w:keepLines/>
              <w:ind w:left="80"/>
              <w:jc w:val="center"/>
              <w:rPr>
                <w:sz w:val="18"/>
                <w:szCs w:val="18"/>
              </w:rPr>
            </w:pPr>
            <w:r w:rsidRPr="0063556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14:paraId="138D226B" w14:textId="77777777" w:rsidR="0040205D" w:rsidRPr="00635562" w:rsidRDefault="0040205D" w:rsidP="00A96C07">
            <w:pPr>
              <w:keepNext/>
              <w:keepLines/>
              <w:ind w:left="80"/>
              <w:jc w:val="center"/>
              <w:rPr>
                <w:sz w:val="18"/>
                <w:szCs w:val="18"/>
              </w:rPr>
            </w:pPr>
            <w:r w:rsidRPr="00635562">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14:paraId="286E2961" w14:textId="77777777" w:rsidR="0040205D" w:rsidRPr="00635562" w:rsidRDefault="0040205D" w:rsidP="00A96C07">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25364528" w14:textId="77777777" w:rsidR="0040205D" w:rsidRPr="00635562" w:rsidRDefault="0040205D" w:rsidP="00A96C07">
            <w:pPr>
              <w:keepNext/>
              <w:keepLines/>
              <w:ind w:left="80"/>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14:paraId="2E07DDFC" w14:textId="77777777" w:rsidR="0040205D" w:rsidRPr="00635562" w:rsidRDefault="0040205D" w:rsidP="00A96C07">
            <w:pPr>
              <w:keepNext/>
              <w:keepLines/>
              <w:ind w:left="80"/>
              <w:jc w:val="center"/>
              <w:rPr>
                <w:sz w:val="18"/>
                <w:szCs w:val="18"/>
              </w:rPr>
            </w:pPr>
            <w:r w:rsidRPr="00635562">
              <w:rPr>
                <w:sz w:val="18"/>
                <w:szCs w:val="18"/>
              </w:rPr>
              <w:t>40</w:t>
            </w:r>
          </w:p>
        </w:tc>
      </w:tr>
      <w:tr w:rsidR="0040205D" w:rsidRPr="00635562" w14:paraId="1D03BBAF" w14:textId="77777777" w:rsidTr="00A96C07">
        <w:trPr>
          <w:cantSplit/>
          <w:trHeight w:val="324"/>
          <w:jc w:val="center"/>
        </w:trPr>
        <w:tc>
          <w:tcPr>
            <w:tcW w:w="1116" w:type="dxa"/>
            <w:vMerge/>
            <w:tcBorders>
              <w:top w:val="nil"/>
              <w:left w:val="single" w:sz="12" w:space="0" w:color="auto"/>
              <w:bottom w:val="single" w:sz="8" w:space="0" w:color="000000"/>
              <w:right w:val="nil"/>
            </w:tcBorders>
            <w:vAlign w:val="center"/>
            <w:hideMark/>
          </w:tcPr>
          <w:p w14:paraId="50680C15" w14:textId="77777777" w:rsidR="0040205D" w:rsidRPr="00635562" w:rsidRDefault="0040205D" w:rsidP="00A96C07">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14:paraId="42A463B6" w14:textId="77777777" w:rsidR="0040205D" w:rsidRPr="00635562" w:rsidRDefault="0040205D" w:rsidP="00A96C07">
            <w:pPr>
              <w:keepNext/>
              <w:keepLines/>
              <w:ind w:left="80"/>
              <w:rPr>
                <w:sz w:val="18"/>
                <w:szCs w:val="18"/>
              </w:rPr>
            </w:pPr>
            <w:r w:rsidRPr="00635562">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7920E0A" w14:textId="77777777" w:rsidR="0040205D" w:rsidRPr="00635562" w:rsidRDefault="0040205D" w:rsidP="00A96C07">
            <w:pPr>
              <w:keepNext/>
              <w:keepLines/>
              <w:ind w:left="80"/>
              <w:jc w:val="center"/>
              <w:rPr>
                <w:sz w:val="18"/>
                <w:szCs w:val="18"/>
              </w:rPr>
            </w:pPr>
            <w:r w:rsidRPr="00635562">
              <w:rPr>
                <w:sz w:val="18"/>
                <w:szCs w:val="18"/>
              </w:rPr>
              <w:t>10</w:t>
            </w:r>
          </w:p>
        </w:tc>
        <w:tc>
          <w:tcPr>
            <w:tcW w:w="709" w:type="dxa"/>
            <w:tcBorders>
              <w:top w:val="nil"/>
              <w:left w:val="nil"/>
              <w:bottom w:val="single" w:sz="8" w:space="0" w:color="auto"/>
              <w:right w:val="single" w:sz="4" w:space="0" w:color="auto"/>
            </w:tcBorders>
            <w:shd w:val="clear" w:color="auto" w:fill="auto"/>
            <w:noWrap/>
            <w:vAlign w:val="bottom"/>
            <w:hideMark/>
          </w:tcPr>
          <w:p w14:paraId="79317610" w14:textId="77777777" w:rsidR="0040205D" w:rsidRPr="00635562" w:rsidRDefault="0040205D" w:rsidP="00A96C07">
            <w:pPr>
              <w:keepNext/>
              <w:keepLines/>
              <w:ind w:left="80"/>
              <w:jc w:val="center"/>
              <w:rPr>
                <w:sz w:val="18"/>
                <w:szCs w:val="18"/>
              </w:rPr>
            </w:pPr>
            <w:r w:rsidRPr="00635562">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14:paraId="798B3B3F" w14:textId="77777777" w:rsidR="0040205D" w:rsidRPr="00635562" w:rsidRDefault="0040205D" w:rsidP="00A96C07">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14:paraId="6D6CCE67" w14:textId="77777777" w:rsidR="0040205D" w:rsidRPr="00635562" w:rsidRDefault="0040205D" w:rsidP="00A96C07">
            <w:pPr>
              <w:keepNext/>
              <w:keepLines/>
              <w:ind w:left="80"/>
              <w:jc w:val="center"/>
              <w:rPr>
                <w:sz w:val="18"/>
                <w:szCs w:val="18"/>
              </w:rPr>
            </w:pPr>
            <w:r w:rsidRPr="00635562">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14:paraId="023742A1" w14:textId="77777777" w:rsidR="0040205D" w:rsidRPr="00635562" w:rsidRDefault="0040205D" w:rsidP="00A96C07">
            <w:pPr>
              <w:keepNext/>
              <w:keepLines/>
              <w:ind w:left="80"/>
              <w:jc w:val="center"/>
              <w:rPr>
                <w:sz w:val="18"/>
                <w:szCs w:val="18"/>
              </w:rPr>
            </w:pPr>
          </w:p>
        </w:tc>
      </w:tr>
      <w:tr w:rsidR="0040205D" w:rsidRPr="00635562" w14:paraId="486E1D83" w14:textId="77777777" w:rsidTr="00A96C07">
        <w:trPr>
          <w:cantSplit/>
          <w:trHeight w:val="312"/>
          <w:jc w:val="center"/>
        </w:trPr>
        <w:tc>
          <w:tcPr>
            <w:tcW w:w="1116" w:type="dxa"/>
            <w:vMerge w:val="restart"/>
            <w:tcBorders>
              <w:top w:val="nil"/>
              <w:left w:val="single" w:sz="12" w:space="0" w:color="auto"/>
              <w:bottom w:val="single" w:sz="8" w:space="0" w:color="000000"/>
              <w:right w:val="nil"/>
            </w:tcBorders>
            <w:shd w:val="clear" w:color="auto" w:fill="auto"/>
            <w:noWrap/>
            <w:vAlign w:val="center"/>
            <w:hideMark/>
          </w:tcPr>
          <w:p w14:paraId="3343EDF6" w14:textId="77777777" w:rsidR="0040205D" w:rsidRPr="00635562" w:rsidRDefault="0040205D" w:rsidP="00A96C07">
            <w:pPr>
              <w:keepNext/>
              <w:keepLines/>
              <w:ind w:left="80"/>
              <w:rPr>
                <w:sz w:val="18"/>
                <w:szCs w:val="18"/>
              </w:rPr>
            </w:pPr>
            <w:r w:rsidRPr="00635562">
              <w:rPr>
                <w:sz w:val="18"/>
                <w:szCs w:val="18"/>
              </w:rPr>
              <w:t xml:space="preserve">Single cell </w:t>
            </w:r>
            <w:proofErr w:type="spellStart"/>
            <w:r w:rsidRPr="00635562">
              <w:rPr>
                <w:sz w:val="18"/>
                <w:szCs w:val="18"/>
              </w:rPr>
              <w:t>batteries</w:t>
            </w:r>
            <w:r w:rsidRPr="00635562">
              <w:rPr>
                <w:sz w:val="18"/>
                <w:szCs w:val="18"/>
                <w:vertAlign w:val="superscript"/>
              </w:rPr>
              <w:t>a</w:t>
            </w:r>
            <w:proofErr w:type="spellEnd"/>
          </w:p>
        </w:tc>
        <w:tc>
          <w:tcPr>
            <w:tcW w:w="2126" w:type="dxa"/>
            <w:tcBorders>
              <w:top w:val="nil"/>
              <w:left w:val="single" w:sz="4" w:space="0" w:color="auto"/>
              <w:bottom w:val="single" w:sz="4" w:space="0" w:color="auto"/>
              <w:right w:val="nil"/>
            </w:tcBorders>
            <w:shd w:val="clear" w:color="auto" w:fill="auto"/>
            <w:noWrap/>
            <w:vAlign w:val="bottom"/>
            <w:hideMark/>
          </w:tcPr>
          <w:p w14:paraId="500CC87D" w14:textId="77777777" w:rsidR="0040205D" w:rsidRPr="00635562" w:rsidRDefault="0040205D" w:rsidP="00A96C07">
            <w:pPr>
              <w:keepNext/>
              <w:keepLines/>
              <w:ind w:left="80"/>
              <w:rPr>
                <w:sz w:val="18"/>
                <w:szCs w:val="18"/>
              </w:rPr>
            </w:pPr>
            <w:r w:rsidRPr="00635562">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15744040" w14:textId="77777777" w:rsidR="0040205D" w:rsidRPr="00635562" w:rsidRDefault="0040205D" w:rsidP="00A96C07">
            <w:pPr>
              <w:keepNext/>
              <w:keepLines/>
              <w:ind w:left="80"/>
              <w:jc w:val="center"/>
              <w:rPr>
                <w:sz w:val="18"/>
                <w:szCs w:val="18"/>
              </w:rPr>
            </w:pPr>
            <w:r w:rsidRPr="0063556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14:paraId="27D18CC0" w14:textId="77777777" w:rsidR="0040205D" w:rsidRPr="00635562" w:rsidRDefault="0040205D" w:rsidP="00A96C07">
            <w:pPr>
              <w:keepNext/>
              <w:keepLines/>
              <w:ind w:left="80"/>
              <w:jc w:val="center"/>
              <w:rPr>
                <w:sz w:val="18"/>
                <w:szCs w:val="18"/>
              </w:rPr>
            </w:pPr>
            <w:r w:rsidRPr="00635562">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14:paraId="2D116FC0" w14:textId="77777777" w:rsidR="0040205D" w:rsidRPr="00635562" w:rsidRDefault="0040205D" w:rsidP="00A96C07">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10F8F5F7" w14:textId="77777777" w:rsidR="0040205D" w:rsidRPr="00635562" w:rsidRDefault="0040205D" w:rsidP="00A96C07">
            <w:pPr>
              <w:keepNext/>
              <w:keepLines/>
              <w:ind w:left="80"/>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14:paraId="3A00B6B5" w14:textId="77777777" w:rsidR="0040205D" w:rsidRPr="00635562" w:rsidRDefault="0040205D" w:rsidP="00A96C07">
            <w:pPr>
              <w:keepNext/>
              <w:keepLines/>
              <w:ind w:left="80"/>
              <w:jc w:val="center"/>
              <w:rPr>
                <w:sz w:val="18"/>
                <w:szCs w:val="18"/>
              </w:rPr>
            </w:pPr>
            <w:r w:rsidRPr="00635562">
              <w:rPr>
                <w:sz w:val="18"/>
                <w:szCs w:val="18"/>
              </w:rPr>
              <w:t>40</w:t>
            </w:r>
          </w:p>
        </w:tc>
      </w:tr>
      <w:tr w:rsidR="0040205D" w:rsidRPr="00635562" w14:paraId="7FB2C50B" w14:textId="77777777" w:rsidTr="00A96C07">
        <w:trPr>
          <w:cantSplit/>
          <w:trHeight w:val="324"/>
          <w:jc w:val="center"/>
        </w:trPr>
        <w:tc>
          <w:tcPr>
            <w:tcW w:w="1116" w:type="dxa"/>
            <w:vMerge/>
            <w:tcBorders>
              <w:top w:val="nil"/>
              <w:left w:val="single" w:sz="12" w:space="0" w:color="auto"/>
              <w:bottom w:val="single" w:sz="8" w:space="0" w:color="000000"/>
              <w:right w:val="nil"/>
            </w:tcBorders>
            <w:vAlign w:val="center"/>
            <w:hideMark/>
          </w:tcPr>
          <w:p w14:paraId="436F09AD" w14:textId="77777777" w:rsidR="0040205D" w:rsidRPr="00635562" w:rsidRDefault="0040205D" w:rsidP="00A96C07">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14:paraId="15D2F895" w14:textId="77777777" w:rsidR="0040205D" w:rsidRPr="00635562" w:rsidRDefault="0040205D" w:rsidP="00A96C07">
            <w:pPr>
              <w:keepNext/>
              <w:keepLines/>
              <w:ind w:left="80"/>
              <w:rPr>
                <w:sz w:val="18"/>
                <w:szCs w:val="18"/>
              </w:rPr>
            </w:pPr>
            <w:r w:rsidRPr="00635562">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59973196" w14:textId="77777777" w:rsidR="0040205D" w:rsidRPr="00635562" w:rsidRDefault="0040205D" w:rsidP="00A96C07">
            <w:pPr>
              <w:keepNext/>
              <w:keepLines/>
              <w:ind w:left="80"/>
              <w:jc w:val="center"/>
              <w:rPr>
                <w:sz w:val="18"/>
                <w:szCs w:val="18"/>
              </w:rPr>
            </w:pPr>
            <w:r w:rsidRPr="00635562">
              <w:rPr>
                <w:sz w:val="18"/>
                <w:szCs w:val="18"/>
              </w:rPr>
              <w:t>10</w:t>
            </w:r>
          </w:p>
        </w:tc>
        <w:tc>
          <w:tcPr>
            <w:tcW w:w="709" w:type="dxa"/>
            <w:tcBorders>
              <w:top w:val="nil"/>
              <w:left w:val="nil"/>
              <w:bottom w:val="single" w:sz="8" w:space="0" w:color="auto"/>
              <w:right w:val="single" w:sz="4" w:space="0" w:color="auto"/>
            </w:tcBorders>
            <w:shd w:val="clear" w:color="auto" w:fill="auto"/>
            <w:noWrap/>
            <w:vAlign w:val="bottom"/>
            <w:hideMark/>
          </w:tcPr>
          <w:p w14:paraId="18562FF2" w14:textId="77777777" w:rsidR="0040205D" w:rsidRPr="00635562" w:rsidRDefault="0040205D" w:rsidP="00A96C07">
            <w:pPr>
              <w:keepNext/>
              <w:keepLines/>
              <w:ind w:left="80"/>
              <w:jc w:val="center"/>
              <w:rPr>
                <w:sz w:val="18"/>
                <w:szCs w:val="18"/>
              </w:rPr>
            </w:pPr>
            <w:r w:rsidRPr="00635562">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14:paraId="3D7A1255" w14:textId="77777777" w:rsidR="0040205D" w:rsidRPr="00635562" w:rsidRDefault="0040205D" w:rsidP="00A96C07">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14:paraId="0F1E224B" w14:textId="77777777" w:rsidR="0040205D" w:rsidRPr="00635562" w:rsidRDefault="0040205D" w:rsidP="00A96C07">
            <w:pPr>
              <w:keepNext/>
              <w:keepLines/>
              <w:ind w:left="80"/>
              <w:jc w:val="center"/>
              <w:rPr>
                <w:sz w:val="18"/>
                <w:szCs w:val="18"/>
              </w:rPr>
            </w:pPr>
            <w:r w:rsidRPr="00635562">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14:paraId="121661CE" w14:textId="77777777" w:rsidR="0040205D" w:rsidRPr="00635562" w:rsidRDefault="0040205D" w:rsidP="00A96C07">
            <w:pPr>
              <w:keepNext/>
              <w:keepLines/>
              <w:ind w:left="80"/>
              <w:jc w:val="center"/>
              <w:rPr>
                <w:sz w:val="18"/>
                <w:szCs w:val="18"/>
              </w:rPr>
            </w:pPr>
          </w:p>
        </w:tc>
      </w:tr>
      <w:tr w:rsidR="0040205D" w:rsidRPr="00635562" w14:paraId="50986B97" w14:textId="77777777" w:rsidTr="00A96C07">
        <w:trPr>
          <w:cantSplit/>
          <w:trHeight w:val="312"/>
          <w:jc w:val="center"/>
        </w:trPr>
        <w:tc>
          <w:tcPr>
            <w:tcW w:w="1116" w:type="dxa"/>
            <w:vMerge w:val="restart"/>
            <w:tcBorders>
              <w:top w:val="nil"/>
              <w:left w:val="single" w:sz="12" w:space="0" w:color="auto"/>
              <w:right w:val="nil"/>
            </w:tcBorders>
            <w:shd w:val="clear" w:color="auto" w:fill="auto"/>
            <w:noWrap/>
            <w:vAlign w:val="center"/>
          </w:tcPr>
          <w:p w14:paraId="083E3375" w14:textId="77777777" w:rsidR="0040205D" w:rsidRPr="00635562" w:rsidRDefault="0040205D" w:rsidP="00A96C07">
            <w:pPr>
              <w:keepNext/>
              <w:keepLines/>
              <w:ind w:left="80"/>
              <w:rPr>
                <w:sz w:val="18"/>
                <w:szCs w:val="18"/>
              </w:rPr>
            </w:pPr>
            <w:r w:rsidRPr="00635562">
              <w:rPr>
                <w:sz w:val="18"/>
                <w:szCs w:val="18"/>
              </w:rPr>
              <w:t>Small batteries</w:t>
            </w:r>
          </w:p>
        </w:tc>
        <w:tc>
          <w:tcPr>
            <w:tcW w:w="2126" w:type="dxa"/>
            <w:tcBorders>
              <w:top w:val="nil"/>
              <w:left w:val="single" w:sz="4" w:space="0" w:color="auto"/>
              <w:bottom w:val="single" w:sz="4" w:space="0" w:color="auto"/>
              <w:right w:val="nil"/>
            </w:tcBorders>
            <w:shd w:val="clear" w:color="auto" w:fill="auto"/>
            <w:noWrap/>
            <w:vAlign w:val="bottom"/>
          </w:tcPr>
          <w:p w14:paraId="5548B7BD" w14:textId="77777777" w:rsidR="0040205D" w:rsidRPr="00635562" w:rsidRDefault="0040205D" w:rsidP="00A96C07">
            <w:pPr>
              <w:keepNext/>
              <w:keepLines/>
              <w:ind w:left="80"/>
              <w:rPr>
                <w:sz w:val="18"/>
                <w:szCs w:val="18"/>
              </w:rPr>
            </w:pPr>
            <w:r w:rsidRPr="00635562">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tcPr>
          <w:p w14:paraId="61BDBC41" w14:textId="77777777" w:rsidR="0040205D" w:rsidRPr="00635562" w:rsidRDefault="0040205D" w:rsidP="00A96C07">
            <w:pPr>
              <w:keepNext/>
              <w:keepLines/>
              <w:ind w:left="80"/>
              <w:jc w:val="center"/>
              <w:rPr>
                <w:sz w:val="18"/>
                <w:szCs w:val="18"/>
              </w:rPr>
            </w:pPr>
            <w:r w:rsidRPr="00635562">
              <w:rPr>
                <w:noProof/>
                <w:sz w:val="18"/>
                <w:szCs w:val="18"/>
                <w:lang w:eastAsia="en-GB"/>
              </w:rPr>
              <mc:AlternateContent>
                <mc:Choice Requires="wpi">
                  <w:drawing>
                    <wp:anchor distT="0" distB="0" distL="114300" distR="114300" simplePos="0" relativeHeight="251658240" behindDoc="0" locked="0" layoutInCell="1" allowOverlap="1" wp14:anchorId="7F7F59F5" wp14:editId="53AB126D">
                      <wp:simplePos x="0" y="0"/>
                      <wp:positionH relativeFrom="column">
                        <wp:posOffset>241300</wp:posOffset>
                      </wp:positionH>
                      <wp:positionV relativeFrom="paragraph">
                        <wp:posOffset>196095</wp:posOffset>
                      </wp:positionV>
                      <wp:extent cx="360" cy="360"/>
                      <wp:effectExtent l="38100" t="38100" r="38100" b="38100"/>
                      <wp:wrapNone/>
                      <wp:docPr id="33" name="Encre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6608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 o:spid="_x0000_s1026" type="#_x0000_t75" style="position:absolute;margin-left:18.9pt;margin-top:15.35pt;width:.3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">
                      <v:imagedata r:id="rId12" o:title=""/>
                    </v:shape>
                  </w:pict>
                </mc:Fallback>
              </mc:AlternateContent>
            </w:r>
            <w:r w:rsidRPr="00635562">
              <w:rPr>
                <w:sz w:val="18"/>
                <w:szCs w:val="18"/>
              </w:rPr>
              <w:t>4</w:t>
            </w:r>
          </w:p>
        </w:tc>
        <w:tc>
          <w:tcPr>
            <w:tcW w:w="709" w:type="dxa"/>
            <w:tcBorders>
              <w:top w:val="nil"/>
              <w:left w:val="nil"/>
              <w:bottom w:val="single" w:sz="4" w:space="0" w:color="auto"/>
              <w:right w:val="single" w:sz="4" w:space="0" w:color="auto"/>
            </w:tcBorders>
            <w:shd w:val="clear" w:color="auto" w:fill="auto"/>
            <w:noWrap/>
            <w:vAlign w:val="bottom"/>
          </w:tcPr>
          <w:p w14:paraId="46EBE759" w14:textId="77777777" w:rsidR="0040205D" w:rsidRPr="00635562" w:rsidRDefault="0040205D" w:rsidP="00A96C07">
            <w:pPr>
              <w:keepNext/>
              <w:keepLines/>
              <w:ind w:left="80"/>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14:paraId="63172416" w14:textId="77777777" w:rsidR="0040205D" w:rsidRPr="00635562" w:rsidRDefault="0040205D" w:rsidP="00A96C07">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09D04945" w14:textId="77777777" w:rsidR="0040205D" w:rsidRPr="00635562" w:rsidRDefault="0040205D" w:rsidP="00A96C07">
            <w:pPr>
              <w:keepNext/>
              <w:keepLines/>
              <w:ind w:left="80"/>
              <w:jc w:val="center"/>
              <w:rPr>
                <w:sz w:val="18"/>
                <w:szCs w:val="18"/>
              </w:rPr>
            </w:pPr>
          </w:p>
        </w:tc>
        <w:tc>
          <w:tcPr>
            <w:tcW w:w="639" w:type="dxa"/>
            <w:vMerge w:val="restart"/>
            <w:tcBorders>
              <w:top w:val="nil"/>
              <w:left w:val="single" w:sz="4" w:space="0" w:color="auto"/>
              <w:right w:val="single" w:sz="12" w:space="0" w:color="auto"/>
            </w:tcBorders>
            <w:shd w:val="clear" w:color="auto" w:fill="auto"/>
            <w:noWrap/>
            <w:vAlign w:val="center"/>
          </w:tcPr>
          <w:p w14:paraId="1697976A" w14:textId="77777777" w:rsidR="0040205D" w:rsidRPr="00635562" w:rsidRDefault="0040205D" w:rsidP="00A96C07">
            <w:pPr>
              <w:keepNext/>
              <w:keepLines/>
              <w:ind w:left="80"/>
              <w:jc w:val="center"/>
              <w:rPr>
                <w:sz w:val="18"/>
                <w:szCs w:val="18"/>
              </w:rPr>
            </w:pPr>
            <w:r w:rsidRPr="00635562">
              <w:rPr>
                <w:sz w:val="18"/>
                <w:szCs w:val="18"/>
              </w:rPr>
              <w:t>8</w:t>
            </w:r>
          </w:p>
        </w:tc>
      </w:tr>
      <w:tr w:rsidR="0040205D" w:rsidRPr="00635562" w14:paraId="219C17C0" w14:textId="77777777" w:rsidTr="00A96C07">
        <w:trPr>
          <w:cantSplit/>
          <w:trHeight w:val="312"/>
          <w:jc w:val="center"/>
        </w:trPr>
        <w:tc>
          <w:tcPr>
            <w:tcW w:w="1116" w:type="dxa"/>
            <w:vMerge/>
            <w:tcBorders>
              <w:left w:val="single" w:sz="12" w:space="0" w:color="auto"/>
              <w:bottom w:val="single" w:sz="8" w:space="0" w:color="000000"/>
              <w:right w:val="nil"/>
            </w:tcBorders>
            <w:shd w:val="clear" w:color="auto" w:fill="auto"/>
            <w:noWrap/>
            <w:vAlign w:val="center"/>
          </w:tcPr>
          <w:p w14:paraId="02644E89" w14:textId="77777777" w:rsidR="0040205D" w:rsidRPr="00635562" w:rsidRDefault="0040205D" w:rsidP="00A96C07">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tcPr>
          <w:p w14:paraId="5D25869B" w14:textId="77777777" w:rsidR="0040205D" w:rsidRPr="00635562" w:rsidRDefault="0040205D" w:rsidP="00A96C07">
            <w:pPr>
              <w:keepNext/>
              <w:keepLines/>
              <w:ind w:left="80"/>
              <w:rPr>
                <w:sz w:val="18"/>
                <w:szCs w:val="18"/>
              </w:rPr>
            </w:pPr>
            <w:r w:rsidRPr="00635562">
              <w:rPr>
                <w:sz w:val="18"/>
                <w:szCs w:val="18"/>
              </w:rPr>
              <w:t>fully discharged state</w:t>
            </w:r>
          </w:p>
        </w:tc>
        <w:tc>
          <w:tcPr>
            <w:tcW w:w="3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03A9C1EE" w14:textId="77777777" w:rsidR="0040205D" w:rsidRPr="00635562" w:rsidRDefault="0040205D" w:rsidP="00A96C07">
            <w:pPr>
              <w:keepNext/>
              <w:keepLines/>
              <w:ind w:left="80"/>
              <w:jc w:val="center"/>
              <w:rPr>
                <w:sz w:val="18"/>
                <w:szCs w:val="18"/>
              </w:rPr>
            </w:pPr>
            <w:r w:rsidRPr="00635562">
              <w:rPr>
                <w:sz w:val="18"/>
                <w:szCs w:val="18"/>
              </w:rPr>
              <w:t>4</w:t>
            </w:r>
          </w:p>
        </w:tc>
        <w:tc>
          <w:tcPr>
            <w:tcW w:w="709" w:type="dxa"/>
            <w:tcBorders>
              <w:top w:val="nil"/>
              <w:left w:val="nil"/>
              <w:bottom w:val="single" w:sz="8" w:space="0" w:color="auto"/>
              <w:right w:val="single" w:sz="4" w:space="0" w:color="auto"/>
            </w:tcBorders>
            <w:shd w:val="clear" w:color="auto" w:fill="auto"/>
            <w:noWrap/>
            <w:vAlign w:val="bottom"/>
          </w:tcPr>
          <w:p w14:paraId="228174DF" w14:textId="77777777" w:rsidR="0040205D" w:rsidRPr="00635562" w:rsidRDefault="0040205D" w:rsidP="00A96C07">
            <w:pPr>
              <w:keepNext/>
              <w:keepLines/>
              <w:ind w:left="80"/>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tcPr>
          <w:p w14:paraId="5B6D4555" w14:textId="77777777" w:rsidR="0040205D" w:rsidRPr="00635562" w:rsidRDefault="0040205D" w:rsidP="00A96C07">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tcPr>
          <w:p w14:paraId="0A09C22C" w14:textId="77777777" w:rsidR="0040205D" w:rsidRPr="00635562" w:rsidRDefault="0040205D" w:rsidP="00A96C07">
            <w:pPr>
              <w:keepNext/>
              <w:keepLines/>
              <w:ind w:left="80"/>
              <w:jc w:val="center"/>
              <w:rPr>
                <w:sz w:val="18"/>
                <w:szCs w:val="18"/>
              </w:rPr>
            </w:pPr>
          </w:p>
        </w:tc>
        <w:tc>
          <w:tcPr>
            <w:tcW w:w="639" w:type="dxa"/>
            <w:vMerge/>
            <w:tcBorders>
              <w:left w:val="single" w:sz="4" w:space="0" w:color="auto"/>
              <w:bottom w:val="single" w:sz="8" w:space="0" w:color="000000"/>
              <w:right w:val="single" w:sz="12" w:space="0" w:color="auto"/>
            </w:tcBorders>
            <w:shd w:val="clear" w:color="auto" w:fill="auto"/>
            <w:noWrap/>
            <w:vAlign w:val="center"/>
          </w:tcPr>
          <w:p w14:paraId="336AC1DD" w14:textId="77777777" w:rsidR="0040205D" w:rsidRPr="00635562" w:rsidRDefault="0040205D" w:rsidP="00A96C07">
            <w:pPr>
              <w:keepNext/>
              <w:keepLines/>
              <w:ind w:left="80"/>
              <w:jc w:val="center"/>
              <w:rPr>
                <w:sz w:val="18"/>
                <w:szCs w:val="18"/>
              </w:rPr>
            </w:pPr>
          </w:p>
        </w:tc>
      </w:tr>
      <w:tr w:rsidR="0040205D" w:rsidRPr="00635562" w14:paraId="330B037F" w14:textId="77777777" w:rsidTr="00A96C07">
        <w:trPr>
          <w:cantSplit/>
          <w:trHeight w:val="312"/>
          <w:jc w:val="center"/>
        </w:trPr>
        <w:tc>
          <w:tcPr>
            <w:tcW w:w="1116" w:type="dxa"/>
            <w:vMerge w:val="restart"/>
            <w:tcBorders>
              <w:top w:val="nil"/>
              <w:left w:val="single" w:sz="12" w:space="0" w:color="auto"/>
              <w:bottom w:val="single" w:sz="8" w:space="0" w:color="000000"/>
              <w:right w:val="nil"/>
            </w:tcBorders>
            <w:shd w:val="clear" w:color="auto" w:fill="auto"/>
            <w:noWrap/>
            <w:vAlign w:val="center"/>
            <w:hideMark/>
          </w:tcPr>
          <w:p w14:paraId="7C47D9C4" w14:textId="77777777" w:rsidR="0040205D" w:rsidRPr="00635562" w:rsidRDefault="0040205D" w:rsidP="00A96C07">
            <w:pPr>
              <w:keepNext/>
              <w:keepLines/>
              <w:ind w:left="80"/>
              <w:rPr>
                <w:sz w:val="18"/>
                <w:szCs w:val="18"/>
              </w:rPr>
            </w:pPr>
            <w:r w:rsidRPr="00635562">
              <w:rPr>
                <w:sz w:val="18"/>
                <w:szCs w:val="18"/>
              </w:rPr>
              <w:t>Large Batteries</w:t>
            </w:r>
          </w:p>
        </w:tc>
        <w:tc>
          <w:tcPr>
            <w:tcW w:w="2126" w:type="dxa"/>
            <w:tcBorders>
              <w:top w:val="single" w:sz="8" w:space="0" w:color="auto"/>
              <w:left w:val="single" w:sz="4" w:space="0" w:color="auto"/>
              <w:bottom w:val="single" w:sz="4" w:space="0" w:color="auto"/>
              <w:right w:val="nil"/>
            </w:tcBorders>
            <w:shd w:val="clear" w:color="auto" w:fill="auto"/>
            <w:noWrap/>
            <w:vAlign w:val="bottom"/>
            <w:hideMark/>
          </w:tcPr>
          <w:p w14:paraId="6B7A3D2B" w14:textId="77777777" w:rsidR="0040205D" w:rsidRPr="00635562" w:rsidRDefault="0040205D" w:rsidP="00A96C07">
            <w:pPr>
              <w:keepNext/>
              <w:keepLines/>
              <w:ind w:left="80"/>
              <w:rPr>
                <w:sz w:val="18"/>
                <w:szCs w:val="18"/>
              </w:rPr>
            </w:pPr>
            <w:r w:rsidRPr="00635562">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B899C52" w14:textId="77777777" w:rsidR="0040205D" w:rsidRPr="00635562" w:rsidRDefault="0040205D" w:rsidP="00A96C07">
            <w:pPr>
              <w:keepNext/>
              <w:keepLines/>
              <w:ind w:left="80"/>
              <w:jc w:val="center"/>
              <w:rPr>
                <w:sz w:val="18"/>
                <w:szCs w:val="18"/>
              </w:rPr>
            </w:pPr>
            <w:r w:rsidRPr="00635562">
              <w:rPr>
                <w:sz w:val="18"/>
                <w:szCs w:val="18"/>
              </w:rPr>
              <w:t>4</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793EDFCF" w14:textId="77777777" w:rsidR="0040205D" w:rsidRPr="00635562" w:rsidRDefault="0040205D" w:rsidP="00A96C07">
            <w:pPr>
              <w:keepNext/>
              <w:keepLines/>
              <w:ind w:left="80"/>
              <w:jc w:val="center"/>
              <w:rPr>
                <w:sz w:val="18"/>
                <w:szCs w:val="18"/>
              </w:rPr>
            </w:pP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7C1D0939" w14:textId="77777777" w:rsidR="0040205D" w:rsidRPr="00635562" w:rsidRDefault="0040205D" w:rsidP="00A96C07">
            <w:pPr>
              <w:keepNext/>
              <w:keepLines/>
              <w:ind w:left="80"/>
              <w:jc w:val="center"/>
              <w:rPr>
                <w:sz w:val="18"/>
                <w:szCs w:val="18"/>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0F7C7D2" w14:textId="77777777" w:rsidR="0040205D" w:rsidRPr="00635562" w:rsidRDefault="0040205D" w:rsidP="00A96C07">
            <w:pPr>
              <w:keepNext/>
              <w:keepLines/>
              <w:ind w:left="80"/>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14:paraId="3CB97D5C" w14:textId="77777777" w:rsidR="0040205D" w:rsidRPr="00635562" w:rsidRDefault="0040205D" w:rsidP="00A96C07">
            <w:pPr>
              <w:keepNext/>
              <w:keepLines/>
              <w:ind w:left="80"/>
              <w:jc w:val="center"/>
              <w:rPr>
                <w:sz w:val="18"/>
                <w:szCs w:val="18"/>
              </w:rPr>
            </w:pPr>
            <w:r w:rsidRPr="00635562">
              <w:rPr>
                <w:sz w:val="18"/>
                <w:szCs w:val="18"/>
              </w:rPr>
              <w:t>8</w:t>
            </w:r>
          </w:p>
        </w:tc>
      </w:tr>
      <w:tr w:rsidR="0040205D" w:rsidRPr="00635562" w14:paraId="748D3551" w14:textId="77777777" w:rsidTr="00A96C07">
        <w:trPr>
          <w:cantSplit/>
          <w:trHeight w:val="324"/>
          <w:jc w:val="center"/>
        </w:trPr>
        <w:tc>
          <w:tcPr>
            <w:tcW w:w="1116" w:type="dxa"/>
            <w:vMerge/>
            <w:tcBorders>
              <w:top w:val="nil"/>
              <w:left w:val="single" w:sz="12" w:space="0" w:color="auto"/>
              <w:bottom w:val="single" w:sz="8" w:space="0" w:color="000000"/>
              <w:right w:val="nil"/>
            </w:tcBorders>
            <w:vAlign w:val="center"/>
            <w:hideMark/>
          </w:tcPr>
          <w:p w14:paraId="4891F29B" w14:textId="77777777" w:rsidR="0040205D" w:rsidRPr="00635562" w:rsidRDefault="0040205D" w:rsidP="00A96C07">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14:paraId="22150B7D" w14:textId="77777777" w:rsidR="0040205D" w:rsidRPr="00635562" w:rsidRDefault="0040205D" w:rsidP="00A96C07">
            <w:pPr>
              <w:keepNext/>
              <w:keepLines/>
              <w:ind w:left="80"/>
              <w:rPr>
                <w:sz w:val="18"/>
                <w:szCs w:val="18"/>
              </w:rPr>
            </w:pPr>
            <w:r w:rsidRPr="00635562">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1C667276" w14:textId="77777777" w:rsidR="0040205D" w:rsidRPr="00635562" w:rsidRDefault="0040205D" w:rsidP="00A96C07">
            <w:pPr>
              <w:keepNext/>
              <w:keepLines/>
              <w:ind w:left="80"/>
              <w:jc w:val="center"/>
              <w:rPr>
                <w:sz w:val="18"/>
                <w:szCs w:val="18"/>
              </w:rPr>
            </w:pPr>
            <w:r w:rsidRPr="00635562">
              <w:rPr>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14:paraId="2141C740" w14:textId="77777777" w:rsidR="0040205D" w:rsidRPr="00635562" w:rsidRDefault="0040205D" w:rsidP="00A96C07">
            <w:pPr>
              <w:keepNext/>
              <w:keepLines/>
              <w:ind w:left="80"/>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hideMark/>
          </w:tcPr>
          <w:p w14:paraId="7385A66F" w14:textId="77777777" w:rsidR="0040205D" w:rsidRPr="00635562" w:rsidRDefault="0040205D" w:rsidP="00A96C07">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14:paraId="694ED566" w14:textId="77777777" w:rsidR="0040205D" w:rsidRPr="00635562" w:rsidRDefault="0040205D" w:rsidP="00A96C07">
            <w:pPr>
              <w:keepNext/>
              <w:keepLines/>
              <w:ind w:left="80"/>
              <w:jc w:val="center"/>
              <w:rPr>
                <w:sz w:val="18"/>
                <w:szCs w:val="18"/>
              </w:rPr>
            </w:pPr>
          </w:p>
        </w:tc>
        <w:tc>
          <w:tcPr>
            <w:tcW w:w="639" w:type="dxa"/>
            <w:vMerge/>
            <w:tcBorders>
              <w:top w:val="nil"/>
              <w:left w:val="single" w:sz="4" w:space="0" w:color="auto"/>
              <w:bottom w:val="single" w:sz="8" w:space="0" w:color="000000"/>
              <w:right w:val="single" w:sz="12" w:space="0" w:color="auto"/>
            </w:tcBorders>
            <w:vAlign w:val="center"/>
            <w:hideMark/>
          </w:tcPr>
          <w:p w14:paraId="105DAB9C" w14:textId="77777777" w:rsidR="0040205D" w:rsidRPr="00635562" w:rsidRDefault="0040205D" w:rsidP="00A96C07">
            <w:pPr>
              <w:keepNext/>
              <w:keepLines/>
              <w:ind w:left="80"/>
              <w:jc w:val="center"/>
              <w:rPr>
                <w:sz w:val="18"/>
                <w:szCs w:val="18"/>
              </w:rPr>
            </w:pPr>
          </w:p>
        </w:tc>
      </w:tr>
      <w:tr w:rsidR="0040205D" w:rsidRPr="00635562" w14:paraId="3A04B294" w14:textId="77777777" w:rsidTr="00A96C07">
        <w:trPr>
          <w:cantSplit/>
          <w:trHeight w:val="948"/>
          <w:jc w:val="center"/>
        </w:trPr>
        <w:tc>
          <w:tcPr>
            <w:tcW w:w="1116" w:type="dxa"/>
            <w:tcBorders>
              <w:top w:val="nil"/>
              <w:left w:val="single" w:sz="12" w:space="0" w:color="auto"/>
              <w:bottom w:val="single" w:sz="8" w:space="0" w:color="auto"/>
              <w:right w:val="nil"/>
            </w:tcBorders>
            <w:shd w:val="clear" w:color="auto" w:fill="auto"/>
            <w:vAlign w:val="center"/>
            <w:hideMark/>
          </w:tcPr>
          <w:p w14:paraId="684366B9" w14:textId="77777777" w:rsidR="0040205D" w:rsidRPr="00635562" w:rsidRDefault="0040205D" w:rsidP="00A96C07">
            <w:pPr>
              <w:keepNext/>
              <w:keepLines/>
              <w:ind w:left="80"/>
              <w:rPr>
                <w:sz w:val="18"/>
                <w:szCs w:val="18"/>
              </w:rPr>
            </w:pPr>
            <w:r w:rsidRPr="00635562">
              <w:rPr>
                <w:sz w:val="18"/>
                <w:szCs w:val="18"/>
              </w:rPr>
              <w:t>Batteries assembled</w:t>
            </w:r>
            <w:r w:rsidRPr="00635562">
              <w:rPr>
                <w:sz w:val="18"/>
                <w:szCs w:val="18"/>
              </w:rPr>
              <w:br/>
              <w:t>with tested batteries</w:t>
            </w:r>
            <w:r w:rsidRPr="00635562">
              <w:rPr>
                <w:sz w:val="18"/>
                <w:szCs w:val="18"/>
              </w:rPr>
              <w:br/>
              <w:t>≤ 500 g Li</w:t>
            </w:r>
          </w:p>
        </w:tc>
        <w:tc>
          <w:tcPr>
            <w:tcW w:w="2126" w:type="dxa"/>
            <w:tcBorders>
              <w:top w:val="nil"/>
              <w:left w:val="single" w:sz="4" w:space="0" w:color="auto"/>
              <w:bottom w:val="single" w:sz="8" w:space="0" w:color="auto"/>
              <w:right w:val="nil"/>
            </w:tcBorders>
            <w:shd w:val="clear" w:color="auto" w:fill="auto"/>
            <w:noWrap/>
            <w:vAlign w:val="center"/>
            <w:hideMark/>
          </w:tcPr>
          <w:p w14:paraId="7CC8C29C" w14:textId="77777777" w:rsidR="0040205D" w:rsidRPr="00635562" w:rsidRDefault="0040205D" w:rsidP="00A96C07">
            <w:pPr>
              <w:keepNext/>
              <w:keepLines/>
              <w:ind w:left="80"/>
              <w:rPr>
                <w:sz w:val="18"/>
                <w:szCs w:val="18"/>
              </w:rPr>
            </w:pPr>
            <w:r w:rsidRPr="00635562">
              <w:rPr>
                <w:sz w:val="18"/>
                <w:szCs w:val="18"/>
              </w:rPr>
              <w:t>undischarged state</w:t>
            </w:r>
          </w:p>
        </w:tc>
        <w:tc>
          <w:tcPr>
            <w:tcW w:w="851" w:type="dxa"/>
            <w:gridSpan w:val="2"/>
            <w:tcBorders>
              <w:top w:val="nil"/>
              <w:left w:val="single" w:sz="4" w:space="0" w:color="auto"/>
              <w:bottom w:val="single" w:sz="8" w:space="0" w:color="auto"/>
              <w:right w:val="nil"/>
            </w:tcBorders>
            <w:shd w:val="clear" w:color="auto" w:fill="auto"/>
            <w:noWrap/>
            <w:vAlign w:val="center"/>
            <w:hideMark/>
          </w:tcPr>
          <w:p w14:paraId="3CDEE118" w14:textId="77777777" w:rsidR="0040205D" w:rsidRPr="00635562" w:rsidRDefault="0040205D" w:rsidP="00A96C07">
            <w:pPr>
              <w:keepNext/>
              <w:keepLines/>
              <w:ind w:left="80"/>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center"/>
            <w:hideMark/>
          </w:tcPr>
          <w:p w14:paraId="4D6E2A76" w14:textId="77777777" w:rsidR="0040205D" w:rsidRPr="00635562" w:rsidRDefault="0040205D" w:rsidP="00A96C07">
            <w:pPr>
              <w:keepNext/>
              <w:keepLines/>
              <w:ind w:left="80"/>
              <w:jc w:val="center"/>
              <w:rPr>
                <w:sz w:val="18"/>
                <w:szCs w:val="18"/>
              </w:rPr>
            </w:pPr>
          </w:p>
        </w:tc>
        <w:tc>
          <w:tcPr>
            <w:tcW w:w="2126"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65FDB6B" w14:textId="77777777" w:rsidR="0040205D" w:rsidRPr="00635562" w:rsidRDefault="0040205D" w:rsidP="00A96C07">
            <w:pPr>
              <w:keepNext/>
              <w:keepLines/>
              <w:ind w:left="80"/>
              <w:jc w:val="center"/>
              <w:rPr>
                <w:sz w:val="18"/>
                <w:szCs w:val="18"/>
              </w:rPr>
            </w:pPr>
            <w:r w:rsidRPr="00635562">
              <w:rPr>
                <w:sz w:val="18"/>
                <w:szCs w:val="18"/>
              </w:rPr>
              <w:t>1</w:t>
            </w:r>
          </w:p>
        </w:tc>
        <w:tc>
          <w:tcPr>
            <w:tcW w:w="709" w:type="dxa"/>
            <w:tcBorders>
              <w:top w:val="nil"/>
              <w:left w:val="nil"/>
              <w:bottom w:val="single" w:sz="8" w:space="0" w:color="auto"/>
              <w:right w:val="single" w:sz="4" w:space="0" w:color="auto"/>
            </w:tcBorders>
            <w:shd w:val="clear" w:color="auto" w:fill="auto"/>
            <w:noWrap/>
            <w:vAlign w:val="bottom"/>
            <w:hideMark/>
          </w:tcPr>
          <w:p w14:paraId="76715695" w14:textId="77777777" w:rsidR="0040205D" w:rsidRPr="00635562" w:rsidRDefault="0040205D" w:rsidP="00A96C07">
            <w:pPr>
              <w:keepNext/>
              <w:keepLines/>
              <w:ind w:left="80"/>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hideMark/>
          </w:tcPr>
          <w:p w14:paraId="7513939A" w14:textId="77777777" w:rsidR="0040205D" w:rsidRPr="00635562" w:rsidRDefault="0040205D" w:rsidP="00A96C07">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14:paraId="0B12765B" w14:textId="77777777" w:rsidR="0040205D" w:rsidRPr="00635562" w:rsidRDefault="0040205D" w:rsidP="00A96C07">
            <w:pPr>
              <w:keepNext/>
              <w:keepLines/>
              <w:ind w:left="80"/>
              <w:jc w:val="center"/>
              <w:rPr>
                <w:sz w:val="18"/>
                <w:szCs w:val="18"/>
              </w:rPr>
            </w:pPr>
          </w:p>
        </w:tc>
        <w:tc>
          <w:tcPr>
            <w:tcW w:w="639" w:type="dxa"/>
            <w:tcBorders>
              <w:top w:val="nil"/>
              <w:left w:val="nil"/>
              <w:bottom w:val="single" w:sz="8" w:space="0" w:color="auto"/>
              <w:right w:val="single" w:sz="12" w:space="0" w:color="auto"/>
            </w:tcBorders>
            <w:shd w:val="clear" w:color="auto" w:fill="auto"/>
            <w:noWrap/>
            <w:vAlign w:val="center"/>
            <w:hideMark/>
          </w:tcPr>
          <w:p w14:paraId="5E533AD4" w14:textId="77777777" w:rsidR="0040205D" w:rsidRPr="00635562" w:rsidRDefault="0040205D" w:rsidP="00A96C07">
            <w:pPr>
              <w:keepNext/>
              <w:keepLines/>
              <w:ind w:left="80"/>
              <w:jc w:val="center"/>
              <w:rPr>
                <w:sz w:val="18"/>
                <w:szCs w:val="18"/>
              </w:rPr>
            </w:pPr>
            <w:r w:rsidRPr="00635562">
              <w:rPr>
                <w:sz w:val="18"/>
                <w:szCs w:val="18"/>
              </w:rPr>
              <w:t>1</w:t>
            </w:r>
          </w:p>
        </w:tc>
      </w:tr>
      <w:tr w:rsidR="0040205D" w:rsidRPr="00635562" w14:paraId="74F6AAD6" w14:textId="77777777" w:rsidTr="00A96C07">
        <w:trPr>
          <w:cantSplit/>
          <w:trHeight w:val="948"/>
          <w:jc w:val="center"/>
        </w:trPr>
        <w:tc>
          <w:tcPr>
            <w:tcW w:w="1116" w:type="dxa"/>
            <w:tcBorders>
              <w:top w:val="nil"/>
              <w:left w:val="single" w:sz="12" w:space="0" w:color="auto"/>
              <w:bottom w:val="single" w:sz="12" w:space="0" w:color="auto"/>
              <w:right w:val="nil"/>
            </w:tcBorders>
            <w:shd w:val="clear" w:color="auto" w:fill="auto"/>
            <w:vAlign w:val="center"/>
            <w:hideMark/>
          </w:tcPr>
          <w:p w14:paraId="6143B041" w14:textId="77777777" w:rsidR="0040205D" w:rsidRPr="00635562" w:rsidRDefault="0040205D" w:rsidP="00A96C07">
            <w:pPr>
              <w:keepNext/>
              <w:keepLines/>
              <w:ind w:left="80"/>
              <w:rPr>
                <w:sz w:val="18"/>
                <w:szCs w:val="18"/>
              </w:rPr>
            </w:pPr>
            <w:r w:rsidRPr="00635562">
              <w:rPr>
                <w:sz w:val="18"/>
                <w:szCs w:val="18"/>
              </w:rPr>
              <w:t>Batteries assembled</w:t>
            </w:r>
            <w:r w:rsidRPr="00635562">
              <w:rPr>
                <w:sz w:val="18"/>
                <w:szCs w:val="18"/>
              </w:rPr>
              <w:br/>
              <w:t>with tested batteries</w:t>
            </w:r>
            <w:r w:rsidRPr="00635562">
              <w:rPr>
                <w:sz w:val="18"/>
                <w:szCs w:val="18"/>
              </w:rPr>
              <w:br/>
              <w:t xml:space="preserve">&gt; 500 </w:t>
            </w:r>
            <w:proofErr w:type="spellStart"/>
            <w:r w:rsidRPr="00635562">
              <w:rPr>
                <w:sz w:val="18"/>
                <w:szCs w:val="18"/>
              </w:rPr>
              <w:t>g</w:t>
            </w:r>
            <w:r w:rsidRPr="00635562">
              <w:rPr>
                <w:sz w:val="18"/>
                <w:szCs w:val="18"/>
                <w:vertAlign w:val="superscript"/>
              </w:rPr>
              <w:t>b</w:t>
            </w:r>
            <w:proofErr w:type="spellEnd"/>
            <w:r w:rsidRPr="00635562">
              <w:rPr>
                <w:sz w:val="18"/>
                <w:szCs w:val="18"/>
              </w:rPr>
              <w:t xml:space="preserve"> Li</w:t>
            </w:r>
          </w:p>
        </w:tc>
        <w:tc>
          <w:tcPr>
            <w:tcW w:w="2126" w:type="dxa"/>
            <w:tcBorders>
              <w:top w:val="nil"/>
              <w:left w:val="single" w:sz="4" w:space="0" w:color="auto"/>
              <w:bottom w:val="single" w:sz="12" w:space="0" w:color="auto"/>
              <w:right w:val="nil"/>
            </w:tcBorders>
            <w:shd w:val="clear" w:color="auto" w:fill="auto"/>
            <w:noWrap/>
            <w:vAlign w:val="bottom"/>
            <w:hideMark/>
          </w:tcPr>
          <w:p w14:paraId="7CCD9B4E" w14:textId="77777777" w:rsidR="0040205D" w:rsidRPr="00635562" w:rsidRDefault="0040205D" w:rsidP="00A96C07">
            <w:pPr>
              <w:keepNext/>
              <w:keepLines/>
              <w:ind w:left="80"/>
              <w:rPr>
                <w:sz w:val="18"/>
                <w:szCs w:val="18"/>
              </w:rPr>
            </w:pPr>
            <w:r w:rsidRPr="00635562">
              <w:rPr>
                <w:sz w:val="18"/>
                <w:szCs w:val="18"/>
              </w:rPr>
              <w:t> </w:t>
            </w:r>
          </w:p>
        </w:tc>
        <w:tc>
          <w:tcPr>
            <w:tcW w:w="851" w:type="dxa"/>
            <w:gridSpan w:val="2"/>
            <w:tcBorders>
              <w:top w:val="nil"/>
              <w:left w:val="single" w:sz="4" w:space="0" w:color="auto"/>
              <w:bottom w:val="single" w:sz="12" w:space="0" w:color="auto"/>
              <w:right w:val="nil"/>
            </w:tcBorders>
            <w:shd w:val="clear" w:color="auto" w:fill="auto"/>
            <w:noWrap/>
            <w:vAlign w:val="bottom"/>
            <w:hideMark/>
          </w:tcPr>
          <w:p w14:paraId="76CBFC8A" w14:textId="77777777" w:rsidR="0040205D" w:rsidRPr="00635562" w:rsidRDefault="0040205D" w:rsidP="00A96C07">
            <w:pPr>
              <w:keepNext/>
              <w:keepLines/>
              <w:ind w:left="80"/>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14:paraId="0AA4280E" w14:textId="77777777" w:rsidR="0040205D" w:rsidRPr="00635562" w:rsidRDefault="0040205D" w:rsidP="00A96C07">
            <w:pPr>
              <w:keepNext/>
              <w:keepLines/>
              <w:ind w:left="80"/>
              <w:jc w:val="center"/>
              <w:rPr>
                <w:sz w:val="18"/>
                <w:szCs w:val="18"/>
              </w:rPr>
            </w:pPr>
          </w:p>
        </w:tc>
        <w:tc>
          <w:tcPr>
            <w:tcW w:w="694" w:type="dxa"/>
            <w:tcBorders>
              <w:top w:val="nil"/>
              <w:left w:val="single" w:sz="4" w:space="0" w:color="auto"/>
              <w:bottom w:val="single" w:sz="12" w:space="0" w:color="auto"/>
              <w:right w:val="nil"/>
            </w:tcBorders>
            <w:shd w:val="clear" w:color="auto" w:fill="auto"/>
            <w:noWrap/>
            <w:vAlign w:val="bottom"/>
            <w:hideMark/>
          </w:tcPr>
          <w:p w14:paraId="56A1668B" w14:textId="77777777" w:rsidR="0040205D" w:rsidRPr="00635562" w:rsidRDefault="0040205D" w:rsidP="00A96C07">
            <w:pPr>
              <w:keepNext/>
              <w:keepLines/>
              <w:ind w:left="80"/>
              <w:jc w:val="center"/>
              <w:rPr>
                <w:sz w:val="18"/>
                <w:szCs w:val="18"/>
              </w:rPr>
            </w:pPr>
          </w:p>
        </w:tc>
        <w:tc>
          <w:tcPr>
            <w:tcW w:w="723" w:type="dxa"/>
            <w:tcBorders>
              <w:top w:val="nil"/>
              <w:left w:val="single" w:sz="4" w:space="0" w:color="auto"/>
              <w:bottom w:val="single" w:sz="12" w:space="0" w:color="auto"/>
              <w:right w:val="nil"/>
            </w:tcBorders>
            <w:shd w:val="clear" w:color="auto" w:fill="auto"/>
            <w:noWrap/>
            <w:vAlign w:val="bottom"/>
            <w:hideMark/>
          </w:tcPr>
          <w:p w14:paraId="08E7CAF3" w14:textId="77777777" w:rsidR="0040205D" w:rsidRPr="00635562" w:rsidRDefault="0040205D" w:rsidP="00A96C07">
            <w:pPr>
              <w:keepNext/>
              <w:keepLines/>
              <w:ind w:left="80"/>
              <w:jc w:val="center"/>
              <w:rPr>
                <w:sz w:val="18"/>
                <w:szCs w:val="18"/>
              </w:rPr>
            </w:pPr>
          </w:p>
        </w:tc>
        <w:tc>
          <w:tcPr>
            <w:tcW w:w="709" w:type="dxa"/>
            <w:tcBorders>
              <w:top w:val="nil"/>
              <w:left w:val="single" w:sz="4" w:space="0" w:color="auto"/>
              <w:bottom w:val="single" w:sz="12" w:space="0" w:color="auto"/>
              <w:right w:val="nil"/>
            </w:tcBorders>
            <w:shd w:val="clear" w:color="auto" w:fill="auto"/>
            <w:noWrap/>
            <w:vAlign w:val="bottom"/>
            <w:hideMark/>
          </w:tcPr>
          <w:p w14:paraId="3F6187B2" w14:textId="77777777" w:rsidR="0040205D" w:rsidRPr="00635562" w:rsidRDefault="0040205D" w:rsidP="00A96C07">
            <w:pPr>
              <w:keepNext/>
              <w:keepLines/>
              <w:ind w:left="80"/>
              <w:jc w:val="center"/>
              <w:rPr>
                <w:sz w:val="18"/>
                <w:szCs w:val="18"/>
              </w:rPr>
            </w:pPr>
          </w:p>
        </w:tc>
        <w:tc>
          <w:tcPr>
            <w:tcW w:w="709" w:type="dxa"/>
            <w:tcBorders>
              <w:top w:val="nil"/>
              <w:left w:val="single" w:sz="4" w:space="0" w:color="auto"/>
              <w:bottom w:val="single" w:sz="12" w:space="0" w:color="auto"/>
              <w:right w:val="single" w:sz="4" w:space="0" w:color="auto"/>
            </w:tcBorders>
            <w:shd w:val="clear" w:color="auto" w:fill="auto"/>
            <w:noWrap/>
            <w:vAlign w:val="bottom"/>
            <w:hideMark/>
          </w:tcPr>
          <w:p w14:paraId="1B9F9314" w14:textId="77777777" w:rsidR="0040205D" w:rsidRPr="00635562" w:rsidRDefault="0040205D" w:rsidP="00A96C07">
            <w:pPr>
              <w:keepNext/>
              <w:keepLines/>
              <w:ind w:left="80"/>
              <w:jc w:val="center"/>
              <w:rPr>
                <w:sz w:val="18"/>
                <w:szCs w:val="18"/>
              </w:rPr>
            </w:pPr>
          </w:p>
        </w:tc>
        <w:tc>
          <w:tcPr>
            <w:tcW w:w="708" w:type="dxa"/>
            <w:tcBorders>
              <w:top w:val="nil"/>
              <w:left w:val="nil"/>
              <w:bottom w:val="single" w:sz="12" w:space="0" w:color="auto"/>
              <w:right w:val="single" w:sz="4" w:space="0" w:color="auto"/>
            </w:tcBorders>
            <w:shd w:val="clear" w:color="auto" w:fill="auto"/>
            <w:noWrap/>
            <w:vAlign w:val="bottom"/>
            <w:hideMark/>
          </w:tcPr>
          <w:p w14:paraId="53DA30D2" w14:textId="77777777" w:rsidR="0040205D" w:rsidRPr="00635562" w:rsidRDefault="0040205D" w:rsidP="00A96C07">
            <w:pPr>
              <w:keepNext/>
              <w:keepLines/>
              <w:ind w:left="80"/>
              <w:jc w:val="center"/>
              <w:rPr>
                <w:sz w:val="18"/>
                <w:szCs w:val="18"/>
              </w:rPr>
            </w:pPr>
          </w:p>
        </w:tc>
        <w:tc>
          <w:tcPr>
            <w:tcW w:w="709" w:type="dxa"/>
            <w:tcBorders>
              <w:top w:val="nil"/>
              <w:left w:val="nil"/>
              <w:bottom w:val="single" w:sz="12" w:space="0" w:color="auto"/>
              <w:right w:val="single" w:sz="4" w:space="0" w:color="auto"/>
            </w:tcBorders>
            <w:shd w:val="clear" w:color="auto" w:fill="auto"/>
            <w:noWrap/>
            <w:vAlign w:val="bottom"/>
            <w:hideMark/>
          </w:tcPr>
          <w:p w14:paraId="748FB7DC" w14:textId="77777777" w:rsidR="0040205D" w:rsidRPr="00635562" w:rsidRDefault="0040205D" w:rsidP="00A96C07">
            <w:pPr>
              <w:keepNext/>
              <w:keepLines/>
              <w:ind w:left="80"/>
              <w:jc w:val="center"/>
              <w:rPr>
                <w:sz w:val="18"/>
                <w:szCs w:val="18"/>
              </w:rPr>
            </w:pPr>
          </w:p>
        </w:tc>
        <w:tc>
          <w:tcPr>
            <w:tcW w:w="639" w:type="dxa"/>
            <w:tcBorders>
              <w:top w:val="nil"/>
              <w:left w:val="nil"/>
              <w:bottom w:val="single" w:sz="12" w:space="0" w:color="auto"/>
              <w:right w:val="single" w:sz="12" w:space="0" w:color="auto"/>
            </w:tcBorders>
            <w:shd w:val="clear" w:color="auto" w:fill="auto"/>
            <w:noWrap/>
            <w:vAlign w:val="center"/>
            <w:hideMark/>
          </w:tcPr>
          <w:p w14:paraId="488D6F61" w14:textId="77777777" w:rsidR="0040205D" w:rsidRPr="00635562" w:rsidRDefault="0040205D" w:rsidP="00A96C07">
            <w:pPr>
              <w:keepNext/>
              <w:keepLines/>
              <w:ind w:left="80"/>
              <w:jc w:val="center"/>
              <w:rPr>
                <w:sz w:val="18"/>
                <w:szCs w:val="18"/>
              </w:rPr>
            </w:pPr>
            <w:r w:rsidRPr="00635562">
              <w:rPr>
                <w:sz w:val="18"/>
                <w:szCs w:val="18"/>
              </w:rPr>
              <w:t>0</w:t>
            </w:r>
          </w:p>
        </w:tc>
      </w:tr>
      <w:tr w:rsidR="0040205D" w:rsidRPr="00635562" w14:paraId="63525E49" w14:textId="77777777" w:rsidTr="00A96C07">
        <w:trPr>
          <w:cantSplit/>
          <w:trHeight w:val="324"/>
          <w:jc w:val="center"/>
        </w:trPr>
        <w:tc>
          <w:tcPr>
            <w:tcW w:w="1116" w:type="dxa"/>
            <w:tcBorders>
              <w:top w:val="nil"/>
              <w:left w:val="nil"/>
              <w:bottom w:val="nil"/>
              <w:right w:val="nil"/>
            </w:tcBorders>
            <w:shd w:val="clear" w:color="auto" w:fill="auto"/>
            <w:vAlign w:val="center"/>
            <w:hideMark/>
          </w:tcPr>
          <w:p w14:paraId="3604C256" w14:textId="77777777" w:rsidR="0040205D" w:rsidRPr="00635562" w:rsidRDefault="0040205D" w:rsidP="00A96C07">
            <w:pPr>
              <w:ind w:left="80"/>
              <w:rPr>
                <w:sz w:val="18"/>
                <w:szCs w:val="18"/>
              </w:rPr>
            </w:pPr>
          </w:p>
        </w:tc>
        <w:tc>
          <w:tcPr>
            <w:tcW w:w="2126" w:type="dxa"/>
            <w:tcBorders>
              <w:top w:val="nil"/>
              <w:left w:val="nil"/>
              <w:bottom w:val="nil"/>
              <w:right w:val="nil"/>
            </w:tcBorders>
            <w:shd w:val="clear" w:color="auto" w:fill="auto"/>
            <w:noWrap/>
            <w:vAlign w:val="bottom"/>
            <w:hideMark/>
          </w:tcPr>
          <w:p w14:paraId="6FA03AFA" w14:textId="77777777" w:rsidR="0040205D" w:rsidRPr="00635562" w:rsidRDefault="0040205D" w:rsidP="00A96C07">
            <w:pPr>
              <w:ind w:left="80"/>
              <w:rPr>
                <w:sz w:val="18"/>
                <w:szCs w:val="18"/>
              </w:rPr>
            </w:pPr>
          </w:p>
        </w:tc>
        <w:tc>
          <w:tcPr>
            <w:tcW w:w="851" w:type="dxa"/>
            <w:gridSpan w:val="2"/>
            <w:tcBorders>
              <w:top w:val="nil"/>
              <w:left w:val="nil"/>
              <w:bottom w:val="nil"/>
              <w:right w:val="nil"/>
            </w:tcBorders>
            <w:shd w:val="clear" w:color="auto" w:fill="auto"/>
            <w:noWrap/>
            <w:vAlign w:val="bottom"/>
            <w:hideMark/>
          </w:tcPr>
          <w:p w14:paraId="71036B93" w14:textId="77777777" w:rsidR="0040205D" w:rsidRPr="00635562" w:rsidRDefault="0040205D" w:rsidP="00A96C07">
            <w:pPr>
              <w:ind w:left="80"/>
              <w:rPr>
                <w:sz w:val="18"/>
                <w:szCs w:val="18"/>
              </w:rPr>
            </w:pPr>
          </w:p>
        </w:tc>
        <w:tc>
          <w:tcPr>
            <w:tcW w:w="567" w:type="dxa"/>
            <w:tcBorders>
              <w:top w:val="nil"/>
              <w:left w:val="nil"/>
              <w:bottom w:val="nil"/>
              <w:right w:val="nil"/>
            </w:tcBorders>
            <w:shd w:val="clear" w:color="auto" w:fill="auto"/>
            <w:noWrap/>
            <w:vAlign w:val="bottom"/>
            <w:hideMark/>
          </w:tcPr>
          <w:p w14:paraId="2B42CFD4" w14:textId="77777777" w:rsidR="0040205D" w:rsidRPr="00635562" w:rsidRDefault="0040205D" w:rsidP="00A96C07">
            <w:pPr>
              <w:ind w:left="80"/>
              <w:rPr>
                <w:sz w:val="18"/>
                <w:szCs w:val="18"/>
              </w:rPr>
            </w:pPr>
          </w:p>
        </w:tc>
        <w:tc>
          <w:tcPr>
            <w:tcW w:w="694" w:type="dxa"/>
            <w:tcBorders>
              <w:top w:val="nil"/>
              <w:left w:val="nil"/>
              <w:bottom w:val="nil"/>
              <w:right w:val="nil"/>
            </w:tcBorders>
            <w:shd w:val="clear" w:color="auto" w:fill="auto"/>
            <w:noWrap/>
            <w:vAlign w:val="bottom"/>
            <w:hideMark/>
          </w:tcPr>
          <w:p w14:paraId="3D2BC15F" w14:textId="77777777" w:rsidR="0040205D" w:rsidRPr="00635562" w:rsidRDefault="0040205D" w:rsidP="00A96C07">
            <w:pPr>
              <w:ind w:left="80"/>
              <w:rPr>
                <w:sz w:val="18"/>
                <w:szCs w:val="18"/>
              </w:rPr>
            </w:pPr>
          </w:p>
        </w:tc>
        <w:tc>
          <w:tcPr>
            <w:tcW w:w="723" w:type="dxa"/>
            <w:tcBorders>
              <w:top w:val="nil"/>
              <w:left w:val="nil"/>
              <w:bottom w:val="nil"/>
              <w:right w:val="nil"/>
            </w:tcBorders>
            <w:shd w:val="clear" w:color="auto" w:fill="auto"/>
            <w:noWrap/>
            <w:vAlign w:val="bottom"/>
            <w:hideMark/>
          </w:tcPr>
          <w:p w14:paraId="52A62CAE" w14:textId="77777777" w:rsidR="0040205D" w:rsidRPr="00635562" w:rsidRDefault="0040205D" w:rsidP="00A96C07">
            <w:pPr>
              <w:ind w:left="80"/>
              <w:rPr>
                <w:sz w:val="18"/>
                <w:szCs w:val="18"/>
              </w:rPr>
            </w:pPr>
          </w:p>
        </w:tc>
        <w:tc>
          <w:tcPr>
            <w:tcW w:w="709" w:type="dxa"/>
            <w:tcBorders>
              <w:top w:val="nil"/>
              <w:left w:val="nil"/>
              <w:bottom w:val="nil"/>
              <w:right w:val="nil"/>
            </w:tcBorders>
            <w:shd w:val="clear" w:color="auto" w:fill="auto"/>
            <w:noWrap/>
            <w:vAlign w:val="bottom"/>
            <w:hideMark/>
          </w:tcPr>
          <w:p w14:paraId="4C0D00E0" w14:textId="77777777" w:rsidR="0040205D" w:rsidRPr="00635562" w:rsidRDefault="0040205D" w:rsidP="00A96C07">
            <w:pPr>
              <w:ind w:left="80"/>
              <w:rPr>
                <w:sz w:val="18"/>
                <w:szCs w:val="18"/>
              </w:rPr>
            </w:pPr>
          </w:p>
        </w:tc>
        <w:tc>
          <w:tcPr>
            <w:tcW w:w="709" w:type="dxa"/>
            <w:tcBorders>
              <w:top w:val="nil"/>
              <w:left w:val="nil"/>
              <w:bottom w:val="nil"/>
              <w:right w:val="nil"/>
            </w:tcBorders>
            <w:shd w:val="clear" w:color="auto" w:fill="auto"/>
            <w:noWrap/>
            <w:vAlign w:val="bottom"/>
            <w:hideMark/>
          </w:tcPr>
          <w:p w14:paraId="29E78045" w14:textId="77777777" w:rsidR="0040205D" w:rsidRPr="00635562" w:rsidRDefault="0040205D" w:rsidP="00A96C07">
            <w:pPr>
              <w:ind w:left="80"/>
              <w:rPr>
                <w:sz w:val="18"/>
                <w:szCs w:val="18"/>
              </w:rPr>
            </w:pPr>
          </w:p>
        </w:tc>
        <w:tc>
          <w:tcPr>
            <w:tcW w:w="708" w:type="dxa"/>
            <w:tcBorders>
              <w:top w:val="nil"/>
              <w:left w:val="nil"/>
              <w:bottom w:val="nil"/>
              <w:right w:val="nil"/>
            </w:tcBorders>
            <w:shd w:val="clear" w:color="auto" w:fill="auto"/>
            <w:noWrap/>
            <w:vAlign w:val="bottom"/>
            <w:hideMark/>
          </w:tcPr>
          <w:p w14:paraId="3130AA50" w14:textId="77777777" w:rsidR="0040205D" w:rsidRPr="00635562" w:rsidRDefault="0040205D" w:rsidP="00A96C07">
            <w:pPr>
              <w:ind w:left="80"/>
              <w:rPr>
                <w:sz w:val="18"/>
                <w:szCs w:val="18"/>
              </w:rPr>
            </w:pPr>
          </w:p>
        </w:tc>
        <w:tc>
          <w:tcPr>
            <w:tcW w:w="709" w:type="dxa"/>
            <w:tcBorders>
              <w:top w:val="nil"/>
              <w:left w:val="nil"/>
              <w:bottom w:val="nil"/>
              <w:right w:val="nil"/>
            </w:tcBorders>
            <w:shd w:val="clear" w:color="auto" w:fill="auto"/>
            <w:noWrap/>
            <w:vAlign w:val="bottom"/>
            <w:hideMark/>
          </w:tcPr>
          <w:p w14:paraId="33029156" w14:textId="77777777" w:rsidR="0040205D" w:rsidRPr="00635562" w:rsidRDefault="0040205D" w:rsidP="00A96C07">
            <w:pPr>
              <w:ind w:left="80"/>
              <w:rPr>
                <w:sz w:val="18"/>
                <w:szCs w:val="18"/>
              </w:rPr>
            </w:pPr>
          </w:p>
        </w:tc>
        <w:tc>
          <w:tcPr>
            <w:tcW w:w="639" w:type="dxa"/>
            <w:tcBorders>
              <w:top w:val="nil"/>
              <w:left w:val="nil"/>
              <w:bottom w:val="nil"/>
              <w:right w:val="nil"/>
            </w:tcBorders>
            <w:shd w:val="clear" w:color="auto" w:fill="auto"/>
            <w:noWrap/>
            <w:vAlign w:val="bottom"/>
            <w:hideMark/>
          </w:tcPr>
          <w:p w14:paraId="048E54A8" w14:textId="77777777" w:rsidR="0040205D" w:rsidRPr="00635562" w:rsidRDefault="0040205D" w:rsidP="00A96C07">
            <w:pPr>
              <w:ind w:left="80"/>
              <w:rPr>
                <w:sz w:val="18"/>
                <w:szCs w:val="18"/>
              </w:rPr>
            </w:pPr>
          </w:p>
        </w:tc>
      </w:tr>
    </w:tbl>
    <w:p w14:paraId="69F80BA1" w14:textId="77777777" w:rsidR="0040205D" w:rsidRPr="00635562" w:rsidRDefault="0040205D" w:rsidP="0040205D">
      <w:pPr>
        <w:pStyle w:val="SingleTxtG"/>
        <w:rPr>
          <w:i/>
        </w:rPr>
      </w:pPr>
      <w:r w:rsidRPr="00635562">
        <w:rPr>
          <w:vertAlign w:val="superscript"/>
        </w:rPr>
        <w:t>a.</w:t>
      </w:r>
      <w:r w:rsidRPr="00635562">
        <w:tab/>
      </w:r>
      <w:r w:rsidRPr="00635562">
        <w:rPr>
          <w:i/>
        </w:rPr>
        <w:t>A single cell battery containing one tested cell does not require testing unless a change in cell design could result in the failure of any test.</w:t>
      </w:r>
      <w:r w:rsidRPr="00635562">
        <w:rPr>
          <w:i/>
        </w:rPr>
        <w:tab/>
      </w:r>
    </w:p>
    <w:p w14:paraId="6BE31C04" w14:textId="77777777" w:rsidR="0040205D" w:rsidRPr="00635562" w:rsidRDefault="0040205D" w:rsidP="0040205D">
      <w:pPr>
        <w:pStyle w:val="ListParagraph"/>
        <w:spacing w:after="120"/>
        <w:ind w:left="1134"/>
        <w:rPr>
          <w:i/>
        </w:rPr>
      </w:pPr>
      <w:proofErr w:type="gramStart"/>
      <w:r w:rsidRPr="00635562">
        <w:rPr>
          <w:vertAlign w:val="superscript"/>
        </w:rPr>
        <w:t>b</w:t>
      </w:r>
      <w:proofErr w:type="gramEnd"/>
      <w:r w:rsidRPr="00635562">
        <w:t xml:space="preserve"> </w:t>
      </w:r>
      <w:r w:rsidRPr="00635562">
        <w:tab/>
      </w:r>
      <w:r w:rsidRPr="00635562">
        <w:rPr>
          <w:i/>
        </w:rPr>
        <w:t xml:space="preserve">If the assembled battery is of a type that has been verified as preventing: </w:t>
      </w:r>
    </w:p>
    <w:p w14:paraId="02B6C150" w14:textId="77777777" w:rsidR="0040205D" w:rsidRPr="00635562" w:rsidRDefault="0040205D" w:rsidP="0040205D">
      <w:pPr>
        <w:suppressAutoHyphens w:val="0"/>
        <w:spacing w:line="240" w:lineRule="auto"/>
        <w:ind w:left="1701"/>
        <w:rPr>
          <w:i/>
        </w:rPr>
      </w:pPr>
      <w:r w:rsidRPr="00635562">
        <w:rPr>
          <w:i/>
        </w:rPr>
        <w:t>(</w:t>
      </w:r>
      <w:proofErr w:type="spellStart"/>
      <w:r w:rsidRPr="00635562">
        <w:rPr>
          <w:i/>
        </w:rPr>
        <w:t>i</w:t>
      </w:r>
      <w:proofErr w:type="spellEnd"/>
      <w:r w:rsidRPr="00635562">
        <w:rPr>
          <w:i/>
        </w:rPr>
        <w:t>)</w:t>
      </w:r>
      <w:r w:rsidRPr="00635562">
        <w:rPr>
          <w:i/>
        </w:rPr>
        <w:tab/>
        <w:t xml:space="preserve">Overcharge; </w:t>
      </w:r>
    </w:p>
    <w:p w14:paraId="3822D748" w14:textId="77777777" w:rsidR="0040205D" w:rsidRPr="00635562" w:rsidRDefault="0040205D" w:rsidP="0040205D">
      <w:pPr>
        <w:suppressAutoHyphens w:val="0"/>
        <w:spacing w:line="240" w:lineRule="auto"/>
        <w:ind w:left="1701"/>
        <w:rPr>
          <w:i/>
        </w:rPr>
      </w:pPr>
      <w:r w:rsidRPr="00635562">
        <w:rPr>
          <w:i/>
        </w:rPr>
        <w:t>(ii)</w:t>
      </w:r>
      <w:r w:rsidRPr="00635562">
        <w:rPr>
          <w:i/>
        </w:rPr>
        <w:tab/>
        <w:t xml:space="preserve">Short circuits; and </w:t>
      </w:r>
    </w:p>
    <w:p w14:paraId="2BA9A7FF" w14:textId="77777777" w:rsidR="0040205D" w:rsidRPr="00635562" w:rsidRDefault="0040205D" w:rsidP="0040205D">
      <w:pPr>
        <w:suppressAutoHyphens w:val="0"/>
        <w:spacing w:after="120" w:line="240" w:lineRule="auto"/>
        <w:ind w:left="1701"/>
        <w:rPr>
          <w:i/>
        </w:rPr>
      </w:pPr>
      <w:r w:rsidRPr="00635562">
        <w:rPr>
          <w:i/>
        </w:rPr>
        <w:t>(iii)</w:t>
      </w:r>
      <w:r w:rsidRPr="00635562">
        <w:rPr>
          <w:i/>
        </w:rPr>
        <w:tab/>
        <w:t>Over discharge between the batteries.</w:t>
      </w:r>
    </w:p>
    <w:p w14:paraId="269EAD04" w14:textId="77777777" w:rsidR="0040205D" w:rsidRPr="00635562" w:rsidRDefault="0040205D" w:rsidP="0040205D">
      <w:pPr>
        <w:pStyle w:val="SingleTxtG"/>
        <w:rPr>
          <w:i/>
        </w:rPr>
      </w:pPr>
      <w:r w:rsidRPr="00635562">
        <w:rPr>
          <w:vertAlign w:val="superscript"/>
        </w:rPr>
        <w:t>c.</w:t>
      </w:r>
      <w:r w:rsidRPr="00635562">
        <w:rPr>
          <w:vertAlign w:val="superscript"/>
        </w:rPr>
        <w:tab/>
      </w:r>
      <w:r w:rsidRPr="00635562">
        <w:rPr>
          <w:i/>
        </w:rPr>
        <w:t>The sum represents the number of tests required, not the number of cells or batteries tested.</w:t>
      </w:r>
    </w:p>
    <w:p w14:paraId="306041F4" w14:textId="77777777" w:rsidR="0040205D" w:rsidRPr="00635562" w:rsidRDefault="0040205D" w:rsidP="0040205D">
      <w:pPr>
        <w:pStyle w:val="SingleTxtG"/>
        <w:keepNext/>
        <w:keepLines/>
        <w:pageBreakBefore/>
        <w:jc w:val="center"/>
        <w:rPr>
          <w:b/>
        </w:rPr>
      </w:pPr>
      <w:r w:rsidRPr="00635562">
        <w:rPr>
          <w:b/>
        </w:rPr>
        <w:lastRenderedPageBreak/>
        <w:t xml:space="preserve">Table 38.3.3: Summary table of required tests for rechargeable </w:t>
      </w:r>
      <w:r w:rsidRPr="00635562">
        <w:rPr>
          <w:b/>
        </w:rPr>
        <w:br/>
        <w:t>cells and batteries</w:t>
      </w:r>
    </w:p>
    <w:tbl>
      <w:tblPr>
        <w:tblW w:w="9095" w:type="dxa"/>
        <w:jc w:val="center"/>
        <w:tblLook w:val="04A0" w:firstRow="1" w:lastRow="0" w:firstColumn="1" w:lastColumn="0" w:noHBand="0" w:noVBand="1"/>
      </w:tblPr>
      <w:tblGrid>
        <w:gridCol w:w="1417"/>
        <w:gridCol w:w="2693"/>
        <w:gridCol w:w="567"/>
        <w:gridCol w:w="567"/>
        <w:gridCol w:w="567"/>
        <w:gridCol w:w="503"/>
        <w:gridCol w:w="489"/>
        <w:gridCol w:w="562"/>
        <w:gridCol w:w="546"/>
        <w:gridCol w:w="545"/>
        <w:gridCol w:w="639"/>
      </w:tblGrid>
      <w:tr w:rsidR="0040205D" w:rsidRPr="00635562" w14:paraId="5AC3BDD9" w14:textId="77777777" w:rsidTr="00A96C07">
        <w:trPr>
          <w:trHeight w:val="336"/>
          <w:jc w:val="center"/>
        </w:trPr>
        <w:tc>
          <w:tcPr>
            <w:tcW w:w="9095" w:type="dxa"/>
            <w:gridSpan w:val="11"/>
            <w:tcBorders>
              <w:top w:val="single" w:sz="12" w:space="0" w:color="auto"/>
              <w:left w:val="single" w:sz="12" w:space="0" w:color="auto"/>
              <w:bottom w:val="nil"/>
              <w:right w:val="single" w:sz="12" w:space="0" w:color="000000"/>
            </w:tcBorders>
            <w:shd w:val="clear" w:color="auto" w:fill="auto"/>
            <w:noWrap/>
            <w:vAlign w:val="bottom"/>
            <w:hideMark/>
          </w:tcPr>
          <w:p w14:paraId="77CEFCC3" w14:textId="77777777" w:rsidR="0040205D" w:rsidRPr="00635562" w:rsidRDefault="0040205D" w:rsidP="00A96C07">
            <w:pPr>
              <w:keepNext/>
              <w:keepLines/>
              <w:jc w:val="center"/>
              <w:rPr>
                <w:b/>
                <w:sz w:val="18"/>
                <w:szCs w:val="18"/>
              </w:rPr>
            </w:pPr>
            <w:r w:rsidRPr="00635562">
              <w:rPr>
                <w:b/>
                <w:sz w:val="18"/>
                <w:szCs w:val="18"/>
              </w:rPr>
              <w:t>Rechargeable cells and batteries</w:t>
            </w:r>
          </w:p>
        </w:tc>
      </w:tr>
      <w:tr w:rsidR="0040205D" w:rsidRPr="00635562" w14:paraId="28547FB6" w14:textId="77777777" w:rsidTr="00A96C07">
        <w:trPr>
          <w:trHeight w:val="324"/>
          <w:jc w:val="center"/>
        </w:trPr>
        <w:tc>
          <w:tcPr>
            <w:tcW w:w="1417" w:type="dxa"/>
            <w:tcBorders>
              <w:top w:val="single" w:sz="8" w:space="0" w:color="auto"/>
              <w:left w:val="single" w:sz="12" w:space="0" w:color="auto"/>
              <w:bottom w:val="single" w:sz="8" w:space="0" w:color="auto"/>
              <w:right w:val="nil"/>
            </w:tcBorders>
            <w:shd w:val="clear" w:color="auto" w:fill="auto"/>
            <w:noWrap/>
            <w:vAlign w:val="bottom"/>
            <w:hideMark/>
          </w:tcPr>
          <w:p w14:paraId="22571529" w14:textId="77777777" w:rsidR="0040205D" w:rsidRPr="00635562" w:rsidRDefault="0040205D" w:rsidP="00A96C07">
            <w:pPr>
              <w:keepNext/>
              <w:keepLines/>
              <w:rPr>
                <w:sz w:val="18"/>
                <w:szCs w:val="18"/>
              </w:rPr>
            </w:pPr>
            <w:r w:rsidRPr="00635562">
              <w:rPr>
                <w:sz w:val="18"/>
                <w:szCs w:val="18"/>
              </w:rPr>
              <w:t> </w:t>
            </w:r>
          </w:p>
        </w:tc>
        <w:tc>
          <w:tcPr>
            <w:tcW w:w="2693" w:type="dxa"/>
            <w:tcBorders>
              <w:top w:val="single" w:sz="8" w:space="0" w:color="auto"/>
              <w:left w:val="nil"/>
              <w:bottom w:val="single" w:sz="8" w:space="0" w:color="auto"/>
              <w:right w:val="nil"/>
            </w:tcBorders>
            <w:shd w:val="clear" w:color="auto" w:fill="auto"/>
            <w:noWrap/>
            <w:vAlign w:val="bottom"/>
            <w:hideMark/>
          </w:tcPr>
          <w:p w14:paraId="01D38BE2" w14:textId="77777777" w:rsidR="0040205D" w:rsidRPr="00635562" w:rsidRDefault="0040205D" w:rsidP="00A96C07">
            <w:pPr>
              <w:keepNext/>
              <w:keepLines/>
              <w:rPr>
                <w:sz w:val="18"/>
                <w:szCs w:val="18"/>
              </w:rPr>
            </w:pPr>
            <w:r w:rsidRPr="00635562">
              <w:rPr>
                <w:sz w:val="18"/>
                <w:szCs w:val="18"/>
              </w:rPr>
              <w:t> </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14:paraId="2BAA033E" w14:textId="77777777" w:rsidR="0040205D" w:rsidRPr="00635562" w:rsidRDefault="0040205D" w:rsidP="00A96C07">
            <w:pPr>
              <w:keepNext/>
              <w:keepLines/>
              <w:rPr>
                <w:sz w:val="18"/>
                <w:szCs w:val="18"/>
              </w:rPr>
            </w:pPr>
            <w:r w:rsidRPr="00635562">
              <w:rPr>
                <w:sz w:val="18"/>
                <w:szCs w:val="18"/>
              </w:rPr>
              <w:t>T.1</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14:paraId="344B2676" w14:textId="77777777" w:rsidR="0040205D" w:rsidRPr="00635562" w:rsidRDefault="0040205D" w:rsidP="00A96C07">
            <w:pPr>
              <w:keepNext/>
              <w:keepLines/>
              <w:rPr>
                <w:sz w:val="18"/>
                <w:szCs w:val="18"/>
              </w:rPr>
            </w:pPr>
            <w:r w:rsidRPr="00635562">
              <w:rPr>
                <w:sz w:val="18"/>
                <w:szCs w:val="18"/>
              </w:rPr>
              <w:t>T.2</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14:paraId="420F4B8B" w14:textId="77777777" w:rsidR="0040205D" w:rsidRPr="00635562" w:rsidRDefault="0040205D" w:rsidP="00A96C07">
            <w:pPr>
              <w:keepNext/>
              <w:keepLines/>
              <w:rPr>
                <w:sz w:val="18"/>
                <w:szCs w:val="18"/>
              </w:rPr>
            </w:pPr>
            <w:r w:rsidRPr="00635562">
              <w:rPr>
                <w:sz w:val="18"/>
                <w:szCs w:val="18"/>
              </w:rPr>
              <w:t>T.3</w:t>
            </w:r>
          </w:p>
        </w:tc>
        <w:tc>
          <w:tcPr>
            <w:tcW w:w="503" w:type="dxa"/>
            <w:tcBorders>
              <w:top w:val="single" w:sz="8" w:space="0" w:color="auto"/>
              <w:left w:val="single" w:sz="4" w:space="0" w:color="auto"/>
              <w:bottom w:val="single" w:sz="8" w:space="0" w:color="auto"/>
              <w:right w:val="nil"/>
            </w:tcBorders>
            <w:shd w:val="clear" w:color="auto" w:fill="auto"/>
            <w:noWrap/>
            <w:vAlign w:val="bottom"/>
            <w:hideMark/>
          </w:tcPr>
          <w:p w14:paraId="5FD1E2B2" w14:textId="77777777" w:rsidR="0040205D" w:rsidRPr="00635562" w:rsidRDefault="0040205D" w:rsidP="00A96C07">
            <w:pPr>
              <w:keepNext/>
              <w:keepLines/>
              <w:rPr>
                <w:sz w:val="18"/>
                <w:szCs w:val="18"/>
              </w:rPr>
            </w:pPr>
            <w:r w:rsidRPr="00635562">
              <w:rPr>
                <w:sz w:val="18"/>
                <w:szCs w:val="18"/>
              </w:rPr>
              <w:t>T.4</w:t>
            </w:r>
          </w:p>
        </w:tc>
        <w:tc>
          <w:tcPr>
            <w:tcW w:w="489" w:type="dxa"/>
            <w:tcBorders>
              <w:top w:val="single" w:sz="8" w:space="0" w:color="auto"/>
              <w:left w:val="single" w:sz="4" w:space="0" w:color="auto"/>
              <w:bottom w:val="single" w:sz="8" w:space="0" w:color="auto"/>
              <w:right w:val="nil"/>
            </w:tcBorders>
            <w:shd w:val="clear" w:color="auto" w:fill="auto"/>
            <w:noWrap/>
            <w:vAlign w:val="bottom"/>
            <w:hideMark/>
          </w:tcPr>
          <w:p w14:paraId="11F2A048" w14:textId="77777777" w:rsidR="0040205D" w:rsidRPr="00635562" w:rsidRDefault="0040205D" w:rsidP="00A96C07">
            <w:pPr>
              <w:keepNext/>
              <w:keepLines/>
              <w:rPr>
                <w:sz w:val="18"/>
                <w:szCs w:val="18"/>
              </w:rPr>
            </w:pPr>
            <w:r w:rsidRPr="00635562">
              <w:rPr>
                <w:sz w:val="18"/>
                <w:szCs w:val="18"/>
              </w:rPr>
              <w:t>T.5</w:t>
            </w:r>
          </w:p>
        </w:tc>
        <w:tc>
          <w:tcPr>
            <w:tcW w:w="56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3FBA6ED" w14:textId="77777777" w:rsidR="0040205D" w:rsidRPr="00635562" w:rsidRDefault="0040205D" w:rsidP="00A96C07">
            <w:pPr>
              <w:keepNext/>
              <w:keepLines/>
              <w:rPr>
                <w:sz w:val="18"/>
                <w:szCs w:val="18"/>
              </w:rPr>
            </w:pPr>
            <w:r w:rsidRPr="00635562">
              <w:rPr>
                <w:sz w:val="18"/>
                <w:szCs w:val="18"/>
              </w:rPr>
              <w:t>T.6</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083F917E" w14:textId="77777777" w:rsidR="0040205D" w:rsidRPr="00635562" w:rsidRDefault="0040205D" w:rsidP="00A96C07">
            <w:pPr>
              <w:keepNext/>
              <w:keepLines/>
              <w:rPr>
                <w:sz w:val="18"/>
                <w:szCs w:val="18"/>
              </w:rPr>
            </w:pPr>
            <w:r w:rsidRPr="00635562">
              <w:rPr>
                <w:sz w:val="18"/>
                <w:szCs w:val="18"/>
              </w:rPr>
              <w:t>T.7</w:t>
            </w:r>
            <w:r w:rsidRPr="00635562">
              <w:rPr>
                <w:sz w:val="18"/>
                <w:szCs w:val="18"/>
                <w:vertAlign w:val="superscript"/>
              </w:rPr>
              <w:t>a</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14:paraId="09BD3584" w14:textId="77777777" w:rsidR="0040205D" w:rsidRPr="00635562" w:rsidRDefault="0040205D" w:rsidP="00A96C07">
            <w:pPr>
              <w:keepNext/>
              <w:keepLines/>
              <w:rPr>
                <w:sz w:val="18"/>
                <w:szCs w:val="18"/>
              </w:rPr>
            </w:pPr>
            <w:r w:rsidRPr="00635562">
              <w:rPr>
                <w:sz w:val="18"/>
                <w:szCs w:val="18"/>
              </w:rPr>
              <w:t>T.8</w:t>
            </w:r>
          </w:p>
        </w:tc>
        <w:tc>
          <w:tcPr>
            <w:tcW w:w="639" w:type="dxa"/>
            <w:tcBorders>
              <w:top w:val="single" w:sz="8" w:space="0" w:color="auto"/>
              <w:left w:val="nil"/>
              <w:bottom w:val="single" w:sz="8" w:space="0" w:color="auto"/>
              <w:right w:val="single" w:sz="12" w:space="0" w:color="auto"/>
            </w:tcBorders>
            <w:shd w:val="clear" w:color="auto" w:fill="auto"/>
            <w:noWrap/>
            <w:vAlign w:val="bottom"/>
            <w:hideMark/>
          </w:tcPr>
          <w:p w14:paraId="3ABAB8E8" w14:textId="77777777" w:rsidR="0040205D" w:rsidRPr="00635562" w:rsidRDefault="0040205D" w:rsidP="00A96C07">
            <w:pPr>
              <w:keepNext/>
              <w:keepLines/>
              <w:rPr>
                <w:sz w:val="18"/>
                <w:szCs w:val="18"/>
              </w:rPr>
            </w:pPr>
            <w:proofErr w:type="spellStart"/>
            <w:r w:rsidRPr="00635562">
              <w:rPr>
                <w:sz w:val="18"/>
                <w:szCs w:val="18"/>
              </w:rPr>
              <w:t>Sum</w:t>
            </w:r>
            <w:r w:rsidRPr="00635562">
              <w:rPr>
                <w:sz w:val="18"/>
                <w:szCs w:val="18"/>
                <w:vertAlign w:val="superscript"/>
              </w:rPr>
              <w:t>d</w:t>
            </w:r>
            <w:proofErr w:type="spellEnd"/>
          </w:p>
        </w:tc>
      </w:tr>
      <w:tr w:rsidR="0040205D" w:rsidRPr="00635562" w14:paraId="431D28CA" w14:textId="77777777" w:rsidTr="00A96C07">
        <w:trPr>
          <w:trHeight w:val="312"/>
          <w:jc w:val="center"/>
        </w:trPr>
        <w:tc>
          <w:tcPr>
            <w:tcW w:w="1417" w:type="dxa"/>
            <w:vMerge w:val="restart"/>
            <w:tcBorders>
              <w:top w:val="nil"/>
              <w:left w:val="single" w:sz="12" w:space="0" w:color="auto"/>
              <w:bottom w:val="single" w:sz="8" w:space="0" w:color="000000"/>
              <w:right w:val="single" w:sz="4" w:space="0" w:color="auto"/>
            </w:tcBorders>
            <w:shd w:val="clear" w:color="auto" w:fill="auto"/>
            <w:vAlign w:val="center"/>
            <w:hideMark/>
          </w:tcPr>
          <w:p w14:paraId="4CB44461" w14:textId="77777777" w:rsidR="0040205D" w:rsidRPr="00635562" w:rsidRDefault="0040205D" w:rsidP="00A96C07">
            <w:pPr>
              <w:keepNext/>
              <w:keepLines/>
              <w:rPr>
                <w:sz w:val="18"/>
                <w:szCs w:val="18"/>
              </w:rPr>
            </w:pPr>
            <w:r w:rsidRPr="00635562">
              <w:rPr>
                <w:sz w:val="18"/>
                <w:szCs w:val="18"/>
              </w:rPr>
              <w:t>Cells not transported separately from a battery</w:t>
            </w:r>
          </w:p>
        </w:tc>
        <w:tc>
          <w:tcPr>
            <w:tcW w:w="2693" w:type="dxa"/>
            <w:tcBorders>
              <w:top w:val="nil"/>
              <w:left w:val="nil"/>
              <w:bottom w:val="single" w:sz="4" w:space="0" w:color="auto"/>
              <w:right w:val="single" w:sz="4" w:space="0" w:color="auto"/>
            </w:tcBorders>
            <w:shd w:val="clear" w:color="auto" w:fill="auto"/>
            <w:noWrap/>
            <w:vAlign w:val="bottom"/>
            <w:hideMark/>
          </w:tcPr>
          <w:p w14:paraId="3AB02038" w14:textId="77777777" w:rsidR="0040205D" w:rsidRPr="00635562" w:rsidRDefault="0040205D" w:rsidP="00A96C07">
            <w:pPr>
              <w:keepNext/>
              <w:keepLines/>
              <w:rPr>
                <w:sz w:val="18"/>
                <w:szCs w:val="18"/>
              </w:rPr>
            </w:pPr>
            <w:r w:rsidRPr="00635562">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14:paraId="11D0DC2A" w14:textId="77777777" w:rsidR="0040205D" w:rsidRPr="00635562" w:rsidRDefault="0040205D" w:rsidP="00A96C07">
            <w:pPr>
              <w:keepNext/>
              <w:keepLines/>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149AE63E" w14:textId="77777777" w:rsidR="0040205D" w:rsidRPr="00635562" w:rsidRDefault="0040205D" w:rsidP="00A96C07">
            <w:pPr>
              <w:keepNext/>
              <w:keepLines/>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157F87BB" w14:textId="77777777" w:rsidR="0040205D" w:rsidRPr="00635562" w:rsidRDefault="0040205D" w:rsidP="00A96C07">
            <w:pPr>
              <w:keepNext/>
              <w:keepLines/>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5886D50B" w14:textId="77777777" w:rsidR="0040205D" w:rsidRPr="00635562" w:rsidRDefault="0040205D" w:rsidP="00A96C07">
            <w:pPr>
              <w:keepNext/>
              <w:keepLines/>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47A7E51B" w14:textId="77777777" w:rsidR="0040205D" w:rsidRPr="00635562" w:rsidRDefault="0040205D" w:rsidP="00A96C07">
            <w:pPr>
              <w:keepNext/>
              <w:keepLines/>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0D1C0C" w14:textId="77777777" w:rsidR="0040205D" w:rsidRPr="00635562" w:rsidRDefault="0040205D" w:rsidP="00A96C07">
            <w:pPr>
              <w:keepNext/>
              <w:keepLines/>
              <w:jc w:val="center"/>
              <w:rPr>
                <w:sz w:val="18"/>
                <w:szCs w:val="18"/>
              </w:rPr>
            </w:pPr>
            <w:r w:rsidRPr="00635562">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14:paraId="04F9A6AB" w14:textId="77777777" w:rsidR="0040205D" w:rsidRPr="00635562" w:rsidRDefault="0040205D" w:rsidP="00A96C07">
            <w:pPr>
              <w:keepNext/>
              <w:keepLines/>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787BAB56" w14:textId="77777777" w:rsidR="0040205D" w:rsidRPr="00635562" w:rsidRDefault="0040205D" w:rsidP="00A96C07">
            <w:pPr>
              <w:keepNext/>
              <w:keepLines/>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14:paraId="3B68EB71" w14:textId="77777777" w:rsidR="0040205D" w:rsidRPr="00635562" w:rsidRDefault="0040205D" w:rsidP="00A96C07">
            <w:pPr>
              <w:keepNext/>
              <w:keepLines/>
              <w:rPr>
                <w:sz w:val="18"/>
                <w:szCs w:val="18"/>
              </w:rPr>
            </w:pPr>
            <w:r w:rsidRPr="00635562">
              <w:rPr>
                <w:sz w:val="18"/>
                <w:szCs w:val="18"/>
              </w:rPr>
              <w:t>30</w:t>
            </w:r>
          </w:p>
        </w:tc>
      </w:tr>
      <w:tr w:rsidR="0040205D" w:rsidRPr="00635562" w14:paraId="122E0333" w14:textId="77777777" w:rsidTr="00A96C07">
        <w:trPr>
          <w:trHeight w:val="312"/>
          <w:jc w:val="center"/>
        </w:trPr>
        <w:tc>
          <w:tcPr>
            <w:tcW w:w="1417" w:type="dxa"/>
            <w:vMerge/>
            <w:tcBorders>
              <w:top w:val="nil"/>
              <w:left w:val="single" w:sz="12" w:space="0" w:color="auto"/>
              <w:bottom w:val="single" w:sz="8" w:space="0" w:color="000000"/>
              <w:right w:val="single" w:sz="4" w:space="0" w:color="auto"/>
            </w:tcBorders>
            <w:vAlign w:val="center"/>
          </w:tcPr>
          <w:p w14:paraId="50B2A5F3" w14:textId="77777777" w:rsidR="0040205D" w:rsidRPr="00635562" w:rsidRDefault="0040205D" w:rsidP="00A96C07">
            <w:pPr>
              <w:rPr>
                <w:sz w:val="18"/>
                <w:szCs w:val="18"/>
              </w:rPr>
            </w:pPr>
          </w:p>
        </w:tc>
        <w:tc>
          <w:tcPr>
            <w:tcW w:w="2693" w:type="dxa"/>
            <w:tcBorders>
              <w:top w:val="nil"/>
              <w:left w:val="nil"/>
              <w:bottom w:val="single" w:sz="4" w:space="0" w:color="auto"/>
              <w:right w:val="single" w:sz="4" w:space="0" w:color="auto"/>
            </w:tcBorders>
            <w:shd w:val="clear" w:color="auto" w:fill="auto"/>
            <w:noWrap/>
            <w:vAlign w:val="bottom"/>
          </w:tcPr>
          <w:p w14:paraId="70952993" w14:textId="77777777" w:rsidR="0040205D" w:rsidRPr="00635562" w:rsidRDefault="0040205D" w:rsidP="00A96C07">
            <w:pPr>
              <w:rPr>
                <w:sz w:val="18"/>
                <w:szCs w:val="18"/>
              </w:rPr>
            </w:pPr>
            <w:r w:rsidRPr="00635562">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14:paraId="2568E57D"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14:paraId="4438B444"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14:paraId="4E6875F6"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14:paraId="18822F5E"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14:paraId="555FEA2F"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14:paraId="5BA80063" w14:textId="77777777" w:rsidR="0040205D" w:rsidRPr="00635562" w:rsidRDefault="0040205D" w:rsidP="00A96C07">
            <w:pPr>
              <w:jc w:val="center"/>
              <w:rPr>
                <w:sz w:val="18"/>
                <w:szCs w:val="18"/>
              </w:rPr>
            </w:pPr>
            <w:r w:rsidRPr="00635562">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14:paraId="5723C4B5"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14:paraId="123E3F6E" w14:textId="77777777" w:rsidR="0040205D" w:rsidRPr="00635562" w:rsidRDefault="0040205D" w:rsidP="00A96C07">
            <w:pPr>
              <w:jc w:val="center"/>
              <w:rPr>
                <w:sz w:val="18"/>
                <w:szCs w:val="18"/>
              </w:rPr>
            </w:pPr>
          </w:p>
        </w:tc>
        <w:tc>
          <w:tcPr>
            <w:tcW w:w="639" w:type="dxa"/>
            <w:vMerge/>
            <w:tcBorders>
              <w:top w:val="nil"/>
              <w:left w:val="single" w:sz="4" w:space="0" w:color="auto"/>
              <w:bottom w:val="single" w:sz="8" w:space="0" w:color="000000"/>
              <w:right w:val="single" w:sz="12" w:space="0" w:color="auto"/>
            </w:tcBorders>
            <w:vAlign w:val="center"/>
          </w:tcPr>
          <w:p w14:paraId="7914131C" w14:textId="77777777" w:rsidR="0040205D" w:rsidRPr="00635562" w:rsidRDefault="0040205D" w:rsidP="00A96C07">
            <w:pPr>
              <w:rPr>
                <w:sz w:val="18"/>
                <w:szCs w:val="18"/>
              </w:rPr>
            </w:pPr>
          </w:p>
        </w:tc>
      </w:tr>
      <w:tr w:rsidR="0040205D" w:rsidRPr="00635562" w14:paraId="0921B162" w14:textId="77777777" w:rsidTr="00A96C07">
        <w:trPr>
          <w:trHeight w:val="312"/>
          <w:jc w:val="center"/>
        </w:trPr>
        <w:tc>
          <w:tcPr>
            <w:tcW w:w="1417" w:type="dxa"/>
            <w:vMerge/>
            <w:tcBorders>
              <w:top w:val="nil"/>
              <w:left w:val="single" w:sz="12" w:space="0" w:color="auto"/>
              <w:bottom w:val="single" w:sz="8" w:space="0" w:color="000000"/>
              <w:right w:val="single" w:sz="4" w:space="0" w:color="auto"/>
            </w:tcBorders>
            <w:vAlign w:val="center"/>
            <w:hideMark/>
          </w:tcPr>
          <w:p w14:paraId="0A3D6FE8" w14:textId="77777777" w:rsidR="0040205D" w:rsidRPr="00635562" w:rsidRDefault="0040205D" w:rsidP="00A96C07">
            <w:pPr>
              <w:rPr>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14:paraId="71FAC97B" w14:textId="77777777" w:rsidR="0040205D" w:rsidRPr="00635562" w:rsidRDefault="0040205D" w:rsidP="00A96C07">
            <w:pPr>
              <w:rPr>
                <w:sz w:val="18"/>
                <w:szCs w:val="18"/>
              </w:rPr>
            </w:pPr>
            <w:r w:rsidRPr="00635562">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14:paraId="3D106859"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397FF121"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7C524DCF"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7C8001B2"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55CE0179"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1B69E1"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45B9BE4B"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01C6301F" w14:textId="77777777" w:rsidR="0040205D" w:rsidRPr="00635562" w:rsidRDefault="0040205D" w:rsidP="00A96C07">
            <w:pPr>
              <w:jc w:val="center"/>
              <w:rPr>
                <w:sz w:val="18"/>
                <w:szCs w:val="18"/>
              </w:rPr>
            </w:pPr>
            <w:r w:rsidRPr="00635562">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14:paraId="2B30C5D1" w14:textId="77777777" w:rsidR="0040205D" w:rsidRPr="00635562" w:rsidRDefault="0040205D" w:rsidP="00A96C07">
            <w:pPr>
              <w:rPr>
                <w:sz w:val="18"/>
                <w:szCs w:val="18"/>
              </w:rPr>
            </w:pPr>
          </w:p>
        </w:tc>
      </w:tr>
      <w:tr w:rsidR="0040205D" w:rsidRPr="00635562" w14:paraId="367ADD29" w14:textId="77777777" w:rsidTr="00A96C07">
        <w:trPr>
          <w:trHeight w:val="324"/>
          <w:jc w:val="center"/>
        </w:trPr>
        <w:tc>
          <w:tcPr>
            <w:tcW w:w="1417" w:type="dxa"/>
            <w:vMerge/>
            <w:tcBorders>
              <w:top w:val="nil"/>
              <w:left w:val="single" w:sz="12" w:space="0" w:color="auto"/>
              <w:bottom w:val="single" w:sz="8" w:space="0" w:color="000000"/>
              <w:right w:val="single" w:sz="4" w:space="0" w:color="auto"/>
            </w:tcBorders>
            <w:vAlign w:val="center"/>
            <w:hideMark/>
          </w:tcPr>
          <w:p w14:paraId="6C9EA788" w14:textId="77777777" w:rsidR="0040205D" w:rsidRPr="00635562" w:rsidRDefault="0040205D" w:rsidP="00A96C07">
            <w:pPr>
              <w:rPr>
                <w:sz w:val="18"/>
                <w:szCs w:val="18"/>
              </w:rPr>
            </w:pPr>
          </w:p>
        </w:tc>
        <w:tc>
          <w:tcPr>
            <w:tcW w:w="2693" w:type="dxa"/>
            <w:tcBorders>
              <w:top w:val="nil"/>
              <w:left w:val="nil"/>
              <w:bottom w:val="single" w:sz="8" w:space="0" w:color="auto"/>
              <w:right w:val="single" w:sz="4" w:space="0" w:color="auto"/>
            </w:tcBorders>
            <w:shd w:val="clear" w:color="auto" w:fill="auto"/>
            <w:noWrap/>
            <w:vAlign w:val="bottom"/>
            <w:hideMark/>
          </w:tcPr>
          <w:p w14:paraId="1D8E0FAF" w14:textId="77777777" w:rsidR="0040205D" w:rsidRPr="00635562" w:rsidRDefault="0040205D" w:rsidP="00A96C07">
            <w:pPr>
              <w:rPr>
                <w:sz w:val="18"/>
                <w:szCs w:val="18"/>
              </w:rPr>
            </w:pPr>
            <w:r w:rsidRPr="00635562">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14:paraId="6DFC690A"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14:paraId="075694E1"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14:paraId="1F9A331D" w14:textId="77777777" w:rsidR="0040205D" w:rsidRPr="00635562" w:rsidRDefault="0040205D" w:rsidP="00A96C07">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14:paraId="79A79BED" w14:textId="77777777" w:rsidR="0040205D" w:rsidRPr="00635562" w:rsidRDefault="0040205D" w:rsidP="00A96C07">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14:paraId="2E15BC60" w14:textId="77777777" w:rsidR="0040205D" w:rsidRPr="00635562" w:rsidRDefault="0040205D" w:rsidP="00A96C07">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14:paraId="12E86A4C" w14:textId="77777777" w:rsidR="0040205D" w:rsidRPr="00635562" w:rsidRDefault="0040205D" w:rsidP="00A96C07">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14:paraId="79429AA8" w14:textId="77777777" w:rsidR="0040205D" w:rsidRPr="00635562" w:rsidRDefault="0040205D" w:rsidP="00A96C07">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14:paraId="0B340FF4" w14:textId="77777777" w:rsidR="0040205D" w:rsidRPr="00635562" w:rsidRDefault="0040205D" w:rsidP="00A96C07">
            <w:pPr>
              <w:jc w:val="center"/>
              <w:rPr>
                <w:sz w:val="18"/>
                <w:szCs w:val="18"/>
              </w:rPr>
            </w:pPr>
            <w:r w:rsidRPr="00635562">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14:paraId="6754ACED" w14:textId="77777777" w:rsidR="0040205D" w:rsidRPr="00635562" w:rsidRDefault="0040205D" w:rsidP="00A96C07">
            <w:pPr>
              <w:rPr>
                <w:sz w:val="18"/>
                <w:szCs w:val="18"/>
              </w:rPr>
            </w:pPr>
          </w:p>
        </w:tc>
      </w:tr>
      <w:tr w:rsidR="0040205D" w:rsidRPr="00635562" w14:paraId="453AEDBE" w14:textId="77777777" w:rsidTr="00A96C07">
        <w:trPr>
          <w:trHeight w:val="312"/>
          <w:jc w:val="center"/>
        </w:trPr>
        <w:tc>
          <w:tcPr>
            <w:tcW w:w="1417" w:type="dxa"/>
            <w:vMerge w:val="restart"/>
            <w:tcBorders>
              <w:top w:val="nil"/>
              <w:left w:val="single" w:sz="12" w:space="0" w:color="auto"/>
              <w:bottom w:val="single" w:sz="8" w:space="0" w:color="000000"/>
              <w:right w:val="nil"/>
            </w:tcBorders>
            <w:shd w:val="clear" w:color="auto" w:fill="auto"/>
            <w:noWrap/>
            <w:vAlign w:val="center"/>
            <w:hideMark/>
          </w:tcPr>
          <w:p w14:paraId="2283384D" w14:textId="77777777" w:rsidR="0040205D" w:rsidRPr="00635562" w:rsidRDefault="0040205D" w:rsidP="00A96C07">
            <w:pPr>
              <w:rPr>
                <w:sz w:val="18"/>
                <w:szCs w:val="18"/>
              </w:rPr>
            </w:pPr>
            <w:r w:rsidRPr="00635562">
              <w:rPr>
                <w:sz w:val="18"/>
                <w:szCs w:val="18"/>
              </w:rPr>
              <w:t>Cells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F13A39D" w14:textId="77777777" w:rsidR="0040205D" w:rsidRPr="00635562" w:rsidRDefault="0040205D" w:rsidP="00A96C07">
            <w:pPr>
              <w:rPr>
                <w:sz w:val="18"/>
                <w:szCs w:val="18"/>
              </w:rPr>
            </w:pPr>
            <w:r w:rsidRPr="00635562">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4F787602" w14:textId="77777777" w:rsidR="0040205D" w:rsidRPr="00635562" w:rsidRDefault="0040205D" w:rsidP="00A96C07">
            <w:pPr>
              <w:jc w:val="center"/>
              <w:rPr>
                <w:sz w:val="18"/>
                <w:szCs w:val="18"/>
              </w:rPr>
            </w:pPr>
            <w:r w:rsidRPr="00635562">
              <w:rPr>
                <w:sz w:val="18"/>
                <w:szCs w:val="18"/>
              </w:rPr>
              <w:t>5</w:t>
            </w:r>
          </w:p>
        </w:tc>
        <w:tc>
          <w:tcPr>
            <w:tcW w:w="562" w:type="dxa"/>
            <w:tcBorders>
              <w:top w:val="nil"/>
              <w:left w:val="nil"/>
              <w:bottom w:val="single" w:sz="4" w:space="0" w:color="auto"/>
              <w:right w:val="single" w:sz="4" w:space="0" w:color="auto"/>
            </w:tcBorders>
            <w:shd w:val="clear" w:color="auto" w:fill="auto"/>
            <w:noWrap/>
            <w:vAlign w:val="bottom"/>
            <w:hideMark/>
          </w:tcPr>
          <w:p w14:paraId="5B53F880"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3F71352B"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75119752" w14:textId="77777777" w:rsidR="0040205D" w:rsidRPr="00635562" w:rsidRDefault="0040205D" w:rsidP="00A96C07">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14:paraId="3EE729CA" w14:textId="77777777" w:rsidR="0040205D" w:rsidRPr="00635562" w:rsidRDefault="0040205D" w:rsidP="00A96C07">
            <w:pPr>
              <w:rPr>
                <w:sz w:val="18"/>
                <w:szCs w:val="18"/>
              </w:rPr>
            </w:pPr>
            <w:r w:rsidRPr="00635562">
              <w:rPr>
                <w:sz w:val="18"/>
                <w:szCs w:val="18"/>
              </w:rPr>
              <w:t>40</w:t>
            </w:r>
          </w:p>
        </w:tc>
      </w:tr>
      <w:tr w:rsidR="0040205D" w:rsidRPr="00635562" w14:paraId="0BCCF062" w14:textId="77777777" w:rsidTr="00A96C07">
        <w:trPr>
          <w:trHeight w:val="312"/>
          <w:jc w:val="center"/>
        </w:trPr>
        <w:tc>
          <w:tcPr>
            <w:tcW w:w="1417" w:type="dxa"/>
            <w:vMerge/>
            <w:tcBorders>
              <w:top w:val="nil"/>
              <w:left w:val="single" w:sz="12" w:space="0" w:color="auto"/>
              <w:bottom w:val="single" w:sz="8" w:space="0" w:color="000000"/>
              <w:right w:val="nil"/>
            </w:tcBorders>
            <w:vAlign w:val="center"/>
          </w:tcPr>
          <w:p w14:paraId="00BF772E"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14:paraId="4C4BDB6E" w14:textId="77777777" w:rsidR="0040205D" w:rsidRPr="00635562" w:rsidRDefault="0040205D" w:rsidP="00A96C07">
            <w:pPr>
              <w:rPr>
                <w:sz w:val="18"/>
                <w:szCs w:val="18"/>
              </w:rPr>
            </w:pPr>
            <w:r w:rsidRPr="00635562">
              <w:rPr>
                <w:sz w:val="18"/>
                <w:szCs w:val="18"/>
              </w:rPr>
              <w:t>25th cycle, fully charged state</w:t>
            </w:r>
          </w:p>
        </w:tc>
        <w:tc>
          <w:tcPr>
            <w:tcW w:w="2693" w:type="dxa"/>
            <w:gridSpan w:val="5"/>
            <w:tcBorders>
              <w:top w:val="nil"/>
              <w:left w:val="nil"/>
              <w:bottom w:val="single" w:sz="4" w:space="0" w:color="auto"/>
              <w:right w:val="nil"/>
            </w:tcBorders>
            <w:shd w:val="clear" w:color="auto" w:fill="auto"/>
            <w:noWrap/>
            <w:vAlign w:val="bottom"/>
          </w:tcPr>
          <w:p w14:paraId="152DDBE3" w14:textId="77777777" w:rsidR="0040205D" w:rsidRPr="00635562" w:rsidRDefault="0040205D" w:rsidP="00A96C07">
            <w:pPr>
              <w:jc w:val="center"/>
              <w:rPr>
                <w:sz w:val="18"/>
                <w:szCs w:val="18"/>
              </w:rPr>
            </w:pPr>
            <w:r w:rsidRPr="00635562">
              <w:rPr>
                <w:sz w:val="18"/>
                <w:szCs w:val="18"/>
              </w:rPr>
              <w:t>5</w:t>
            </w:r>
          </w:p>
        </w:tc>
        <w:tc>
          <w:tcPr>
            <w:tcW w:w="562" w:type="dxa"/>
            <w:tcBorders>
              <w:top w:val="nil"/>
              <w:left w:val="single" w:sz="4" w:space="0" w:color="auto"/>
              <w:bottom w:val="single" w:sz="4" w:space="0" w:color="auto"/>
              <w:right w:val="single" w:sz="4" w:space="0" w:color="auto"/>
            </w:tcBorders>
            <w:shd w:val="clear" w:color="auto" w:fill="auto"/>
            <w:noWrap/>
            <w:vAlign w:val="bottom"/>
          </w:tcPr>
          <w:p w14:paraId="1B595900"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tcPr>
          <w:p w14:paraId="4DB81E0E"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14:paraId="2B65DCBF"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tcPr>
          <w:p w14:paraId="7DD2672C" w14:textId="77777777" w:rsidR="0040205D" w:rsidRPr="00635562" w:rsidRDefault="0040205D" w:rsidP="00A96C07">
            <w:pPr>
              <w:rPr>
                <w:sz w:val="18"/>
                <w:szCs w:val="18"/>
              </w:rPr>
            </w:pPr>
          </w:p>
        </w:tc>
      </w:tr>
      <w:tr w:rsidR="0040205D" w:rsidRPr="00635562" w14:paraId="246414F8" w14:textId="77777777" w:rsidTr="00A96C07">
        <w:trPr>
          <w:trHeight w:val="312"/>
          <w:jc w:val="center"/>
        </w:trPr>
        <w:tc>
          <w:tcPr>
            <w:tcW w:w="1417" w:type="dxa"/>
            <w:vMerge/>
            <w:tcBorders>
              <w:top w:val="nil"/>
              <w:left w:val="single" w:sz="12" w:space="0" w:color="auto"/>
              <w:bottom w:val="single" w:sz="8" w:space="0" w:color="000000"/>
              <w:right w:val="nil"/>
            </w:tcBorders>
            <w:vAlign w:val="center"/>
            <w:hideMark/>
          </w:tcPr>
          <w:p w14:paraId="502E9A92"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6ECAB02" w14:textId="77777777" w:rsidR="0040205D" w:rsidRPr="00635562" w:rsidRDefault="0040205D" w:rsidP="00A96C07">
            <w:pPr>
              <w:rPr>
                <w:sz w:val="18"/>
                <w:szCs w:val="18"/>
              </w:rPr>
            </w:pPr>
            <w:r w:rsidRPr="00635562">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14:paraId="606928A4"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3D490F45"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36DB8EED"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2006F12B"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455EB4A5"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44F65B" w14:textId="77777777" w:rsidR="0040205D" w:rsidRPr="00635562" w:rsidRDefault="0040205D" w:rsidP="00A96C07">
            <w:pPr>
              <w:jc w:val="center"/>
              <w:rPr>
                <w:sz w:val="18"/>
                <w:szCs w:val="18"/>
              </w:rPr>
            </w:pPr>
            <w:r w:rsidRPr="00635562">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14:paraId="39ABE7C9"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12E7E4FC"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14:paraId="65485EA7" w14:textId="77777777" w:rsidR="0040205D" w:rsidRPr="00635562" w:rsidRDefault="0040205D" w:rsidP="00A96C07">
            <w:pPr>
              <w:rPr>
                <w:sz w:val="18"/>
                <w:szCs w:val="18"/>
              </w:rPr>
            </w:pPr>
          </w:p>
        </w:tc>
      </w:tr>
      <w:tr w:rsidR="0040205D" w:rsidRPr="00635562" w14:paraId="018C5C42" w14:textId="77777777" w:rsidTr="00A96C07">
        <w:trPr>
          <w:trHeight w:val="312"/>
          <w:jc w:val="center"/>
        </w:trPr>
        <w:tc>
          <w:tcPr>
            <w:tcW w:w="1417" w:type="dxa"/>
            <w:vMerge/>
            <w:tcBorders>
              <w:top w:val="nil"/>
              <w:left w:val="single" w:sz="12" w:space="0" w:color="auto"/>
              <w:bottom w:val="single" w:sz="8" w:space="0" w:color="000000"/>
              <w:right w:val="nil"/>
            </w:tcBorders>
            <w:vAlign w:val="center"/>
          </w:tcPr>
          <w:p w14:paraId="2E8541F1"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14:paraId="493F77D8" w14:textId="77777777" w:rsidR="0040205D" w:rsidRPr="00635562" w:rsidRDefault="0040205D" w:rsidP="00A96C07">
            <w:pPr>
              <w:rPr>
                <w:sz w:val="18"/>
                <w:szCs w:val="18"/>
              </w:rPr>
            </w:pPr>
            <w:r w:rsidRPr="00635562">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14:paraId="22E56346"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14:paraId="551E4B0C"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14:paraId="0631E44E"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14:paraId="431028C0"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14:paraId="5DF8323A"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14:paraId="15ABCB2A" w14:textId="77777777" w:rsidR="0040205D" w:rsidRPr="00635562" w:rsidRDefault="0040205D" w:rsidP="00A96C07">
            <w:pPr>
              <w:jc w:val="center"/>
              <w:rPr>
                <w:sz w:val="18"/>
                <w:szCs w:val="18"/>
              </w:rPr>
            </w:pPr>
            <w:r w:rsidRPr="00635562">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14:paraId="7A9DD9E7"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14:paraId="14BD7658"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tcPr>
          <w:p w14:paraId="4371D886" w14:textId="77777777" w:rsidR="0040205D" w:rsidRPr="00635562" w:rsidRDefault="0040205D" w:rsidP="00A96C07">
            <w:pPr>
              <w:rPr>
                <w:sz w:val="18"/>
                <w:szCs w:val="18"/>
              </w:rPr>
            </w:pPr>
          </w:p>
        </w:tc>
      </w:tr>
      <w:tr w:rsidR="0040205D" w:rsidRPr="00635562" w14:paraId="62719765" w14:textId="77777777" w:rsidTr="00A96C07">
        <w:trPr>
          <w:trHeight w:val="312"/>
          <w:jc w:val="center"/>
        </w:trPr>
        <w:tc>
          <w:tcPr>
            <w:tcW w:w="1417" w:type="dxa"/>
            <w:vMerge/>
            <w:tcBorders>
              <w:top w:val="nil"/>
              <w:left w:val="single" w:sz="12" w:space="0" w:color="auto"/>
              <w:bottom w:val="single" w:sz="8" w:space="0" w:color="000000"/>
              <w:right w:val="nil"/>
            </w:tcBorders>
            <w:vAlign w:val="center"/>
            <w:hideMark/>
          </w:tcPr>
          <w:p w14:paraId="00BBFFB6"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74D9148" w14:textId="77777777" w:rsidR="0040205D" w:rsidRPr="00635562" w:rsidRDefault="0040205D" w:rsidP="00A96C07">
            <w:pPr>
              <w:rPr>
                <w:sz w:val="18"/>
                <w:szCs w:val="18"/>
              </w:rPr>
            </w:pPr>
            <w:r w:rsidRPr="00635562">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14:paraId="05CB43EC"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61F967E9"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381431CF"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79C795B5"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78C733D7"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1CBF50"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22E40B73"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2197F4C6" w14:textId="77777777" w:rsidR="0040205D" w:rsidRPr="00635562" w:rsidRDefault="0040205D" w:rsidP="00A96C07">
            <w:pPr>
              <w:jc w:val="center"/>
              <w:rPr>
                <w:sz w:val="18"/>
                <w:szCs w:val="18"/>
              </w:rPr>
            </w:pPr>
            <w:r w:rsidRPr="00635562">
              <w:rPr>
                <w:sz w:val="18"/>
                <w:szCs w:val="18"/>
              </w:rPr>
              <w:t>10</w:t>
            </w:r>
          </w:p>
        </w:tc>
        <w:tc>
          <w:tcPr>
            <w:tcW w:w="639" w:type="dxa"/>
            <w:vMerge/>
            <w:tcBorders>
              <w:top w:val="nil"/>
              <w:left w:val="nil"/>
              <w:bottom w:val="single" w:sz="8" w:space="0" w:color="000000"/>
              <w:right w:val="single" w:sz="12" w:space="0" w:color="auto"/>
            </w:tcBorders>
            <w:vAlign w:val="center"/>
            <w:hideMark/>
          </w:tcPr>
          <w:p w14:paraId="5D961A08" w14:textId="77777777" w:rsidR="0040205D" w:rsidRPr="00635562" w:rsidRDefault="0040205D" w:rsidP="00A96C07">
            <w:pPr>
              <w:rPr>
                <w:sz w:val="18"/>
                <w:szCs w:val="18"/>
              </w:rPr>
            </w:pPr>
          </w:p>
        </w:tc>
      </w:tr>
      <w:tr w:rsidR="0040205D" w:rsidRPr="00635562" w14:paraId="137168A5" w14:textId="77777777" w:rsidTr="00A96C07">
        <w:trPr>
          <w:trHeight w:val="324"/>
          <w:jc w:val="center"/>
        </w:trPr>
        <w:tc>
          <w:tcPr>
            <w:tcW w:w="1417" w:type="dxa"/>
            <w:vMerge/>
            <w:tcBorders>
              <w:top w:val="nil"/>
              <w:left w:val="single" w:sz="12" w:space="0" w:color="auto"/>
              <w:bottom w:val="single" w:sz="8" w:space="0" w:color="000000"/>
              <w:right w:val="nil"/>
            </w:tcBorders>
            <w:vAlign w:val="center"/>
            <w:hideMark/>
          </w:tcPr>
          <w:p w14:paraId="3AC9EC83" w14:textId="77777777" w:rsidR="0040205D" w:rsidRPr="00635562" w:rsidRDefault="0040205D" w:rsidP="00A96C07">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14:paraId="6F8329DD" w14:textId="77777777" w:rsidR="0040205D" w:rsidRPr="00635562" w:rsidRDefault="0040205D" w:rsidP="00A96C07">
            <w:pPr>
              <w:rPr>
                <w:sz w:val="18"/>
                <w:szCs w:val="18"/>
              </w:rPr>
            </w:pPr>
            <w:r w:rsidRPr="00635562">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14:paraId="15EA000B"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14:paraId="4D106A1B"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14:paraId="09C36BEC" w14:textId="77777777" w:rsidR="0040205D" w:rsidRPr="00635562" w:rsidRDefault="0040205D" w:rsidP="00A96C07">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14:paraId="290FF59B" w14:textId="77777777" w:rsidR="0040205D" w:rsidRPr="00635562" w:rsidRDefault="0040205D" w:rsidP="00A96C07">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14:paraId="644E0FFA" w14:textId="77777777" w:rsidR="0040205D" w:rsidRPr="00635562" w:rsidRDefault="0040205D" w:rsidP="00A96C07">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14:paraId="21C7CD67" w14:textId="77777777" w:rsidR="0040205D" w:rsidRPr="00635562" w:rsidRDefault="0040205D" w:rsidP="00A96C07">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14:paraId="091FAB42" w14:textId="77777777" w:rsidR="0040205D" w:rsidRPr="00635562" w:rsidRDefault="0040205D" w:rsidP="00A96C07">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14:paraId="1EF9B75B" w14:textId="77777777" w:rsidR="0040205D" w:rsidRPr="00635562" w:rsidRDefault="0040205D" w:rsidP="00A96C07">
            <w:pPr>
              <w:jc w:val="center"/>
              <w:rPr>
                <w:sz w:val="18"/>
                <w:szCs w:val="18"/>
              </w:rPr>
            </w:pPr>
            <w:r w:rsidRPr="00635562">
              <w:rPr>
                <w:sz w:val="18"/>
                <w:szCs w:val="18"/>
              </w:rPr>
              <w:t>10</w:t>
            </w:r>
          </w:p>
        </w:tc>
        <w:tc>
          <w:tcPr>
            <w:tcW w:w="639" w:type="dxa"/>
            <w:vMerge/>
            <w:tcBorders>
              <w:top w:val="nil"/>
              <w:left w:val="nil"/>
              <w:bottom w:val="single" w:sz="8" w:space="0" w:color="000000"/>
              <w:right w:val="single" w:sz="12" w:space="0" w:color="auto"/>
            </w:tcBorders>
            <w:vAlign w:val="center"/>
            <w:hideMark/>
          </w:tcPr>
          <w:p w14:paraId="6CFBD042" w14:textId="77777777" w:rsidR="0040205D" w:rsidRPr="00635562" w:rsidRDefault="0040205D" w:rsidP="00A96C07">
            <w:pPr>
              <w:rPr>
                <w:sz w:val="18"/>
                <w:szCs w:val="18"/>
              </w:rPr>
            </w:pPr>
          </w:p>
        </w:tc>
      </w:tr>
      <w:tr w:rsidR="0040205D" w:rsidRPr="00635562" w14:paraId="33621074" w14:textId="77777777" w:rsidTr="00A96C07">
        <w:trPr>
          <w:trHeight w:val="312"/>
          <w:jc w:val="center"/>
        </w:trPr>
        <w:tc>
          <w:tcPr>
            <w:tcW w:w="1417" w:type="dxa"/>
            <w:vMerge w:val="restart"/>
            <w:tcBorders>
              <w:top w:val="nil"/>
              <w:left w:val="single" w:sz="12" w:space="0" w:color="auto"/>
              <w:bottom w:val="single" w:sz="8" w:space="0" w:color="000000"/>
              <w:right w:val="nil"/>
            </w:tcBorders>
            <w:shd w:val="clear" w:color="auto" w:fill="auto"/>
            <w:noWrap/>
            <w:vAlign w:val="center"/>
            <w:hideMark/>
          </w:tcPr>
          <w:p w14:paraId="00C82E61" w14:textId="77777777" w:rsidR="0040205D" w:rsidRPr="00635562" w:rsidRDefault="0040205D" w:rsidP="00A96C07">
            <w:pPr>
              <w:rPr>
                <w:sz w:val="18"/>
                <w:szCs w:val="18"/>
              </w:rPr>
            </w:pPr>
            <w:r w:rsidRPr="00635562">
              <w:rPr>
                <w:sz w:val="18"/>
                <w:szCs w:val="18"/>
              </w:rPr>
              <w:t xml:space="preserve">Single cell </w:t>
            </w:r>
            <w:proofErr w:type="spellStart"/>
            <w:r w:rsidRPr="00635562">
              <w:rPr>
                <w:sz w:val="18"/>
                <w:szCs w:val="18"/>
              </w:rPr>
              <w:t>batteries</w:t>
            </w:r>
            <w:r w:rsidRPr="00635562">
              <w:rPr>
                <w:sz w:val="18"/>
                <w:szCs w:val="18"/>
                <w:vertAlign w:val="superscript"/>
              </w:rPr>
              <w:t>b</w:t>
            </w:r>
            <w:proofErr w:type="spellEnd"/>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AA7E7B4" w14:textId="77777777" w:rsidR="0040205D" w:rsidRPr="00635562" w:rsidRDefault="0040205D" w:rsidP="00A96C07">
            <w:pPr>
              <w:rPr>
                <w:sz w:val="18"/>
                <w:szCs w:val="18"/>
              </w:rPr>
            </w:pPr>
            <w:r w:rsidRPr="00635562">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36709B2A" w14:textId="77777777" w:rsidR="0040205D" w:rsidRPr="00635562" w:rsidRDefault="0040205D" w:rsidP="00A96C07">
            <w:pPr>
              <w:jc w:val="center"/>
              <w:rPr>
                <w:sz w:val="18"/>
                <w:szCs w:val="18"/>
              </w:rPr>
            </w:pPr>
            <w:r w:rsidRPr="00635562">
              <w:rPr>
                <w:sz w:val="18"/>
                <w:szCs w:val="18"/>
              </w:rPr>
              <w:t>5</w:t>
            </w:r>
          </w:p>
        </w:tc>
        <w:tc>
          <w:tcPr>
            <w:tcW w:w="562" w:type="dxa"/>
            <w:tcBorders>
              <w:top w:val="nil"/>
              <w:left w:val="nil"/>
              <w:bottom w:val="single" w:sz="4" w:space="0" w:color="auto"/>
              <w:right w:val="single" w:sz="4" w:space="0" w:color="auto"/>
            </w:tcBorders>
            <w:shd w:val="clear" w:color="auto" w:fill="auto"/>
            <w:noWrap/>
            <w:vAlign w:val="bottom"/>
            <w:hideMark/>
          </w:tcPr>
          <w:p w14:paraId="18FD7722"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4ED01F7A" w14:textId="77777777" w:rsidR="0040205D" w:rsidRPr="00635562" w:rsidRDefault="0040205D" w:rsidP="00A96C07">
            <w:pPr>
              <w:jc w:val="center"/>
              <w:rPr>
                <w:sz w:val="18"/>
                <w:szCs w:val="18"/>
              </w:rPr>
            </w:pPr>
            <w:r w:rsidRPr="00635562">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14:paraId="21547A24" w14:textId="77777777" w:rsidR="0040205D" w:rsidRPr="00635562" w:rsidRDefault="0040205D" w:rsidP="00A96C07">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14:paraId="40DE835B" w14:textId="77777777" w:rsidR="0040205D" w:rsidRPr="00635562" w:rsidRDefault="0040205D" w:rsidP="00A96C07">
            <w:pPr>
              <w:rPr>
                <w:sz w:val="18"/>
                <w:szCs w:val="18"/>
              </w:rPr>
            </w:pPr>
            <w:r w:rsidRPr="00635562">
              <w:rPr>
                <w:sz w:val="18"/>
                <w:szCs w:val="18"/>
              </w:rPr>
              <w:t>48</w:t>
            </w:r>
          </w:p>
        </w:tc>
      </w:tr>
      <w:tr w:rsidR="0040205D" w:rsidRPr="00635562" w14:paraId="63C80D5F" w14:textId="77777777" w:rsidTr="00A96C07">
        <w:trPr>
          <w:trHeight w:val="312"/>
          <w:jc w:val="center"/>
        </w:trPr>
        <w:tc>
          <w:tcPr>
            <w:tcW w:w="1417" w:type="dxa"/>
            <w:vMerge/>
            <w:tcBorders>
              <w:top w:val="nil"/>
              <w:left w:val="single" w:sz="12" w:space="0" w:color="auto"/>
              <w:bottom w:val="single" w:sz="8" w:space="0" w:color="000000"/>
              <w:right w:val="nil"/>
            </w:tcBorders>
            <w:vAlign w:val="center"/>
          </w:tcPr>
          <w:p w14:paraId="541DF62D"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14:paraId="1C79F37E" w14:textId="77777777" w:rsidR="0040205D" w:rsidRPr="00635562" w:rsidRDefault="0040205D" w:rsidP="00A96C07">
            <w:pPr>
              <w:rPr>
                <w:sz w:val="18"/>
                <w:szCs w:val="18"/>
              </w:rPr>
            </w:pPr>
            <w:r w:rsidRPr="00635562">
              <w:rPr>
                <w:sz w:val="18"/>
                <w:szCs w:val="18"/>
              </w:rPr>
              <w:t>25th cycle, fully charged state</w:t>
            </w:r>
          </w:p>
        </w:tc>
        <w:tc>
          <w:tcPr>
            <w:tcW w:w="2693" w:type="dxa"/>
            <w:gridSpan w:val="5"/>
            <w:tcBorders>
              <w:top w:val="nil"/>
              <w:left w:val="nil"/>
              <w:bottom w:val="single" w:sz="4" w:space="0" w:color="auto"/>
              <w:right w:val="nil"/>
            </w:tcBorders>
            <w:shd w:val="clear" w:color="auto" w:fill="auto"/>
            <w:noWrap/>
            <w:vAlign w:val="bottom"/>
          </w:tcPr>
          <w:p w14:paraId="0D7EE5C5" w14:textId="77777777" w:rsidR="0040205D" w:rsidRPr="00635562" w:rsidRDefault="0040205D" w:rsidP="00A96C07">
            <w:pPr>
              <w:jc w:val="center"/>
              <w:rPr>
                <w:sz w:val="18"/>
                <w:szCs w:val="18"/>
              </w:rPr>
            </w:pPr>
            <w:r w:rsidRPr="00635562">
              <w:rPr>
                <w:sz w:val="18"/>
                <w:szCs w:val="18"/>
              </w:rPr>
              <w:t>5</w:t>
            </w:r>
          </w:p>
        </w:tc>
        <w:tc>
          <w:tcPr>
            <w:tcW w:w="562" w:type="dxa"/>
            <w:tcBorders>
              <w:top w:val="nil"/>
              <w:left w:val="single" w:sz="4" w:space="0" w:color="auto"/>
              <w:bottom w:val="single" w:sz="4" w:space="0" w:color="auto"/>
              <w:right w:val="single" w:sz="4" w:space="0" w:color="auto"/>
            </w:tcBorders>
            <w:shd w:val="clear" w:color="auto" w:fill="auto"/>
            <w:noWrap/>
            <w:vAlign w:val="bottom"/>
          </w:tcPr>
          <w:p w14:paraId="5841647F"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tcPr>
          <w:p w14:paraId="5FB9433D"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14:paraId="6155529A"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tcPr>
          <w:p w14:paraId="214EB6D0" w14:textId="77777777" w:rsidR="0040205D" w:rsidRPr="00635562" w:rsidRDefault="0040205D" w:rsidP="00A96C07">
            <w:pPr>
              <w:rPr>
                <w:sz w:val="18"/>
                <w:szCs w:val="18"/>
              </w:rPr>
            </w:pPr>
          </w:p>
        </w:tc>
      </w:tr>
      <w:tr w:rsidR="0040205D" w:rsidRPr="00635562" w14:paraId="7644ACDB" w14:textId="77777777" w:rsidTr="00A96C07">
        <w:trPr>
          <w:trHeight w:val="312"/>
          <w:jc w:val="center"/>
        </w:trPr>
        <w:tc>
          <w:tcPr>
            <w:tcW w:w="1417" w:type="dxa"/>
            <w:vMerge/>
            <w:tcBorders>
              <w:top w:val="nil"/>
              <w:left w:val="single" w:sz="12" w:space="0" w:color="auto"/>
              <w:bottom w:val="single" w:sz="8" w:space="0" w:color="000000"/>
              <w:right w:val="nil"/>
            </w:tcBorders>
            <w:vAlign w:val="center"/>
            <w:hideMark/>
          </w:tcPr>
          <w:p w14:paraId="0CB5DE1D"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816C7E4" w14:textId="77777777" w:rsidR="0040205D" w:rsidRPr="00635562" w:rsidRDefault="0040205D" w:rsidP="00A96C07">
            <w:pPr>
              <w:rPr>
                <w:sz w:val="18"/>
                <w:szCs w:val="18"/>
              </w:rPr>
            </w:pPr>
            <w:r w:rsidRPr="00635562">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14:paraId="5CFF48FF"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48A0504D"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493588DE"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25D07FE5"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4AC74676"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E707A4" w14:textId="77777777" w:rsidR="0040205D" w:rsidRPr="00635562" w:rsidRDefault="0040205D" w:rsidP="00A96C07">
            <w:pPr>
              <w:jc w:val="center"/>
              <w:rPr>
                <w:sz w:val="18"/>
                <w:szCs w:val="18"/>
              </w:rPr>
            </w:pPr>
            <w:r w:rsidRPr="00635562">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14:paraId="0F1CF234"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64845D46"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14:paraId="44FB42F6" w14:textId="77777777" w:rsidR="0040205D" w:rsidRPr="00635562" w:rsidRDefault="0040205D" w:rsidP="00A96C07">
            <w:pPr>
              <w:rPr>
                <w:sz w:val="18"/>
                <w:szCs w:val="18"/>
              </w:rPr>
            </w:pPr>
          </w:p>
        </w:tc>
      </w:tr>
      <w:tr w:rsidR="0040205D" w:rsidRPr="00635562" w14:paraId="5C354233" w14:textId="77777777" w:rsidTr="00A96C07">
        <w:trPr>
          <w:trHeight w:val="312"/>
          <w:jc w:val="center"/>
        </w:trPr>
        <w:tc>
          <w:tcPr>
            <w:tcW w:w="1417" w:type="dxa"/>
            <w:vMerge/>
            <w:tcBorders>
              <w:top w:val="nil"/>
              <w:left w:val="single" w:sz="12" w:space="0" w:color="auto"/>
              <w:bottom w:val="single" w:sz="8" w:space="0" w:color="000000"/>
              <w:right w:val="nil"/>
            </w:tcBorders>
            <w:vAlign w:val="center"/>
          </w:tcPr>
          <w:p w14:paraId="43A8576D"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14:paraId="2C2ED2D5" w14:textId="77777777" w:rsidR="0040205D" w:rsidRPr="00635562" w:rsidRDefault="0040205D" w:rsidP="00A96C07">
            <w:pPr>
              <w:rPr>
                <w:sz w:val="18"/>
                <w:szCs w:val="18"/>
              </w:rPr>
            </w:pPr>
            <w:r w:rsidRPr="00635562">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14:paraId="1B5AEDE1"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14:paraId="0A648292"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14:paraId="4CF1C67F"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14:paraId="7258DD76"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14:paraId="5634E436"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14:paraId="4623DEA2" w14:textId="77777777" w:rsidR="0040205D" w:rsidRPr="00635562" w:rsidRDefault="0040205D" w:rsidP="00A96C07">
            <w:pPr>
              <w:jc w:val="center"/>
              <w:rPr>
                <w:sz w:val="18"/>
                <w:szCs w:val="18"/>
              </w:rPr>
            </w:pPr>
            <w:r w:rsidRPr="00635562">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14:paraId="6920BFB8"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14:paraId="2867F200"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tcPr>
          <w:p w14:paraId="36BBC304" w14:textId="77777777" w:rsidR="0040205D" w:rsidRPr="00635562" w:rsidRDefault="0040205D" w:rsidP="00A96C07">
            <w:pPr>
              <w:rPr>
                <w:sz w:val="18"/>
                <w:szCs w:val="18"/>
              </w:rPr>
            </w:pPr>
          </w:p>
        </w:tc>
      </w:tr>
      <w:tr w:rsidR="0040205D" w:rsidRPr="00635562" w14:paraId="5F2EE2EC" w14:textId="77777777" w:rsidTr="00A96C07">
        <w:trPr>
          <w:trHeight w:val="312"/>
          <w:jc w:val="center"/>
        </w:trPr>
        <w:tc>
          <w:tcPr>
            <w:tcW w:w="1417" w:type="dxa"/>
            <w:vMerge/>
            <w:tcBorders>
              <w:top w:val="nil"/>
              <w:left w:val="single" w:sz="12" w:space="0" w:color="auto"/>
              <w:bottom w:val="single" w:sz="8" w:space="0" w:color="000000"/>
              <w:right w:val="nil"/>
            </w:tcBorders>
            <w:vAlign w:val="center"/>
            <w:hideMark/>
          </w:tcPr>
          <w:p w14:paraId="02397EE4"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2C59491" w14:textId="77777777" w:rsidR="0040205D" w:rsidRPr="00635562" w:rsidRDefault="0040205D" w:rsidP="00A96C07">
            <w:pPr>
              <w:rPr>
                <w:sz w:val="18"/>
                <w:szCs w:val="18"/>
              </w:rPr>
            </w:pPr>
            <w:r w:rsidRPr="00635562">
              <w:rPr>
                <w:sz w:val="18"/>
                <w:szCs w:val="18"/>
              </w:rPr>
              <w:t>25th cycle, fully charged state</w:t>
            </w:r>
          </w:p>
        </w:tc>
        <w:tc>
          <w:tcPr>
            <w:tcW w:w="567" w:type="dxa"/>
            <w:tcBorders>
              <w:top w:val="nil"/>
              <w:left w:val="nil"/>
              <w:bottom w:val="single" w:sz="4" w:space="0" w:color="auto"/>
              <w:right w:val="nil"/>
            </w:tcBorders>
            <w:shd w:val="clear" w:color="auto" w:fill="auto"/>
            <w:noWrap/>
            <w:vAlign w:val="bottom"/>
            <w:hideMark/>
          </w:tcPr>
          <w:p w14:paraId="20E1712C"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03BF5E29"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5F8BEEB5"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16518F37"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51EFF550"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A2F113"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6F075F22" w14:textId="77777777" w:rsidR="0040205D" w:rsidRPr="00635562" w:rsidRDefault="0040205D" w:rsidP="00A96C07">
            <w:pPr>
              <w:jc w:val="center"/>
              <w:rPr>
                <w:sz w:val="18"/>
                <w:szCs w:val="18"/>
              </w:rPr>
            </w:pPr>
            <w:r w:rsidRPr="00635562">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14:paraId="08D997A9"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14:paraId="1E9BEF0F" w14:textId="77777777" w:rsidR="0040205D" w:rsidRPr="00635562" w:rsidRDefault="0040205D" w:rsidP="00A96C07">
            <w:pPr>
              <w:rPr>
                <w:sz w:val="18"/>
                <w:szCs w:val="18"/>
              </w:rPr>
            </w:pPr>
          </w:p>
        </w:tc>
      </w:tr>
      <w:tr w:rsidR="0040205D" w:rsidRPr="00635562" w14:paraId="4A4B0D95" w14:textId="77777777" w:rsidTr="00A96C07">
        <w:trPr>
          <w:trHeight w:val="312"/>
          <w:jc w:val="center"/>
        </w:trPr>
        <w:tc>
          <w:tcPr>
            <w:tcW w:w="1417" w:type="dxa"/>
            <w:vMerge/>
            <w:tcBorders>
              <w:top w:val="nil"/>
              <w:left w:val="single" w:sz="12" w:space="0" w:color="auto"/>
              <w:bottom w:val="single" w:sz="8" w:space="0" w:color="000000"/>
              <w:right w:val="nil"/>
            </w:tcBorders>
            <w:vAlign w:val="center"/>
            <w:hideMark/>
          </w:tcPr>
          <w:p w14:paraId="24C454B9" w14:textId="77777777" w:rsidR="0040205D" w:rsidRPr="00635562" w:rsidRDefault="0040205D" w:rsidP="00A96C07">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AF300A5" w14:textId="77777777" w:rsidR="0040205D" w:rsidRPr="00635562" w:rsidRDefault="0040205D" w:rsidP="00A96C07">
            <w:pPr>
              <w:rPr>
                <w:sz w:val="18"/>
                <w:szCs w:val="18"/>
              </w:rPr>
            </w:pPr>
            <w:r w:rsidRPr="00635562">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14:paraId="776C7FB2"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186BD3FD" w14:textId="77777777" w:rsidR="0040205D" w:rsidRPr="00635562" w:rsidRDefault="0040205D" w:rsidP="00A96C07">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14:paraId="7BB0625B" w14:textId="77777777" w:rsidR="0040205D" w:rsidRPr="00635562" w:rsidRDefault="0040205D" w:rsidP="00A96C07">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14:paraId="38BA27E8" w14:textId="77777777" w:rsidR="0040205D" w:rsidRPr="00635562" w:rsidRDefault="0040205D" w:rsidP="00A96C07">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14:paraId="5899CA05" w14:textId="77777777" w:rsidR="0040205D" w:rsidRPr="00635562" w:rsidRDefault="0040205D" w:rsidP="00A96C07">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E7FA62"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447D4FE7" w14:textId="77777777" w:rsidR="0040205D" w:rsidRPr="00635562" w:rsidRDefault="0040205D" w:rsidP="00A96C07">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14:paraId="166F23A4" w14:textId="77777777" w:rsidR="0040205D" w:rsidRPr="00635562" w:rsidRDefault="0040205D" w:rsidP="00A96C07">
            <w:pPr>
              <w:jc w:val="center"/>
              <w:rPr>
                <w:sz w:val="18"/>
                <w:szCs w:val="18"/>
              </w:rPr>
            </w:pPr>
            <w:r w:rsidRPr="00635562">
              <w:rPr>
                <w:sz w:val="18"/>
                <w:szCs w:val="18"/>
              </w:rPr>
              <w:t>10</w:t>
            </w:r>
          </w:p>
        </w:tc>
        <w:tc>
          <w:tcPr>
            <w:tcW w:w="639" w:type="dxa"/>
            <w:vMerge/>
            <w:tcBorders>
              <w:top w:val="nil"/>
              <w:left w:val="nil"/>
              <w:bottom w:val="single" w:sz="8" w:space="0" w:color="000000"/>
              <w:right w:val="single" w:sz="12" w:space="0" w:color="auto"/>
            </w:tcBorders>
            <w:vAlign w:val="center"/>
            <w:hideMark/>
          </w:tcPr>
          <w:p w14:paraId="40B7126F" w14:textId="77777777" w:rsidR="0040205D" w:rsidRPr="00635562" w:rsidRDefault="0040205D" w:rsidP="00A96C07">
            <w:pPr>
              <w:rPr>
                <w:sz w:val="18"/>
                <w:szCs w:val="18"/>
              </w:rPr>
            </w:pPr>
          </w:p>
        </w:tc>
      </w:tr>
      <w:tr w:rsidR="0040205D" w:rsidRPr="00635562" w14:paraId="575CC229" w14:textId="77777777" w:rsidTr="00A96C07">
        <w:trPr>
          <w:trHeight w:val="324"/>
          <w:jc w:val="center"/>
        </w:trPr>
        <w:tc>
          <w:tcPr>
            <w:tcW w:w="1417" w:type="dxa"/>
            <w:vMerge/>
            <w:tcBorders>
              <w:top w:val="nil"/>
              <w:left w:val="single" w:sz="12" w:space="0" w:color="auto"/>
              <w:bottom w:val="single" w:sz="8" w:space="0" w:color="000000"/>
              <w:right w:val="nil"/>
            </w:tcBorders>
            <w:vAlign w:val="center"/>
            <w:hideMark/>
          </w:tcPr>
          <w:p w14:paraId="3C54DE20" w14:textId="77777777" w:rsidR="0040205D" w:rsidRPr="00635562" w:rsidRDefault="0040205D" w:rsidP="00A96C07">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14:paraId="1EDA5907" w14:textId="77777777" w:rsidR="0040205D" w:rsidRPr="00635562" w:rsidRDefault="0040205D" w:rsidP="00A96C07">
            <w:pPr>
              <w:rPr>
                <w:sz w:val="18"/>
                <w:szCs w:val="18"/>
              </w:rPr>
            </w:pPr>
            <w:r w:rsidRPr="00635562">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14:paraId="39962E7F"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14:paraId="51828684"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14:paraId="176F61A1" w14:textId="77777777" w:rsidR="0040205D" w:rsidRPr="00635562" w:rsidRDefault="0040205D" w:rsidP="00A96C07">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14:paraId="270111A4" w14:textId="77777777" w:rsidR="0040205D" w:rsidRPr="00635562" w:rsidRDefault="0040205D" w:rsidP="00A96C07">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14:paraId="6F0E843C" w14:textId="77777777" w:rsidR="0040205D" w:rsidRPr="00635562" w:rsidRDefault="0040205D" w:rsidP="00A96C07">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14:paraId="1AF3F2D3" w14:textId="77777777" w:rsidR="0040205D" w:rsidRPr="00635562" w:rsidRDefault="0040205D" w:rsidP="00A96C07">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14:paraId="1BB75A67" w14:textId="77777777" w:rsidR="0040205D" w:rsidRPr="00635562" w:rsidRDefault="0040205D" w:rsidP="00A96C07">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14:paraId="6413DB69" w14:textId="77777777" w:rsidR="0040205D" w:rsidRPr="00635562" w:rsidRDefault="0040205D" w:rsidP="00A96C07">
            <w:pPr>
              <w:jc w:val="center"/>
              <w:rPr>
                <w:sz w:val="18"/>
                <w:szCs w:val="18"/>
              </w:rPr>
            </w:pPr>
            <w:r w:rsidRPr="00635562">
              <w:rPr>
                <w:sz w:val="18"/>
                <w:szCs w:val="18"/>
              </w:rPr>
              <w:t>10</w:t>
            </w:r>
          </w:p>
        </w:tc>
        <w:tc>
          <w:tcPr>
            <w:tcW w:w="639" w:type="dxa"/>
            <w:vMerge/>
            <w:tcBorders>
              <w:top w:val="nil"/>
              <w:left w:val="nil"/>
              <w:bottom w:val="single" w:sz="8" w:space="0" w:color="000000"/>
              <w:right w:val="single" w:sz="12" w:space="0" w:color="auto"/>
            </w:tcBorders>
            <w:vAlign w:val="center"/>
            <w:hideMark/>
          </w:tcPr>
          <w:p w14:paraId="68D53B9C" w14:textId="77777777" w:rsidR="0040205D" w:rsidRPr="00635562" w:rsidRDefault="0040205D" w:rsidP="00A96C07">
            <w:pPr>
              <w:rPr>
                <w:sz w:val="18"/>
                <w:szCs w:val="18"/>
              </w:rPr>
            </w:pPr>
          </w:p>
        </w:tc>
      </w:tr>
      <w:tr w:rsidR="0040205D" w:rsidRPr="00635562" w14:paraId="178CA531" w14:textId="77777777" w:rsidTr="00A96C07">
        <w:trPr>
          <w:trHeight w:val="312"/>
          <w:jc w:val="center"/>
        </w:trPr>
        <w:tc>
          <w:tcPr>
            <w:tcW w:w="1417" w:type="dxa"/>
            <w:vMerge w:val="restart"/>
            <w:tcBorders>
              <w:top w:val="nil"/>
              <w:left w:val="single" w:sz="12" w:space="0" w:color="auto"/>
              <w:bottom w:val="single" w:sz="8" w:space="0" w:color="000000"/>
              <w:right w:val="nil"/>
            </w:tcBorders>
            <w:shd w:val="clear" w:color="auto" w:fill="auto"/>
            <w:noWrap/>
            <w:vAlign w:val="center"/>
            <w:hideMark/>
          </w:tcPr>
          <w:p w14:paraId="1C918DB7" w14:textId="77777777" w:rsidR="0040205D" w:rsidRPr="00635562" w:rsidRDefault="0040205D" w:rsidP="00A96C07">
            <w:pPr>
              <w:rPr>
                <w:sz w:val="18"/>
                <w:szCs w:val="18"/>
              </w:rPr>
            </w:pPr>
            <w:r w:rsidRPr="00635562">
              <w:rPr>
                <w:sz w:val="18"/>
                <w:szCs w:val="18"/>
              </w:rPr>
              <w:t>Small batteries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6F671C3" w14:textId="77777777" w:rsidR="0040205D" w:rsidRPr="00635562" w:rsidRDefault="0040205D" w:rsidP="00A96C07">
            <w:pPr>
              <w:rPr>
                <w:sz w:val="18"/>
                <w:szCs w:val="18"/>
              </w:rPr>
            </w:pPr>
            <w:r w:rsidRPr="00635562">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0776F5DF" w14:textId="77777777" w:rsidR="0040205D" w:rsidRPr="00635562" w:rsidRDefault="0040205D" w:rsidP="00A96C07">
            <w:pPr>
              <w:jc w:val="center"/>
              <w:rPr>
                <w:sz w:val="18"/>
                <w:szCs w:val="18"/>
              </w:rPr>
            </w:pPr>
            <w:r w:rsidRPr="00635562">
              <w:rPr>
                <w:sz w:val="18"/>
                <w:szCs w:val="18"/>
              </w:rPr>
              <w:t>4</w:t>
            </w:r>
          </w:p>
        </w:tc>
        <w:tc>
          <w:tcPr>
            <w:tcW w:w="562" w:type="dxa"/>
            <w:tcBorders>
              <w:top w:val="nil"/>
              <w:left w:val="nil"/>
              <w:bottom w:val="single" w:sz="4" w:space="0" w:color="auto"/>
              <w:right w:val="single" w:sz="4" w:space="0" w:color="auto"/>
            </w:tcBorders>
            <w:shd w:val="clear" w:color="auto" w:fill="auto"/>
            <w:noWrap/>
            <w:vAlign w:val="bottom"/>
            <w:hideMark/>
          </w:tcPr>
          <w:p w14:paraId="79C3300B"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50171380" w14:textId="77777777" w:rsidR="0040205D" w:rsidRPr="00635562" w:rsidRDefault="0040205D" w:rsidP="00A96C07">
            <w:pPr>
              <w:jc w:val="center"/>
              <w:rPr>
                <w:sz w:val="18"/>
                <w:szCs w:val="18"/>
              </w:rPr>
            </w:pPr>
            <w:r w:rsidRPr="00635562">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14:paraId="2053F8EF" w14:textId="77777777" w:rsidR="0040205D" w:rsidRPr="00635562" w:rsidRDefault="0040205D" w:rsidP="00A96C07">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14:paraId="50819DB9" w14:textId="77777777" w:rsidR="0040205D" w:rsidRPr="00635562" w:rsidRDefault="0040205D" w:rsidP="00A96C07">
            <w:pPr>
              <w:rPr>
                <w:sz w:val="18"/>
                <w:szCs w:val="18"/>
              </w:rPr>
            </w:pPr>
            <w:r w:rsidRPr="00635562">
              <w:rPr>
                <w:sz w:val="18"/>
                <w:szCs w:val="18"/>
              </w:rPr>
              <w:t>16</w:t>
            </w:r>
          </w:p>
        </w:tc>
      </w:tr>
      <w:tr w:rsidR="0040205D" w:rsidRPr="00635562" w14:paraId="31948B4F" w14:textId="77777777" w:rsidTr="00A96C07">
        <w:trPr>
          <w:trHeight w:val="324"/>
          <w:jc w:val="center"/>
        </w:trPr>
        <w:tc>
          <w:tcPr>
            <w:tcW w:w="1417" w:type="dxa"/>
            <w:vMerge/>
            <w:tcBorders>
              <w:top w:val="nil"/>
              <w:left w:val="single" w:sz="12" w:space="0" w:color="auto"/>
              <w:bottom w:val="single" w:sz="8" w:space="0" w:color="000000"/>
              <w:right w:val="nil"/>
            </w:tcBorders>
            <w:vAlign w:val="center"/>
            <w:hideMark/>
          </w:tcPr>
          <w:p w14:paraId="09A9FA42" w14:textId="77777777" w:rsidR="0040205D" w:rsidRPr="00635562" w:rsidRDefault="0040205D" w:rsidP="00A96C07">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14:paraId="58F264F5" w14:textId="77777777" w:rsidR="0040205D" w:rsidRPr="00635562" w:rsidRDefault="0040205D" w:rsidP="00A96C07">
            <w:pPr>
              <w:rPr>
                <w:sz w:val="18"/>
                <w:szCs w:val="18"/>
              </w:rPr>
            </w:pPr>
            <w:r w:rsidRPr="00635562">
              <w:rPr>
                <w:sz w:val="18"/>
                <w:szCs w:val="18"/>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6617E092" w14:textId="77777777" w:rsidR="0040205D" w:rsidRPr="00635562" w:rsidRDefault="0040205D" w:rsidP="00A96C07">
            <w:pPr>
              <w:jc w:val="center"/>
              <w:rPr>
                <w:sz w:val="18"/>
                <w:szCs w:val="18"/>
              </w:rPr>
            </w:pPr>
            <w:r w:rsidRPr="00635562">
              <w:rPr>
                <w:sz w:val="18"/>
                <w:szCs w:val="18"/>
              </w:rPr>
              <w:t>4</w:t>
            </w:r>
          </w:p>
        </w:tc>
        <w:tc>
          <w:tcPr>
            <w:tcW w:w="562" w:type="dxa"/>
            <w:tcBorders>
              <w:top w:val="nil"/>
              <w:left w:val="nil"/>
              <w:bottom w:val="single" w:sz="8" w:space="0" w:color="auto"/>
              <w:right w:val="single" w:sz="4" w:space="0" w:color="auto"/>
            </w:tcBorders>
            <w:shd w:val="clear" w:color="auto" w:fill="auto"/>
            <w:noWrap/>
            <w:vAlign w:val="bottom"/>
            <w:hideMark/>
          </w:tcPr>
          <w:p w14:paraId="3D0F2B83" w14:textId="77777777" w:rsidR="0040205D" w:rsidRPr="00635562" w:rsidRDefault="0040205D" w:rsidP="00A96C07">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14:paraId="0A051EB4" w14:textId="77777777" w:rsidR="0040205D" w:rsidRPr="00635562" w:rsidRDefault="0040205D" w:rsidP="00A96C07">
            <w:pPr>
              <w:jc w:val="center"/>
              <w:rPr>
                <w:sz w:val="18"/>
                <w:szCs w:val="18"/>
              </w:rPr>
            </w:pPr>
            <w:r w:rsidRPr="00635562">
              <w:rPr>
                <w:sz w:val="18"/>
                <w:szCs w:val="18"/>
              </w:rPr>
              <w:t>4</w:t>
            </w:r>
          </w:p>
        </w:tc>
        <w:tc>
          <w:tcPr>
            <w:tcW w:w="545" w:type="dxa"/>
            <w:tcBorders>
              <w:top w:val="nil"/>
              <w:left w:val="nil"/>
              <w:bottom w:val="single" w:sz="8" w:space="0" w:color="auto"/>
              <w:right w:val="single" w:sz="4" w:space="0" w:color="auto"/>
            </w:tcBorders>
            <w:shd w:val="clear" w:color="auto" w:fill="auto"/>
            <w:noWrap/>
            <w:vAlign w:val="bottom"/>
            <w:hideMark/>
          </w:tcPr>
          <w:p w14:paraId="01779844" w14:textId="77777777" w:rsidR="0040205D" w:rsidRPr="00635562" w:rsidRDefault="0040205D" w:rsidP="00A96C07">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14:paraId="64191702" w14:textId="77777777" w:rsidR="0040205D" w:rsidRPr="00635562" w:rsidRDefault="0040205D" w:rsidP="00A96C07">
            <w:pPr>
              <w:rPr>
                <w:sz w:val="18"/>
                <w:szCs w:val="18"/>
              </w:rPr>
            </w:pPr>
          </w:p>
        </w:tc>
      </w:tr>
      <w:tr w:rsidR="0040205D" w:rsidRPr="00635562" w14:paraId="465503B7" w14:textId="77777777" w:rsidTr="00A96C07">
        <w:trPr>
          <w:trHeight w:val="312"/>
          <w:jc w:val="center"/>
        </w:trPr>
        <w:tc>
          <w:tcPr>
            <w:tcW w:w="1417" w:type="dxa"/>
            <w:vMerge w:val="restart"/>
            <w:tcBorders>
              <w:top w:val="nil"/>
              <w:left w:val="single" w:sz="12" w:space="0" w:color="auto"/>
              <w:bottom w:val="single" w:sz="4" w:space="0" w:color="auto"/>
              <w:right w:val="nil"/>
            </w:tcBorders>
            <w:shd w:val="clear" w:color="auto" w:fill="auto"/>
            <w:noWrap/>
            <w:vAlign w:val="center"/>
            <w:hideMark/>
          </w:tcPr>
          <w:p w14:paraId="2AB12400" w14:textId="77777777" w:rsidR="0040205D" w:rsidRPr="00635562" w:rsidRDefault="0040205D" w:rsidP="00A96C07">
            <w:pPr>
              <w:rPr>
                <w:sz w:val="18"/>
                <w:szCs w:val="18"/>
              </w:rPr>
            </w:pPr>
            <w:r w:rsidRPr="00635562">
              <w:rPr>
                <w:sz w:val="18"/>
                <w:szCs w:val="18"/>
              </w:rPr>
              <w:t>Large batteries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8BEE6B8" w14:textId="77777777" w:rsidR="0040205D" w:rsidRPr="00635562" w:rsidRDefault="0040205D" w:rsidP="00A96C07">
            <w:pPr>
              <w:rPr>
                <w:sz w:val="18"/>
                <w:szCs w:val="18"/>
              </w:rPr>
            </w:pPr>
            <w:r w:rsidRPr="00635562">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7EA60F0F" w14:textId="77777777" w:rsidR="0040205D" w:rsidRPr="00635562" w:rsidRDefault="0040205D" w:rsidP="00A96C07">
            <w:pPr>
              <w:jc w:val="center"/>
              <w:rPr>
                <w:sz w:val="18"/>
                <w:szCs w:val="18"/>
              </w:rPr>
            </w:pPr>
            <w:r w:rsidRPr="00635562">
              <w:rPr>
                <w:sz w:val="18"/>
                <w:szCs w:val="18"/>
              </w:rPr>
              <w:t>2</w:t>
            </w:r>
          </w:p>
        </w:tc>
        <w:tc>
          <w:tcPr>
            <w:tcW w:w="562" w:type="dxa"/>
            <w:tcBorders>
              <w:top w:val="nil"/>
              <w:left w:val="nil"/>
              <w:bottom w:val="single" w:sz="4" w:space="0" w:color="auto"/>
              <w:right w:val="single" w:sz="4" w:space="0" w:color="auto"/>
            </w:tcBorders>
            <w:shd w:val="clear" w:color="auto" w:fill="auto"/>
            <w:noWrap/>
            <w:vAlign w:val="bottom"/>
            <w:hideMark/>
          </w:tcPr>
          <w:p w14:paraId="439CBA12" w14:textId="77777777" w:rsidR="0040205D" w:rsidRPr="00635562" w:rsidRDefault="0040205D" w:rsidP="00A96C07">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14:paraId="6E9B15AF" w14:textId="77777777" w:rsidR="0040205D" w:rsidRPr="00635562" w:rsidRDefault="0040205D" w:rsidP="00A96C07">
            <w:pPr>
              <w:jc w:val="center"/>
              <w:rPr>
                <w:sz w:val="18"/>
                <w:szCs w:val="18"/>
              </w:rPr>
            </w:pPr>
            <w:r w:rsidRPr="00635562">
              <w:rPr>
                <w:sz w:val="18"/>
                <w:szCs w:val="18"/>
              </w:rPr>
              <w:t>2</w:t>
            </w:r>
          </w:p>
        </w:tc>
        <w:tc>
          <w:tcPr>
            <w:tcW w:w="545" w:type="dxa"/>
            <w:tcBorders>
              <w:top w:val="nil"/>
              <w:left w:val="nil"/>
              <w:bottom w:val="single" w:sz="4" w:space="0" w:color="auto"/>
              <w:right w:val="single" w:sz="4" w:space="0" w:color="auto"/>
            </w:tcBorders>
            <w:shd w:val="clear" w:color="auto" w:fill="auto"/>
            <w:noWrap/>
            <w:vAlign w:val="bottom"/>
            <w:hideMark/>
          </w:tcPr>
          <w:p w14:paraId="4E9BCFE9" w14:textId="77777777" w:rsidR="0040205D" w:rsidRPr="00635562" w:rsidRDefault="0040205D" w:rsidP="00A96C07">
            <w:pPr>
              <w:jc w:val="center"/>
              <w:rPr>
                <w:sz w:val="18"/>
                <w:szCs w:val="18"/>
              </w:rPr>
            </w:pPr>
          </w:p>
        </w:tc>
        <w:tc>
          <w:tcPr>
            <w:tcW w:w="639" w:type="dxa"/>
            <w:vMerge w:val="restart"/>
            <w:tcBorders>
              <w:top w:val="nil"/>
              <w:left w:val="nil"/>
              <w:bottom w:val="single" w:sz="4" w:space="0" w:color="auto"/>
              <w:right w:val="single" w:sz="12" w:space="0" w:color="auto"/>
            </w:tcBorders>
            <w:shd w:val="clear" w:color="auto" w:fill="auto"/>
            <w:noWrap/>
            <w:vAlign w:val="center"/>
            <w:hideMark/>
          </w:tcPr>
          <w:p w14:paraId="4A8408DE" w14:textId="77777777" w:rsidR="0040205D" w:rsidRPr="00635562" w:rsidRDefault="0040205D" w:rsidP="00A96C07">
            <w:pPr>
              <w:rPr>
                <w:sz w:val="18"/>
                <w:szCs w:val="18"/>
              </w:rPr>
            </w:pPr>
            <w:r w:rsidRPr="00635562">
              <w:rPr>
                <w:sz w:val="18"/>
                <w:szCs w:val="18"/>
              </w:rPr>
              <w:t>8</w:t>
            </w:r>
          </w:p>
        </w:tc>
      </w:tr>
      <w:tr w:rsidR="0040205D" w:rsidRPr="00635562" w14:paraId="46051A85" w14:textId="77777777" w:rsidTr="00A96C07">
        <w:trPr>
          <w:trHeight w:val="324"/>
          <w:jc w:val="center"/>
        </w:trPr>
        <w:tc>
          <w:tcPr>
            <w:tcW w:w="1417" w:type="dxa"/>
            <w:vMerge/>
            <w:tcBorders>
              <w:top w:val="nil"/>
              <w:left w:val="single" w:sz="12" w:space="0" w:color="auto"/>
              <w:bottom w:val="single" w:sz="4" w:space="0" w:color="auto"/>
              <w:right w:val="nil"/>
            </w:tcBorders>
            <w:vAlign w:val="center"/>
            <w:hideMark/>
          </w:tcPr>
          <w:p w14:paraId="467C5FDE" w14:textId="77777777" w:rsidR="0040205D" w:rsidRPr="00635562" w:rsidRDefault="0040205D" w:rsidP="00A96C07">
            <w:pPr>
              <w:rPr>
                <w:sz w:val="18"/>
                <w:szCs w:val="18"/>
              </w:rPr>
            </w:pPr>
          </w:p>
        </w:tc>
        <w:tc>
          <w:tcPr>
            <w:tcW w:w="2693" w:type="dxa"/>
            <w:tcBorders>
              <w:top w:val="nil"/>
              <w:left w:val="single" w:sz="4" w:space="0" w:color="auto"/>
              <w:bottom w:val="nil"/>
              <w:right w:val="single" w:sz="4" w:space="0" w:color="auto"/>
            </w:tcBorders>
            <w:shd w:val="clear" w:color="auto" w:fill="auto"/>
            <w:noWrap/>
            <w:vAlign w:val="bottom"/>
            <w:hideMark/>
          </w:tcPr>
          <w:p w14:paraId="2C76A011" w14:textId="77777777" w:rsidR="0040205D" w:rsidRPr="00635562" w:rsidRDefault="0040205D" w:rsidP="00A96C07">
            <w:pPr>
              <w:rPr>
                <w:sz w:val="18"/>
                <w:szCs w:val="18"/>
              </w:rPr>
            </w:pPr>
            <w:r w:rsidRPr="00635562">
              <w:rPr>
                <w:sz w:val="18"/>
                <w:szCs w:val="18"/>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5DE76C8A" w14:textId="77777777" w:rsidR="0040205D" w:rsidRPr="00635562" w:rsidRDefault="0040205D" w:rsidP="00A96C07">
            <w:pPr>
              <w:jc w:val="center"/>
              <w:rPr>
                <w:sz w:val="18"/>
                <w:szCs w:val="18"/>
              </w:rPr>
            </w:pPr>
            <w:r w:rsidRPr="00635562">
              <w:rPr>
                <w:sz w:val="18"/>
                <w:szCs w:val="18"/>
              </w:rPr>
              <w:t>2</w:t>
            </w:r>
          </w:p>
        </w:tc>
        <w:tc>
          <w:tcPr>
            <w:tcW w:w="562" w:type="dxa"/>
            <w:tcBorders>
              <w:top w:val="nil"/>
              <w:left w:val="nil"/>
              <w:bottom w:val="nil"/>
              <w:right w:val="single" w:sz="4" w:space="0" w:color="auto"/>
            </w:tcBorders>
            <w:shd w:val="clear" w:color="auto" w:fill="auto"/>
            <w:noWrap/>
            <w:vAlign w:val="bottom"/>
            <w:hideMark/>
          </w:tcPr>
          <w:p w14:paraId="123BC519" w14:textId="77777777" w:rsidR="0040205D" w:rsidRPr="00635562" w:rsidRDefault="0040205D" w:rsidP="00A96C07">
            <w:pPr>
              <w:jc w:val="center"/>
              <w:rPr>
                <w:sz w:val="18"/>
                <w:szCs w:val="18"/>
              </w:rPr>
            </w:pPr>
          </w:p>
        </w:tc>
        <w:tc>
          <w:tcPr>
            <w:tcW w:w="546" w:type="dxa"/>
            <w:tcBorders>
              <w:top w:val="nil"/>
              <w:left w:val="nil"/>
              <w:bottom w:val="nil"/>
              <w:right w:val="single" w:sz="4" w:space="0" w:color="auto"/>
            </w:tcBorders>
            <w:shd w:val="clear" w:color="auto" w:fill="auto"/>
            <w:noWrap/>
            <w:vAlign w:val="bottom"/>
            <w:hideMark/>
          </w:tcPr>
          <w:p w14:paraId="1A051731" w14:textId="77777777" w:rsidR="0040205D" w:rsidRPr="00635562" w:rsidRDefault="0040205D" w:rsidP="00A96C07">
            <w:pPr>
              <w:jc w:val="center"/>
              <w:rPr>
                <w:sz w:val="18"/>
                <w:szCs w:val="18"/>
              </w:rPr>
            </w:pPr>
            <w:r w:rsidRPr="00635562">
              <w:rPr>
                <w:sz w:val="18"/>
                <w:szCs w:val="18"/>
              </w:rPr>
              <w:t>2</w:t>
            </w:r>
          </w:p>
        </w:tc>
        <w:tc>
          <w:tcPr>
            <w:tcW w:w="545" w:type="dxa"/>
            <w:tcBorders>
              <w:top w:val="nil"/>
              <w:left w:val="nil"/>
              <w:bottom w:val="nil"/>
              <w:right w:val="single" w:sz="4" w:space="0" w:color="auto"/>
            </w:tcBorders>
            <w:shd w:val="clear" w:color="auto" w:fill="auto"/>
            <w:noWrap/>
            <w:vAlign w:val="bottom"/>
            <w:hideMark/>
          </w:tcPr>
          <w:p w14:paraId="505774BD" w14:textId="77777777" w:rsidR="0040205D" w:rsidRPr="00635562" w:rsidRDefault="0040205D" w:rsidP="00A96C07">
            <w:pPr>
              <w:jc w:val="center"/>
              <w:rPr>
                <w:sz w:val="18"/>
                <w:szCs w:val="18"/>
              </w:rPr>
            </w:pPr>
          </w:p>
        </w:tc>
        <w:tc>
          <w:tcPr>
            <w:tcW w:w="639" w:type="dxa"/>
            <w:vMerge/>
            <w:tcBorders>
              <w:top w:val="nil"/>
              <w:left w:val="nil"/>
              <w:bottom w:val="single" w:sz="4" w:space="0" w:color="auto"/>
              <w:right w:val="single" w:sz="12" w:space="0" w:color="auto"/>
            </w:tcBorders>
            <w:vAlign w:val="center"/>
            <w:hideMark/>
          </w:tcPr>
          <w:p w14:paraId="46264A81" w14:textId="77777777" w:rsidR="0040205D" w:rsidRPr="00635562" w:rsidRDefault="0040205D" w:rsidP="00A96C07">
            <w:pPr>
              <w:rPr>
                <w:sz w:val="18"/>
                <w:szCs w:val="18"/>
              </w:rPr>
            </w:pPr>
          </w:p>
        </w:tc>
      </w:tr>
      <w:tr w:rsidR="0040205D" w:rsidRPr="00635562" w14:paraId="433E490F" w14:textId="77777777" w:rsidTr="00A96C07">
        <w:trPr>
          <w:trHeight w:val="948"/>
          <w:jc w:val="center"/>
        </w:trPr>
        <w:tc>
          <w:tcPr>
            <w:tcW w:w="1417" w:type="dxa"/>
            <w:tcBorders>
              <w:top w:val="single" w:sz="8" w:space="0" w:color="auto"/>
              <w:left w:val="single" w:sz="12" w:space="0" w:color="auto"/>
              <w:bottom w:val="single" w:sz="8" w:space="0" w:color="auto"/>
              <w:right w:val="nil"/>
            </w:tcBorders>
            <w:shd w:val="clear" w:color="auto" w:fill="auto"/>
            <w:vAlign w:val="center"/>
            <w:hideMark/>
          </w:tcPr>
          <w:p w14:paraId="4CD72A1F" w14:textId="77777777" w:rsidR="0040205D" w:rsidRPr="00635562" w:rsidRDefault="0040205D" w:rsidP="00A96C07">
            <w:pPr>
              <w:rPr>
                <w:sz w:val="18"/>
                <w:szCs w:val="18"/>
              </w:rPr>
            </w:pPr>
            <w:r w:rsidRPr="00635562">
              <w:rPr>
                <w:sz w:val="18"/>
                <w:szCs w:val="18"/>
              </w:rPr>
              <w:t>Batteries assembled</w:t>
            </w:r>
            <w:r w:rsidRPr="00635562">
              <w:rPr>
                <w:sz w:val="18"/>
                <w:szCs w:val="18"/>
              </w:rPr>
              <w:br/>
              <w:t>with tested batteries</w:t>
            </w:r>
            <w:r w:rsidRPr="00635562">
              <w:rPr>
                <w:sz w:val="18"/>
                <w:szCs w:val="18"/>
              </w:rPr>
              <w:br/>
              <w:t xml:space="preserve">≤ 6 200 </w:t>
            </w:r>
            <w:proofErr w:type="spellStart"/>
            <w:r w:rsidRPr="00635562">
              <w:rPr>
                <w:sz w:val="18"/>
                <w:szCs w:val="18"/>
              </w:rPr>
              <w:t>Wh</w:t>
            </w:r>
            <w:proofErr w:type="spellEnd"/>
            <w:r w:rsidRPr="00635562">
              <w:rPr>
                <w:sz w:val="18"/>
                <w:szCs w:val="18"/>
              </w:rPr>
              <w:t xml:space="preserve"> or ≤500g Li</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577BDE0" w14:textId="77777777" w:rsidR="0040205D" w:rsidRPr="00635562" w:rsidRDefault="0040205D" w:rsidP="00A96C07">
            <w:pPr>
              <w:rPr>
                <w:sz w:val="18"/>
                <w:szCs w:val="18"/>
              </w:rPr>
            </w:pPr>
            <w:r w:rsidRPr="00635562">
              <w:rPr>
                <w:sz w:val="18"/>
                <w:szCs w:val="18"/>
              </w:rPr>
              <w:t>fully charged state</w:t>
            </w:r>
          </w:p>
        </w:tc>
        <w:tc>
          <w:tcPr>
            <w:tcW w:w="567" w:type="dxa"/>
            <w:tcBorders>
              <w:top w:val="nil"/>
              <w:left w:val="nil"/>
              <w:bottom w:val="single" w:sz="8" w:space="0" w:color="auto"/>
              <w:right w:val="nil"/>
            </w:tcBorders>
            <w:shd w:val="clear" w:color="auto" w:fill="auto"/>
            <w:noWrap/>
            <w:vAlign w:val="center"/>
            <w:hideMark/>
          </w:tcPr>
          <w:p w14:paraId="0DBC39AE" w14:textId="77777777" w:rsidR="0040205D" w:rsidRPr="00635562" w:rsidRDefault="0040205D" w:rsidP="00A96C07">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center"/>
            <w:hideMark/>
          </w:tcPr>
          <w:p w14:paraId="08FD9311" w14:textId="77777777" w:rsidR="0040205D" w:rsidRPr="00635562" w:rsidRDefault="0040205D" w:rsidP="00A96C07">
            <w:pPr>
              <w:jc w:val="center"/>
              <w:rPr>
                <w:sz w:val="18"/>
                <w:szCs w:val="18"/>
              </w:rPr>
            </w:pPr>
          </w:p>
        </w:tc>
        <w:tc>
          <w:tcPr>
            <w:tcW w:w="1559"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02FFB844" w14:textId="77777777" w:rsidR="0040205D" w:rsidRPr="00635562" w:rsidRDefault="0040205D" w:rsidP="00A96C07">
            <w:pPr>
              <w:jc w:val="center"/>
              <w:rPr>
                <w:sz w:val="18"/>
                <w:szCs w:val="18"/>
              </w:rPr>
            </w:pPr>
            <w:r w:rsidRPr="00635562">
              <w:rPr>
                <w:sz w:val="18"/>
                <w:szCs w:val="18"/>
              </w:rPr>
              <w:t>1</w:t>
            </w:r>
          </w:p>
        </w:tc>
        <w:tc>
          <w:tcPr>
            <w:tcW w:w="562"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274CA7F3" w14:textId="77777777" w:rsidR="0040205D" w:rsidRPr="00635562" w:rsidRDefault="0040205D" w:rsidP="00A96C07">
            <w:pPr>
              <w:jc w:val="center"/>
              <w:rPr>
                <w:sz w:val="18"/>
                <w:szCs w:val="18"/>
              </w:rPr>
            </w:pPr>
          </w:p>
        </w:tc>
        <w:tc>
          <w:tcPr>
            <w:tcW w:w="546"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2D3E54E" w14:textId="77777777" w:rsidR="0040205D" w:rsidRPr="00635562" w:rsidRDefault="0040205D" w:rsidP="00A96C07">
            <w:pPr>
              <w:jc w:val="center"/>
              <w:rPr>
                <w:sz w:val="18"/>
                <w:szCs w:val="18"/>
              </w:rPr>
            </w:pPr>
            <w:r w:rsidRPr="00635562">
              <w:rPr>
                <w:sz w:val="18"/>
                <w:szCs w:val="18"/>
              </w:rPr>
              <w:t>1</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14:paraId="5610AB84" w14:textId="77777777" w:rsidR="0040205D" w:rsidRPr="00635562" w:rsidRDefault="0040205D" w:rsidP="00A96C07">
            <w:pPr>
              <w:jc w:val="center"/>
              <w:rPr>
                <w:sz w:val="18"/>
                <w:szCs w:val="18"/>
              </w:rPr>
            </w:pPr>
          </w:p>
        </w:tc>
        <w:tc>
          <w:tcPr>
            <w:tcW w:w="639" w:type="dxa"/>
            <w:tcBorders>
              <w:top w:val="single" w:sz="8" w:space="0" w:color="auto"/>
              <w:left w:val="nil"/>
              <w:bottom w:val="single" w:sz="8" w:space="0" w:color="auto"/>
              <w:right w:val="single" w:sz="12" w:space="0" w:color="auto"/>
            </w:tcBorders>
            <w:shd w:val="clear" w:color="auto" w:fill="auto"/>
            <w:noWrap/>
            <w:vAlign w:val="center"/>
            <w:hideMark/>
          </w:tcPr>
          <w:p w14:paraId="5890BA0C" w14:textId="77777777" w:rsidR="0040205D" w:rsidRPr="00635562" w:rsidRDefault="0040205D" w:rsidP="00A96C07">
            <w:pPr>
              <w:rPr>
                <w:sz w:val="18"/>
                <w:szCs w:val="18"/>
              </w:rPr>
            </w:pPr>
            <w:r w:rsidRPr="00635562">
              <w:rPr>
                <w:sz w:val="18"/>
                <w:szCs w:val="18"/>
              </w:rPr>
              <w:t>2</w:t>
            </w:r>
          </w:p>
        </w:tc>
      </w:tr>
      <w:tr w:rsidR="0040205D" w:rsidRPr="00635562" w14:paraId="19C5AA36" w14:textId="77777777" w:rsidTr="00A96C07">
        <w:trPr>
          <w:trHeight w:val="948"/>
          <w:jc w:val="center"/>
        </w:trPr>
        <w:tc>
          <w:tcPr>
            <w:tcW w:w="1417" w:type="dxa"/>
            <w:tcBorders>
              <w:top w:val="nil"/>
              <w:left w:val="single" w:sz="12" w:space="0" w:color="auto"/>
              <w:bottom w:val="single" w:sz="12" w:space="0" w:color="auto"/>
              <w:right w:val="nil"/>
            </w:tcBorders>
            <w:shd w:val="clear" w:color="auto" w:fill="auto"/>
            <w:vAlign w:val="center"/>
            <w:hideMark/>
          </w:tcPr>
          <w:p w14:paraId="4785911A" w14:textId="77777777" w:rsidR="0040205D" w:rsidRPr="00635562" w:rsidRDefault="0040205D" w:rsidP="00A96C07">
            <w:pPr>
              <w:rPr>
                <w:sz w:val="18"/>
                <w:szCs w:val="18"/>
              </w:rPr>
            </w:pPr>
            <w:r w:rsidRPr="00635562">
              <w:rPr>
                <w:sz w:val="18"/>
                <w:szCs w:val="18"/>
              </w:rPr>
              <w:t>Batteries assembled</w:t>
            </w:r>
            <w:r w:rsidRPr="00635562">
              <w:rPr>
                <w:sz w:val="18"/>
                <w:szCs w:val="18"/>
              </w:rPr>
              <w:br/>
              <w:t>with tested batteries</w:t>
            </w:r>
            <w:r w:rsidRPr="00635562">
              <w:rPr>
                <w:sz w:val="18"/>
                <w:szCs w:val="18"/>
              </w:rPr>
              <w:br/>
              <w:t xml:space="preserve">&gt; 6 200 </w:t>
            </w:r>
            <w:proofErr w:type="spellStart"/>
            <w:r w:rsidRPr="00635562">
              <w:rPr>
                <w:sz w:val="18"/>
                <w:szCs w:val="18"/>
              </w:rPr>
              <w:t>Wh</w:t>
            </w:r>
            <w:proofErr w:type="spellEnd"/>
            <w:r w:rsidRPr="00635562">
              <w:rPr>
                <w:sz w:val="18"/>
                <w:szCs w:val="18"/>
              </w:rPr>
              <w:t xml:space="preserve"> or </w:t>
            </w:r>
            <w:proofErr w:type="spellStart"/>
            <w:r w:rsidRPr="00635562">
              <w:rPr>
                <w:sz w:val="18"/>
                <w:szCs w:val="18"/>
              </w:rPr>
              <w:t>or</w:t>
            </w:r>
            <w:proofErr w:type="spellEnd"/>
            <w:r w:rsidRPr="00635562">
              <w:rPr>
                <w:sz w:val="18"/>
                <w:szCs w:val="18"/>
              </w:rPr>
              <w:t xml:space="preserve"> &gt;500g </w:t>
            </w:r>
            <w:proofErr w:type="spellStart"/>
            <w:r w:rsidRPr="00635562">
              <w:rPr>
                <w:sz w:val="18"/>
                <w:szCs w:val="18"/>
              </w:rPr>
              <w:t>Li</w:t>
            </w:r>
            <w:r w:rsidRPr="00635562">
              <w:rPr>
                <w:sz w:val="18"/>
                <w:szCs w:val="18"/>
                <w:vertAlign w:val="superscript"/>
              </w:rPr>
              <w:t>c</w:t>
            </w:r>
            <w:proofErr w:type="spellEnd"/>
          </w:p>
        </w:tc>
        <w:tc>
          <w:tcPr>
            <w:tcW w:w="2693" w:type="dxa"/>
            <w:tcBorders>
              <w:top w:val="nil"/>
              <w:left w:val="single" w:sz="4" w:space="0" w:color="auto"/>
              <w:bottom w:val="single" w:sz="12" w:space="0" w:color="auto"/>
              <w:right w:val="single" w:sz="4" w:space="0" w:color="auto"/>
            </w:tcBorders>
            <w:shd w:val="clear" w:color="auto" w:fill="auto"/>
            <w:noWrap/>
            <w:vAlign w:val="bottom"/>
            <w:hideMark/>
          </w:tcPr>
          <w:p w14:paraId="6A1C6550" w14:textId="77777777" w:rsidR="0040205D" w:rsidRPr="00635562" w:rsidRDefault="0040205D" w:rsidP="00A96C07">
            <w:pPr>
              <w:rPr>
                <w:sz w:val="18"/>
                <w:szCs w:val="18"/>
              </w:rPr>
            </w:pPr>
            <w:r w:rsidRPr="00635562">
              <w:rPr>
                <w:sz w:val="18"/>
                <w:szCs w:val="18"/>
              </w:rPr>
              <w:t> </w:t>
            </w:r>
          </w:p>
        </w:tc>
        <w:tc>
          <w:tcPr>
            <w:tcW w:w="567" w:type="dxa"/>
            <w:tcBorders>
              <w:top w:val="nil"/>
              <w:left w:val="nil"/>
              <w:bottom w:val="single" w:sz="12" w:space="0" w:color="auto"/>
              <w:right w:val="nil"/>
            </w:tcBorders>
            <w:shd w:val="clear" w:color="auto" w:fill="auto"/>
            <w:noWrap/>
            <w:vAlign w:val="bottom"/>
            <w:hideMark/>
          </w:tcPr>
          <w:p w14:paraId="5E67AA38" w14:textId="77777777" w:rsidR="0040205D" w:rsidRPr="00635562" w:rsidRDefault="0040205D" w:rsidP="00A96C07">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14:paraId="49F9FF5C" w14:textId="77777777" w:rsidR="0040205D" w:rsidRPr="00635562" w:rsidRDefault="0040205D" w:rsidP="00A96C07">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14:paraId="16C63E2C" w14:textId="77777777" w:rsidR="0040205D" w:rsidRPr="00635562" w:rsidRDefault="0040205D" w:rsidP="00A96C07">
            <w:pPr>
              <w:jc w:val="center"/>
              <w:rPr>
                <w:sz w:val="18"/>
                <w:szCs w:val="18"/>
              </w:rPr>
            </w:pPr>
          </w:p>
        </w:tc>
        <w:tc>
          <w:tcPr>
            <w:tcW w:w="503" w:type="dxa"/>
            <w:tcBorders>
              <w:top w:val="nil"/>
              <w:left w:val="single" w:sz="4" w:space="0" w:color="auto"/>
              <w:bottom w:val="single" w:sz="12" w:space="0" w:color="auto"/>
              <w:right w:val="nil"/>
            </w:tcBorders>
            <w:shd w:val="clear" w:color="auto" w:fill="auto"/>
            <w:noWrap/>
            <w:vAlign w:val="bottom"/>
            <w:hideMark/>
          </w:tcPr>
          <w:p w14:paraId="4E4BD7FA" w14:textId="77777777" w:rsidR="0040205D" w:rsidRPr="00635562" w:rsidRDefault="0040205D" w:rsidP="00A96C07">
            <w:pPr>
              <w:jc w:val="center"/>
              <w:rPr>
                <w:sz w:val="18"/>
                <w:szCs w:val="18"/>
              </w:rPr>
            </w:pPr>
          </w:p>
        </w:tc>
        <w:tc>
          <w:tcPr>
            <w:tcW w:w="489" w:type="dxa"/>
            <w:tcBorders>
              <w:top w:val="nil"/>
              <w:left w:val="single" w:sz="4" w:space="0" w:color="auto"/>
              <w:bottom w:val="single" w:sz="12" w:space="0" w:color="auto"/>
              <w:right w:val="nil"/>
            </w:tcBorders>
            <w:shd w:val="clear" w:color="auto" w:fill="auto"/>
            <w:noWrap/>
            <w:vAlign w:val="bottom"/>
            <w:hideMark/>
          </w:tcPr>
          <w:p w14:paraId="4EA98249" w14:textId="77777777" w:rsidR="0040205D" w:rsidRPr="00635562" w:rsidRDefault="0040205D" w:rsidP="00A96C07">
            <w:pPr>
              <w:jc w:val="center"/>
              <w:rPr>
                <w:sz w:val="18"/>
                <w:szCs w:val="18"/>
              </w:rPr>
            </w:pPr>
          </w:p>
        </w:tc>
        <w:tc>
          <w:tcPr>
            <w:tcW w:w="562" w:type="dxa"/>
            <w:tcBorders>
              <w:top w:val="nil"/>
              <w:left w:val="single" w:sz="4" w:space="0" w:color="auto"/>
              <w:bottom w:val="single" w:sz="12" w:space="0" w:color="auto"/>
              <w:right w:val="single" w:sz="4" w:space="0" w:color="auto"/>
            </w:tcBorders>
            <w:shd w:val="clear" w:color="auto" w:fill="auto"/>
            <w:noWrap/>
            <w:vAlign w:val="bottom"/>
            <w:hideMark/>
          </w:tcPr>
          <w:p w14:paraId="57F81D02" w14:textId="77777777" w:rsidR="0040205D" w:rsidRPr="00635562" w:rsidRDefault="0040205D" w:rsidP="00A96C07">
            <w:pPr>
              <w:jc w:val="center"/>
              <w:rPr>
                <w:sz w:val="18"/>
                <w:szCs w:val="18"/>
              </w:rPr>
            </w:pPr>
          </w:p>
        </w:tc>
        <w:tc>
          <w:tcPr>
            <w:tcW w:w="546" w:type="dxa"/>
            <w:tcBorders>
              <w:top w:val="nil"/>
              <w:left w:val="nil"/>
              <w:bottom w:val="single" w:sz="12" w:space="0" w:color="auto"/>
              <w:right w:val="single" w:sz="4" w:space="0" w:color="auto"/>
            </w:tcBorders>
            <w:shd w:val="clear" w:color="auto" w:fill="auto"/>
            <w:noWrap/>
            <w:vAlign w:val="bottom"/>
            <w:hideMark/>
          </w:tcPr>
          <w:p w14:paraId="647DC48B" w14:textId="77777777" w:rsidR="0040205D" w:rsidRPr="00635562" w:rsidRDefault="0040205D" w:rsidP="00A96C07">
            <w:pPr>
              <w:jc w:val="center"/>
              <w:rPr>
                <w:sz w:val="18"/>
                <w:szCs w:val="18"/>
              </w:rPr>
            </w:pPr>
          </w:p>
        </w:tc>
        <w:tc>
          <w:tcPr>
            <w:tcW w:w="545" w:type="dxa"/>
            <w:tcBorders>
              <w:top w:val="nil"/>
              <w:left w:val="nil"/>
              <w:bottom w:val="single" w:sz="12" w:space="0" w:color="auto"/>
              <w:right w:val="single" w:sz="4" w:space="0" w:color="auto"/>
            </w:tcBorders>
            <w:shd w:val="clear" w:color="auto" w:fill="auto"/>
            <w:noWrap/>
            <w:vAlign w:val="bottom"/>
            <w:hideMark/>
          </w:tcPr>
          <w:p w14:paraId="47E9FB23" w14:textId="77777777" w:rsidR="0040205D" w:rsidRPr="00635562" w:rsidRDefault="0040205D" w:rsidP="00A96C07">
            <w:pPr>
              <w:jc w:val="center"/>
              <w:rPr>
                <w:sz w:val="18"/>
                <w:szCs w:val="18"/>
              </w:rPr>
            </w:pPr>
          </w:p>
        </w:tc>
        <w:tc>
          <w:tcPr>
            <w:tcW w:w="639" w:type="dxa"/>
            <w:tcBorders>
              <w:top w:val="nil"/>
              <w:left w:val="nil"/>
              <w:bottom w:val="single" w:sz="12" w:space="0" w:color="auto"/>
              <w:right w:val="single" w:sz="12" w:space="0" w:color="auto"/>
            </w:tcBorders>
            <w:shd w:val="clear" w:color="auto" w:fill="auto"/>
            <w:noWrap/>
            <w:vAlign w:val="center"/>
            <w:hideMark/>
          </w:tcPr>
          <w:p w14:paraId="7654441B" w14:textId="77777777" w:rsidR="0040205D" w:rsidRPr="00635562" w:rsidRDefault="0040205D" w:rsidP="00A96C07">
            <w:pPr>
              <w:rPr>
                <w:sz w:val="18"/>
                <w:szCs w:val="18"/>
              </w:rPr>
            </w:pPr>
            <w:r w:rsidRPr="00635562">
              <w:rPr>
                <w:sz w:val="18"/>
                <w:szCs w:val="18"/>
              </w:rPr>
              <w:t>0</w:t>
            </w:r>
          </w:p>
        </w:tc>
      </w:tr>
    </w:tbl>
    <w:p w14:paraId="4F1F8A65" w14:textId="77777777" w:rsidR="0040205D" w:rsidRPr="00635562" w:rsidRDefault="0040205D" w:rsidP="0040205D">
      <w:pPr>
        <w:pStyle w:val="SingleTxtG"/>
        <w:spacing w:before="120" w:line="240" w:lineRule="auto"/>
        <w:rPr>
          <w:i/>
        </w:rPr>
      </w:pPr>
      <w:r w:rsidRPr="00635562">
        <w:rPr>
          <w:vertAlign w:val="superscript"/>
        </w:rPr>
        <w:t>a</w:t>
      </w:r>
      <w:r w:rsidRPr="00635562">
        <w:tab/>
      </w:r>
      <w:r w:rsidRPr="00635562">
        <w:rPr>
          <w:i/>
        </w:rPr>
        <w:t>Batteries or single cell batteries not equipped with battery overcharge protection that are designed for use only as a component in another battery or in equipment, which affords such protection, are not subject to the requirements of this test;</w:t>
      </w:r>
    </w:p>
    <w:p w14:paraId="080D280D" w14:textId="77777777" w:rsidR="0040205D" w:rsidRPr="00635562" w:rsidRDefault="0040205D" w:rsidP="0040205D">
      <w:pPr>
        <w:pStyle w:val="SingleTxtG"/>
        <w:rPr>
          <w:i/>
        </w:rPr>
      </w:pPr>
      <w:proofErr w:type="gramStart"/>
      <w:r w:rsidRPr="00635562">
        <w:rPr>
          <w:vertAlign w:val="superscript"/>
        </w:rPr>
        <w:t>b</w:t>
      </w:r>
      <w:proofErr w:type="gramEnd"/>
      <w:r w:rsidRPr="00635562">
        <w:tab/>
      </w:r>
      <w:r w:rsidRPr="00635562">
        <w:rPr>
          <w:i/>
        </w:rPr>
        <w:t>Except for the T.7 Overcharge test, a single cell battery containing one tested cell does not require testing unless a change in cell design could result in the failure of any test;</w:t>
      </w:r>
    </w:p>
    <w:p w14:paraId="7BC628A6" w14:textId="77777777" w:rsidR="0040205D" w:rsidRPr="00635562" w:rsidRDefault="0040205D" w:rsidP="0040205D">
      <w:pPr>
        <w:pStyle w:val="SingleTxtG"/>
        <w:spacing w:after="0"/>
        <w:rPr>
          <w:i/>
        </w:rPr>
      </w:pPr>
      <w:proofErr w:type="gramStart"/>
      <w:r w:rsidRPr="00635562">
        <w:rPr>
          <w:vertAlign w:val="superscript"/>
        </w:rPr>
        <w:lastRenderedPageBreak/>
        <w:t>c</w:t>
      </w:r>
      <w:proofErr w:type="gramEnd"/>
      <w:r w:rsidRPr="00635562">
        <w:tab/>
      </w:r>
      <w:r w:rsidRPr="00635562">
        <w:rPr>
          <w:i/>
        </w:rPr>
        <w:t xml:space="preserve">If the assembled battery is of a type that has been verified as preventing: </w:t>
      </w:r>
    </w:p>
    <w:p w14:paraId="7C1275C4" w14:textId="77777777" w:rsidR="0040205D" w:rsidRPr="00635562" w:rsidRDefault="0040205D" w:rsidP="0040205D">
      <w:pPr>
        <w:pStyle w:val="SingleTxtG"/>
        <w:spacing w:after="0"/>
        <w:ind w:left="1701"/>
        <w:rPr>
          <w:i/>
        </w:rPr>
      </w:pPr>
      <w:r w:rsidRPr="00635562">
        <w:rPr>
          <w:i/>
        </w:rPr>
        <w:t>(</w:t>
      </w:r>
      <w:proofErr w:type="spellStart"/>
      <w:r w:rsidRPr="00635562">
        <w:rPr>
          <w:i/>
        </w:rPr>
        <w:t>i</w:t>
      </w:r>
      <w:proofErr w:type="spellEnd"/>
      <w:r w:rsidRPr="00635562">
        <w:rPr>
          <w:i/>
        </w:rPr>
        <w:t>)</w:t>
      </w:r>
      <w:r w:rsidRPr="00635562">
        <w:rPr>
          <w:i/>
        </w:rPr>
        <w:tab/>
        <w:t xml:space="preserve">Overcharge; </w:t>
      </w:r>
    </w:p>
    <w:p w14:paraId="6B3CDE01" w14:textId="77777777" w:rsidR="0040205D" w:rsidRPr="00635562" w:rsidRDefault="0040205D" w:rsidP="0040205D">
      <w:pPr>
        <w:pStyle w:val="SingleTxtG"/>
        <w:spacing w:after="0"/>
        <w:ind w:left="1701"/>
        <w:rPr>
          <w:i/>
        </w:rPr>
      </w:pPr>
      <w:r w:rsidRPr="00635562">
        <w:rPr>
          <w:i/>
        </w:rPr>
        <w:t>(ii)</w:t>
      </w:r>
      <w:r w:rsidRPr="00635562">
        <w:rPr>
          <w:i/>
        </w:rPr>
        <w:tab/>
        <w:t xml:space="preserve">Short circuits; and </w:t>
      </w:r>
    </w:p>
    <w:p w14:paraId="191DCBAB" w14:textId="77777777" w:rsidR="0040205D" w:rsidRPr="00635562" w:rsidRDefault="0040205D" w:rsidP="0040205D">
      <w:pPr>
        <w:pStyle w:val="SingleTxtG"/>
        <w:ind w:left="1701"/>
        <w:rPr>
          <w:i/>
        </w:rPr>
      </w:pPr>
      <w:r w:rsidRPr="00635562">
        <w:rPr>
          <w:i/>
        </w:rPr>
        <w:t>(iii)</w:t>
      </w:r>
      <w:r w:rsidRPr="00635562">
        <w:rPr>
          <w:i/>
        </w:rPr>
        <w:tab/>
        <w:t>Over discharge between the batteries.</w:t>
      </w:r>
    </w:p>
    <w:p w14:paraId="271B29FA" w14:textId="77777777" w:rsidR="0040205D" w:rsidRPr="00635562" w:rsidRDefault="0040205D" w:rsidP="0040205D">
      <w:pPr>
        <w:pStyle w:val="SingleTxtG"/>
        <w:rPr>
          <w:i/>
        </w:rPr>
      </w:pPr>
      <w:proofErr w:type="gramStart"/>
      <w:r w:rsidRPr="00635562">
        <w:rPr>
          <w:vertAlign w:val="superscript"/>
        </w:rPr>
        <w:t>d</w:t>
      </w:r>
      <w:proofErr w:type="gramEnd"/>
      <w:r w:rsidRPr="00635562">
        <w:tab/>
      </w:r>
      <w:r w:rsidRPr="00635562">
        <w:rPr>
          <w:i/>
        </w:rPr>
        <w:t>the sum represents the number of tests required, not the number of cells or batteries tested.”.</w:t>
      </w:r>
    </w:p>
    <w:p w14:paraId="49C929E4" w14:textId="77777777" w:rsidR="002F1976" w:rsidRPr="00635562" w:rsidRDefault="002F1976" w:rsidP="002F1976">
      <w:pPr>
        <w:pStyle w:val="SingleTxtG"/>
      </w:pPr>
      <w:r w:rsidRPr="00635562">
        <w:t>38.3</w:t>
      </w:r>
      <w:r w:rsidRPr="00635562">
        <w:tab/>
        <w:t>Add the following new sub-section 38.3.5:</w:t>
      </w:r>
    </w:p>
    <w:p w14:paraId="4558DFDA" w14:textId="77777777" w:rsidR="002F1976" w:rsidRPr="00635562" w:rsidRDefault="002F1976" w:rsidP="002F1976">
      <w:pPr>
        <w:pStyle w:val="SingleTxtG"/>
      </w:pPr>
      <w:r w:rsidRPr="00635562">
        <w:t>“</w:t>
      </w:r>
      <w:r w:rsidRPr="00635562">
        <w:rPr>
          <w:b/>
        </w:rPr>
        <w:t>38.3.5</w:t>
      </w:r>
      <w:r w:rsidRPr="00635562">
        <w:rPr>
          <w:b/>
        </w:rPr>
        <w:tab/>
      </w:r>
      <w:r w:rsidRPr="00635562">
        <w:rPr>
          <w:b/>
          <w:i/>
        </w:rPr>
        <w:t>Lithium cell and battery test summary</w:t>
      </w:r>
      <w:r w:rsidRPr="00635562">
        <w:t xml:space="preserve"> </w:t>
      </w:r>
    </w:p>
    <w:p w14:paraId="7D9087BB" w14:textId="77777777" w:rsidR="002F1976" w:rsidRPr="00635562" w:rsidRDefault="002F1976" w:rsidP="002F1976">
      <w:pPr>
        <w:pStyle w:val="SingleTxtG"/>
      </w:pPr>
      <w:r w:rsidRPr="00635562">
        <w:t>The following test summary shall be made available:</w:t>
      </w:r>
    </w:p>
    <w:tbl>
      <w:tblPr>
        <w:tblStyle w:val="TableGrid"/>
        <w:tblW w:w="7371" w:type="dxa"/>
        <w:tblInd w:w="1129" w:type="dxa"/>
        <w:tblLook w:val="04A0" w:firstRow="1" w:lastRow="0" w:firstColumn="1" w:lastColumn="0" w:noHBand="0" w:noVBand="1"/>
      </w:tblPr>
      <w:tblGrid>
        <w:gridCol w:w="7371"/>
      </w:tblGrid>
      <w:tr w:rsidR="002F1976" w:rsidRPr="00635562" w14:paraId="135B5988" w14:textId="77777777" w:rsidTr="00A96C07">
        <w:tc>
          <w:tcPr>
            <w:tcW w:w="7371" w:type="dxa"/>
          </w:tcPr>
          <w:p w14:paraId="2CB41376" w14:textId="77777777" w:rsidR="002F1976" w:rsidRPr="00635562" w:rsidRDefault="002F1976" w:rsidP="00A96C07">
            <w:pPr>
              <w:jc w:val="center"/>
              <w:rPr>
                <w:b/>
              </w:rPr>
            </w:pPr>
            <w:r w:rsidRPr="00635562">
              <w:rPr>
                <w:b/>
              </w:rPr>
              <w:t xml:space="preserve">Lithium cell or battery test summary in Accordance </w:t>
            </w:r>
            <w:r w:rsidRPr="00635562">
              <w:rPr>
                <w:b/>
              </w:rPr>
              <w:br/>
              <w:t>with sub-section 38.3 of Manual of Tests and Criteria</w:t>
            </w:r>
          </w:p>
        </w:tc>
      </w:tr>
      <w:tr w:rsidR="002F1976" w:rsidRPr="00635562" w14:paraId="08EF23A9" w14:textId="77777777" w:rsidTr="00A96C07">
        <w:tc>
          <w:tcPr>
            <w:tcW w:w="7371" w:type="dxa"/>
          </w:tcPr>
          <w:p w14:paraId="32866AB5" w14:textId="77777777" w:rsidR="002F1976" w:rsidRPr="00635562" w:rsidRDefault="002F1976" w:rsidP="00A96C07">
            <w:pPr>
              <w:tabs>
                <w:tab w:val="left" w:pos="615"/>
              </w:tabs>
              <w:spacing w:after="60" w:line="240" w:lineRule="auto"/>
            </w:pPr>
            <w:r w:rsidRPr="00635562">
              <w:t xml:space="preserve">The following information shall be provided in this test summary: </w:t>
            </w:r>
          </w:p>
          <w:p w14:paraId="69B87359" w14:textId="77777777" w:rsidR="002F1976" w:rsidRPr="00635562" w:rsidRDefault="002F1976" w:rsidP="00A96C07">
            <w:pPr>
              <w:tabs>
                <w:tab w:val="left" w:pos="615"/>
              </w:tabs>
              <w:spacing w:after="60" w:line="240" w:lineRule="auto"/>
              <w:ind w:left="432" w:hanging="432"/>
            </w:pPr>
            <w:r w:rsidRPr="00635562">
              <w:t>(a)</w:t>
            </w:r>
            <w:r w:rsidRPr="00635562">
              <w:tab/>
              <w:t xml:space="preserve">Name of cell, battery, or product manufacturer, as applicable; </w:t>
            </w:r>
          </w:p>
          <w:p w14:paraId="642E161D" w14:textId="77777777" w:rsidR="002F1976" w:rsidRPr="00635562" w:rsidRDefault="002F1976" w:rsidP="00A96C07">
            <w:pPr>
              <w:tabs>
                <w:tab w:val="left" w:pos="615"/>
              </w:tabs>
              <w:spacing w:after="60" w:line="240" w:lineRule="auto"/>
              <w:ind w:left="432" w:hanging="432"/>
            </w:pPr>
            <w:r w:rsidRPr="00635562">
              <w:t xml:space="preserve">(b) </w:t>
            </w:r>
            <w:r w:rsidRPr="00635562">
              <w:tab/>
              <w:t xml:space="preserve">Cell, battery, or product manufacturer’s contact information to include address, phone number, email address and website for more information; </w:t>
            </w:r>
          </w:p>
          <w:p w14:paraId="57134F3E" w14:textId="77777777" w:rsidR="002F1976" w:rsidRPr="00635562" w:rsidRDefault="002F1976" w:rsidP="00A96C07">
            <w:pPr>
              <w:tabs>
                <w:tab w:val="left" w:pos="615"/>
              </w:tabs>
              <w:spacing w:after="60" w:line="240" w:lineRule="auto"/>
              <w:ind w:left="432" w:hanging="432"/>
            </w:pPr>
            <w:r w:rsidRPr="00635562">
              <w:t xml:space="preserve">(c) </w:t>
            </w:r>
            <w:r w:rsidRPr="00635562">
              <w:tab/>
              <w:t xml:space="preserve">Name of the test laboratory to include address, phone number, email address and website for more information; </w:t>
            </w:r>
          </w:p>
          <w:p w14:paraId="1AD3EF44" w14:textId="77777777" w:rsidR="002F1976" w:rsidRPr="00635562" w:rsidRDefault="002F1976" w:rsidP="00A96C07">
            <w:pPr>
              <w:tabs>
                <w:tab w:val="left" w:pos="615"/>
              </w:tabs>
              <w:spacing w:after="60" w:line="240" w:lineRule="auto"/>
              <w:ind w:left="432" w:hanging="432"/>
            </w:pPr>
            <w:r w:rsidRPr="00635562">
              <w:t xml:space="preserve">(d) </w:t>
            </w:r>
            <w:r w:rsidRPr="00635562">
              <w:tab/>
              <w:t xml:space="preserve">A unique test report identification number; </w:t>
            </w:r>
          </w:p>
          <w:p w14:paraId="4F8ED334" w14:textId="77777777" w:rsidR="002F1976" w:rsidRPr="00635562" w:rsidRDefault="002F1976" w:rsidP="00A96C07">
            <w:pPr>
              <w:tabs>
                <w:tab w:val="left" w:pos="432"/>
                <w:tab w:val="left" w:pos="615"/>
              </w:tabs>
              <w:spacing w:after="60" w:line="240" w:lineRule="auto"/>
            </w:pPr>
            <w:r w:rsidRPr="00635562">
              <w:t xml:space="preserve">(e) </w:t>
            </w:r>
            <w:r w:rsidRPr="00635562">
              <w:tab/>
              <w:t xml:space="preserve">Date of test report; </w:t>
            </w:r>
          </w:p>
          <w:p w14:paraId="35494104" w14:textId="77777777" w:rsidR="002F1976" w:rsidRPr="00635562" w:rsidRDefault="002F1976" w:rsidP="00A96C07">
            <w:pPr>
              <w:tabs>
                <w:tab w:val="left" w:pos="432"/>
                <w:tab w:val="left" w:pos="615"/>
              </w:tabs>
              <w:spacing w:after="60" w:line="240" w:lineRule="auto"/>
              <w:ind w:left="432" w:hanging="432"/>
            </w:pPr>
            <w:r w:rsidRPr="00635562">
              <w:t xml:space="preserve">(f) </w:t>
            </w:r>
            <w:r w:rsidRPr="00635562">
              <w:tab/>
              <w:t>Description of cell or battery to include at a minimum:</w:t>
            </w:r>
          </w:p>
          <w:p w14:paraId="56500919" w14:textId="77777777" w:rsidR="002F1976" w:rsidRPr="00635562" w:rsidRDefault="002F1976" w:rsidP="00A96C07">
            <w:pPr>
              <w:tabs>
                <w:tab w:val="left" w:pos="615"/>
              </w:tabs>
              <w:spacing w:after="60" w:line="240" w:lineRule="auto"/>
              <w:ind w:left="473"/>
            </w:pPr>
            <w:r w:rsidRPr="00635562">
              <w:t>(</w:t>
            </w:r>
            <w:proofErr w:type="spellStart"/>
            <w:r w:rsidRPr="00635562">
              <w:t>i</w:t>
            </w:r>
            <w:proofErr w:type="spellEnd"/>
            <w:r w:rsidRPr="00635562">
              <w:t xml:space="preserve">) </w:t>
            </w:r>
            <w:r w:rsidRPr="00635562">
              <w:tab/>
              <w:t xml:space="preserve">Lithium ion or lithium metal cell or battery; </w:t>
            </w:r>
          </w:p>
          <w:p w14:paraId="5779EB55" w14:textId="77777777" w:rsidR="002F1976" w:rsidRPr="00635562" w:rsidRDefault="002F1976" w:rsidP="00A96C07">
            <w:pPr>
              <w:tabs>
                <w:tab w:val="left" w:pos="615"/>
              </w:tabs>
              <w:spacing w:after="60" w:line="240" w:lineRule="auto"/>
              <w:ind w:left="473"/>
            </w:pPr>
            <w:r w:rsidRPr="00635562">
              <w:t xml:space="preserve">(ii) </w:t>
            </w:r>
            <w:r w:rsidRPr="00635562">
              <w:tab/>
              <w:t>Mass;</w:t>
            </w:r>
          </w:p>
          <w:p w14:paraId="7B460141" w14:textId="77777777" w:rsidR="002F1976" w:rsidRPr="00635562" w:rsidRDefault="002F1976" w:rsidP="00A96C07">
            <w:pPr>
              <w:tabs>
                <w:tab w:val="left" w:pos="615"/>
              </w:tabs>
              <w:spacing w:after="60" w:line="240" w:lineRule="auto"/>
              <w:ind w:left="473"/>
            </w:pPr>
            <w:r w:rsidRPr="00635562">
              <w:t xml:space="preserve">(iii) </w:t>
            </w:r>
            <w:r w:rsidRPr="00635562">
              <w:tab/>
              <w:t xml:space="preserve">Watt-hour rating, or lithium content; </w:t>
            </w:r>
          </w:p>
          <w:p w14:paraId="47AB1199" w14:textId="77777777" w:rsidR="002F1976" w:rsidRPr="00635562" w:rsidRDefault="002F1976" w:rsidP="00A96C07">
            <w:pPr>
              <w:tabs>
                <w:tab w:val="left" w:pos="615"/>
              </w:tabs>
              <w:spacing w:after="60" w:line="240" w:lineRule="auto"/>
              <w:ind w:left="473"/>
            </w:pPr>
            <w:r w:rsidRPr="00635562">
              <w:t xml:space="preserve">(iv) </w:t>
            </w:r>
            <w:r w:rsidRPr="00635562">
              <w:tab/>
              <w:t>Physical description of the cell/battery; and</w:t>
            </w:r>
          </w:p>
          <w:p w14:paraId="08CF0582" w14:textId="77777777" w:rsidR="002F1976" w:rsidRPr="00635562" w:rsidRDefault="002F1976" w:rsidP="00A96C07">
            <w:pPr>
              <w:tabs>
                <w:tab w:val="left" w:pos="615"/>
              </w:tabs>
              <w:spacing w:after="60" w:line="240" w:lineRule="auto"/>
              <w:ind w:left="473"/>
            </w:pPr>
            <w:r w:rsidRPr="00635562">
              <w:t xml:space="preserve">(v) </w:t>
            </w:r>
            <w:r w:rsidRPr="00635562">
              <w:tab/>
              <w:t xml:space="preserve">Model numbers. </w:t>
            </w:r>
          </w:p>
          <w:p w14:paraId="0913076C" w14:textId="77777777" w:rsidR="002F1976" w:rsidRPr="00635562" w:rsidRDefault="002F1976" w:rsidP="00A96C07">
            <w:pPr>
              <w:tabs>
                <w:tab w:val="left" w:pos="432"/>
                <w:tab w:val="left" w:pos="615"/>
              </w:tabs>
              <w:spacing w:after="60" w:line="240" w:lineRule="auto"/>
              <w:ind w:left="432" w:hanging="432"/>
            </w:pPr>
            <w:r w:rsidRPr="00635562">
              <w:t xml:space="preserve">(g) </w:t>
            </w:r>
            <w:r w:rsidRPr="00635562">
              <w:tab/>
              <w:t xml:space="preserve">List of tests conducted and results (i.e., pass/fail); </w:t>
            </w:r>
          </w:p>
          <w:p w14:paraId="3A1080BE" w14:textId="77777777" w:rsidR="002F1976" w:rsidRPr="00635562" w:rsidRDefault="002F1976" w:rsidP="00A96C07">
            <w:pPr>
              <w:tabs>
                <w:tab w:val="left" w:pos="432"/>
                <w:tab w:val="left" w:pos="615"/>
              </w:tabs>
              <w:spacing w:after="60" w:line="240" w:lineRule="auto"/>
              <w:ind w:left="432" w:hanging="432"/>
            </w:pPr>
            <w:r w:rsidRPr="00635562">
              <w:t xml:space="preserve">(h) </w:t>
            </w:r>
            <w:r w:rsidRPr="00635562">
              <w:tab/>
              <w:t xml:space="preserve">Reference to assembled battery testing requirements, if applicable (i.e., 38.3.3 (f) and 38.3.3 (g)); </w:t>
            </w:r>
          </w:p>
          <w:p w14:paraId="2627CFF1" w14:textId="77777777" w:rsidR="002F1976" w:rsidRPr="00635562" w:rsidRDefault="002F1976" w:rsidP="00A96C07">
            <w:pPr>
              <w:tabs>
                <w:tab w:val="left" w:pos="432"/>
                <w:tab w:val="left" w:pos="615"/>
              </w:tabs>
              <w:spacing w:after="60" w:line="240" w:lineRule="auto"/>
              <w:ind w:left="432" w:hanging="432"/>
            </w:pPr>
            <w:r w:rsidRPr="00635562">
              <w:t>(</w:t>
            </w:r>
            <w:proofErr w:type="spellStart"/>
            <w:r w:rsidRPr="00635562">
              <w:t>i</w:t>
            </w:r>
            <w:proofErr w:type="spellEnd"/>
            <w:r w:rsidRPr="00635562">
              <w:t xml:space="preserve">) </w:t>
            </w:r>
            <w:r w:rsidRPr="00635562">
              <w:tab/>
              <w:t xml:space="preserve">Reference to the revised edition of the Manual of Tests and Criteria used and to amendments thereto, if any; and </w:t>
            </w:r>
          </w:p>
          <w:p w14:paraId="60611F00" w14:textId="77777777" w:rsidR="002F1976" w:rsidRPr="00635562" w:rsidRDefault="002F1976" w:rsidP="00A96C07">
            <w:pPr>
              <w:tabs>
                <w:tab w:val="left" w:pos="432"/>
                <w:tab w:val="left" w:pos="615"/>
              </w:tabs>
              <w:spacing w:after="60" w:line="240" w:lineRule="auto"/>
              <w:ind w:left="432" w:hanging="432"/>
            </w:pPr>
            <w:r w:rsidRPr="00635562">
              <w:t xml:space="preserve">(j) </w:t>
            </w:r>
            <w:r w:rsidRPr="00635562">
              <w:tab/>
              <w:t>Signature with name and title of signatory as an indication of the validity of information provided.</w:t>
            </w:r>
          </w:p>
        </w:tc>
      </w:tr>
    </w:tbl>
    <w:p w14:paraId="5937CA02" w14:textId="77777777" w:rsidR="002F1976" w:rsidRPr="00635562" w:rsidRDefault="002F1976" w:rsidP="002F1976">
      <w:pPr>
        <w:pStyle w:val="SingleTxtG"/>
      </w:pPr>
      <w:r w:rsidRPr="00635562">
        <w:t>”.</w:t>
      </w:r>
    </w:p>
    <w:p w14:paraId="4832B73F" w14:textId="044E58DF" w:rsidR="00E74876" w:rsidRPr="00635562" w:rsidRDefault="00E74876" w:rsidP="00635562">
      <w:pPr>
        <w:pStyle w:val="HChG"/>
      </w:pPr>
      <w:r w:rsidRPr="00635562">
        <w:tab/>
      </w:r>
      <w:r w:rsidRPr="00635562">
        <w:tab/>
        <w:t>Section 39</w:t>
      </w:r>
    </w:p>
    <w:p w14:paraId="4CB40E8B" w14:textId="23292770" w:rsidR="00E74876" w:rsidRPr="00635562" w:rsidRDefault="00E74876" w:rsidP="00E74876">
      <w:pPr>
        <w:pStyle w:val="SingleTxtG"/>
      </w:pPr>
      <w:r w:rsidRPr="00635562">
        <w:t>Add the following new section 39:</w:t>
      </w:r>
    </w:p>
    <w:p w14:paraId="74B734BC" w14:textId="35F54913" w:rsidR="00E74876" w:rsidRPr="00635562" w:rsidRDefault="00E74876" w:rsidP="00060F3C">
      <w:pPr>
        <w:pStyle w:val="H1G"/>
        <w:keepNext w:val="0"/>
        <w:keepLines w:val="0"/>
      </w:pPr>
      <w:r w:rsidRPr="00635562">
        <w:tab/>
      </w:r>
      <w:r w:rsidRPr="00635562">
        <w:tab/>
        <w:t>“Section 39</w:t>
      </w:r>
    </w:p>
    <w:p w14:paraId="336F0962" w14:textId="77777777" w:rsidR="00E74876" w:rsidRPr="00635562" w:rsidRDefault="00E74876" w:rsidP="00060F3C">
      <w:pPr>
        <w:pStyle w:val="H1G"/>
        <w:keepNext w:val="0"/>
        <w:keepLines w:val="0"/>
      </w:pPr>
      <w:r w:rsidRPr="00635562">
        <w:tab/>
      </w:r>
      <w:r w:rsidRPr="00635562">
        <w:tab/>
        <w:t xml:space="preserve">Classification procedure and criteria relating to solid ammonium </w:t>
      </w:r>
      <w:r w:rsidRPr="00635562">
        <w:br/>
        <w:t>nitrate based fertilizers</w:t>
      </w:r>
    </w:p>
    <w:p w14:paraId="45C7BC75" w14:textId="77777777" w:rsidR="00E74876" w:rsidRPr="00635562" w:rsidRDefault="00E74876" w:rsidP="00060F3C">
      <w:pPr>
        <w:pStyle w:val="H23G"/>
        <w:keepNext w:val="0"/>
        <w:keepLines w:val="0"/>
      </w:pPr>
      <w:r w:rsidRPr="00635562">
        <w:tab/>
      </w:r>
      <w:r w:rsidRPr="00635562">
        <w:tab/>
        <w:t xml:space="preserve">39.1 </w:t>
      </w:r>
      <w:r w:rsidRPr="00635562">
        <w:tab/>
        <w:t>Purpose</w:t>
      </w:r>
    </w:p>
    <w:p w14:paraId="1A95B5C3" w14:textId="77777777" w:rsidR="00E74876" w:rsidRPr="00635562" w:rsidRDefault="00E74876" w:rsidP="00060F3C">
      <w:pPr>
        <w:pStyle w:val="SingleTxtG"/>
      </w:pPr>
      <w:r w:rsidRPr="00635562">
        <w:lastRenderedPageBreak/>
        <w:t>This section presents the United Nations scheme for the classification of solid ammonium nitrate based fertilizers as referred to in the Model Regulations, Chapter 3.3, special provisions 307 and 193.</w:t>
      </w:r>
    </w:p>
    <w:p w14:paraId="7C6ACAD5" w14:textId="77777777" w:rsidR="00E74876" w:rsidRPr="00635562" w:rsidRDefault="00E74876" w:rsidP="00060F3C">
      <w:pPr>
        <w:pStyle w:val="H23G"/>
        <w:keepNext w:val="0"/>
        <w:keepLines w:val="0"/>
      </w:pPr>
      <w:r w:rsidRPr="00635562">
        <w:tab/>
      </w:r>
      <w:r w:rsidRPr="00635562">
        <w:tab/>
        <w:t>39.2</w:t>
      </w:r>
      <w:r w:rsidRPr="00635562">
        <w:tab/>
        <w:t xml:space="preserve"> Scope</w:t>
      </w:r>
    </w:p>
    <w:p w14:paraId="27F45B25" w14:textId="77777777" w:rsidR="00E74876" w:rsidRPr="00635562" w:rsidRDefault="00E74876" w:rsidP="00060F3C">
      <w:pPr>
        <w:pStyle w:val="SingleTxtG"/>
      </w:pPr>
      <w:r w:rsidRPr="00635562">
        <w:t>Any new solid fertilizer composition containing ammonium nitrate shall be subjected to the classification procedure as set out in 39.4.</w:t>
      </w:r>
    </w:p>
    <w:p w14:paraId="64596764" w14:textId="77777777" w:rsidR="00E74876" w:rsidRPr="00635562" w:rsidRDefault="00E74876" w:rsidP="00060F3C">
      <w:pPr>
        <w:pStyle w:val="H23G"/>
        <w:keepNext w:val="0"/>
        <w:keepLines w:val="0"/>
      </w:pPr>
      <w:r w:rsidRPr="00635562">
        <w:tab/>
      </w:r>
      <w:r w:rsidRPr="00635562">
        <w:tab/>
        <w:t>39.3</w:t>
      </w:r>
      <w:r w:rsidRPr="00635562">
        <w:tab/>
        <w:t xml:space="preserve"> Definitions</w:t>
      </w:r>
    </w:p>
    <w:p w14:paraId="54E05612" w14:textId="5249D080" w:rsidR="00E74876" w:rsidRPr="00635562" w:rsidRDefault="00E74876" w:rsidP="00060F3C">
      <w:pPr>
        <w:pStyle w:val="SingleTxtG"/>
      </w:pPr>
      <w:r w:rsidRPr="00635562">
        <w:t>39.3.1</w:t>
      </w:r>
      <w:r w:rsidRPr="00635562">
        <w:tab/>
        <w:t>An ammonium nitrate based fertilizer is a uniform mixture containing ammonium (NH</w:t>
      </w:r>
      <w:r w:rsidRPr="00635562">
        <w:rPr>
          <w:vertAlign w:val="subscript"/>
        </w:rPr>
        <w:t>4</w:t>
      </w:r>
      <w:r w:rsidRPr="00635562">
        <w:rPr>
          <w:vertAlign w:val="superscript"/>
        </w:rPr>
        <w:t>+</w:t>
      </w:r>
      <w:r w:rsidRPr="00635562">
        <w:t>) and nitrate (NO</w:t>
      </w:r>
      <w:r w:rsidRPr="00635562">
        <w:rPr>
          <w:vertAlign w:val="subscript"/>
        </w:rPr>
        <w:t>3</w:t>
      </w:r>
      <w:r w:rsidRPr="00635562">
        <w:rPr>
          <w:vertAlign w:val="superscript"/>
        </w:rPr>
        <w:t>−</w:t>
      </w:r>
      <w:r w:rsidRPr="00635562">
        <w:t>) ions. See also 39.3.3.</w:t>
      </w:r>
    </w:p>
    <w:p w14:paraId="3D52DC36" w14:textId="74D0903E" w:rsidR="00E74876" w:rsidRPr="00635562" w:rsidRDefault="00E74876" w:rsidP="00060F3C">
      <w:pPr>
        <w:pStyle w:val="SingleTxtG"/>
      </w:pPr>
      <w:r w:rsidRPr="00635562">
        <w:t>39.3.2</w:t>
      </w:r>
      <w:r w:rsidRPr="00635562">
        <w:tab/>
        <w:t>A compound fertilizer is a uniform mixture that contains at least two of the three primary nutrients nitrogen (N), phosphorus (P) and potassium (K).</w:t>
      </w:r>
    </w:p>
    <w:p w14:paraId="2ED6DE22" w14:textId="77777777" w:rsidR="00E74876" w:rsidRPr="00635562" w:rsidRDefault="00E74876" w:rsidP="00060F3C">
      <w:pPr>
        <w:pStyle w:val="SingleTxtG"/>
      </w:pPr>
      <w:r w:rsidRPr="00635562">
        <w:t>39.3.3</w:t>
      </w:r>
      <w:r w:rsidRPr="00635562">
        <w:tab/>
        <w:t>In determining the ammonium nitrate content, all nitrate ions for which a molecular equivalent of ammonium ions is present in the fertilizer shall be calculated as ammonium nitrate.</w:t>
      </w:r>
    </w:p>
    <w:p w14:paraId="04148204" w14:textId="003AA140" w:rsidR="00E74876" w:rsidRPr="00635562" w:rsidRDefault="00E74876" w:rsidP="00E74876">
      <w:pPr>
        <w:pStyle w:val="SingleTxtG"/>
      </w:pPr>
      <w:r w:rsidRPr="00635562">
        <w:t>39.3.4</w:t>
      </w:r>
      <w:r w:rsidRPr="00635562">
        <w:tab/>
        <w:t>Combustible substances as referred to in paragraph 39.4 include also inorganic substances that can be oxidized, e.g. elemental sulphur. For organic substances the content of combustibles is calculated as carbon.</w:t>
      </w:r>
    </w:p>
    <w:p w14:paraId="21CC87C1" w14:textId="54CD1724" w:rsidR="00E74876" w:rsidRPr="00635562" w:rsidRDefault="00E74876" w:rsidP="00E74876">
      <w:pPr>
        <w:pStyle w:val="SingleTxtG"/>
      </w:pPr>
      <w:r w:rsidRPr="00635562">
        <w:t>39.3.5</w:t>
      </w:r>
      <w:r w:rsidRPr="00635562">
        <w:tab/>
        <w:t xml:space="preserve">Materials that may be incompatible with ammonium nitrate include urea, acids, superphosphates with free acid, elemental sulphur, sulphides and most transition metals, including heavy metals (e.g. copper), and chlorides. Note however that this listing is not exhaustive. </w:t>
      </w:r>
    </w:p>
    <w:p w14:paraId="3E80C8B6" w14:textId="77777777" w:rsidR="00E74876" w:rsidRPr="00635562" w:rsidRDefault="00E74876" w:rsidP="00E74876">
      <w:pPr>
        <w:pStyle w:val="H23G"/>
      </w:pPr>
      <w:r w:rsidRPr="00635562">
        <w:tab/>
      </w:r>
      <w:r w:rsidRPr="00635562">
        <w:tab/>
        <w:t xml:space="preserve">39.4 </w:t>
      </w:r>
      <w:r w:rsidRPr="00635562">
        <w:tab/>
        <w:t>Classification procedure</w:t>
      </w:r>
    </w:p>
    <w:p w14:paraId="6DA0C089" w14:textId="77777777" w:rsidR="00E74876" w:rsidRPr="00635562" w:rsidRDefault="00E74876" w:rsidP="00E74876">
      <w:pPr>
        <w:pStyle w:val="SingleTxtG"/>
      </w:pPr>
      <w:r w:rsidRPr="00635562">
        <w:t>39.4.1</w:t>
      </w:r>
      <w:r w:rsidRPr="00635562">
        <w:tab/>
        <w:t>Solid ammonium nitrate based fertilizers are classified on the basis of their composition and experience and knowledge of their hazardous behaviour. Occasionally, the classification is complemented by testing for the ability to undergo self-sustaining decomposition or for explosive properties. These principles are condensed in the flowchart in 39.5.</w:t>
      </w:r>
    </w:p>
    <w:p w14:paraId="4B07407B" w14:textId="77777777" w:rsidR="00E74876" w:rsidRPr="00635562" w:rsidRDefault="00E74876" w:rsidP="00E74876">
      <w:pPr>
        <w:pStyle w:val="SingleTxtG"/>
      </w:pPr>
      <w:r w:rsidRPr="00635562">
        <w:t>39.4.2</w:t>
      </w:r>
      <w:r w:rsidRPr="00635562">
        <w:tab/>
        <w:t xml:space="preserve">UN No. 2067 may only be used for ammonium nitrate based fertilizers that do not show explosive properties when tested in accordance with Test Series 2 of this Manual. </w:t>
      </w:r>
    </w:p>
    <w:p w14:paraId="70417A22" w14:textId="5E7BA1CE" w:rsidR="00E74876" w:rsidRPr="00635562" w:rsidRDefault="00E74876" w:rsidP="00E74876">
      <w:pPr>
        <w:pStyle w:val="SingleTxtG"/>
      </w:pPr>
      <w:r w:rsidRPr="00635562">
        <w:t>39.4.3</w:t>
      </w:r>
      <w:r w:rsidRPr="00635562">
        <w:tab/>
        <w:t>Ammonium nitrate based fertilizers that do not fulfil the requirements for classification as UN No. 2067, can be assigned another suitable UN number in Class 1 or Class 5, Division 5.1, provided that the suitability for transport is demonstrated and this is approved by the competent authority. This may for instance be when contamination has occurred in e.g. an accident, so that the fertilizer can be transported under a suitable UN number e.g. in Class 1 as approved by the competent authority.</w:t>
      </w:r>
    </w:p>
    <w:p w14:paraId="1AF7672F" w14:textId="77777777" w:rsidR="00E74876" w:rsidRPr="00635562" w:rsidRDefault="00E74876" w:rsidP="00E74876">
      <w:pPr>
        <w:pStyle w:val="SingleTxtG"/>
      </w:pPr>
      <w:r w:rsidRPr="00635562">
        <w:t>39.4.4</w:t>
      </w:r>
      <w:r w:rsidRPr="00635562">
        <w:tab/>
        <w:t>Ammonium nitrate based fertilizers that meet composition limits relevant for inclusion in the class of Explosives as set out in 39.5 shall be classified in that class regardless of the results when tested in accordance with Test Series 2 of this Manual.</w:t>
      </w:r>
    </w:p>
    <w:p w14:paraId="203E413B" w14:textId="77777777" w:rsidR="00E74876" w:rsidRPr="00635562" w:rsidRDefault="00E74876" w:rsidP="00E74876">
      <w:pPr>
        <w:pStyle w:val="SingleTxtG"/>
      </w:pPr>
      <w:r w:rsidRPr="00635562">
        <w:t>39.4.5</w:t>
      </w:r>
      <w:r w:rsidRPr="00635562">
        <w:tab/>
        <w:t xml:space="preserve"> Ammonium nitrate based fertilizers that meet composition limits relevant for classification as oxidizing solids as set out in 39.5, or are otherwise classified as oxidizing solids, shall not be exempted from that classification on the basis of the results from tests O.1 and/or O.3 in Section 34 of this Manual. See also paragraph 34.3.1 in Section 34 of this Manual.</w:t>
      </w:r>
    </w:p>
    <w:p w14:paraId="0F592F08" w14:textId="77777777" w:rsidR="00E74876" w:rsidRPr="00635562" w:rsidRDefault="00E74876" w:rsidP="00E74876">
      <w:pPr>
        <w:pStyle w:val="SingleTxtG"/>
      </w:pPr>
      <w:r w:rsidRPr="00635562">
        <w:lastRenderedPageBreak/>
        <w:t xml:space="preserve">39.4.6 </w:t>
      </w:r>
      <w:r w:rsidRPr="00635562">
        <w:tab/>
        <w:t xml:space="preserve">Fertilizers that contain 70 % or more ammonium nitrate shall not contain ammonium sulphate as nutrient, unless they are compound fertilizers with less than 90% ammonium nitrate and with at least 10% inorganic materials excluding ammonium nitrate and ammonium sulphate. </w:t>
      </w:r>
    </w:p>
    <w:p w14:paraId="6B6DFB07" w14:textId="77777777" w:rsidR="00E74876" w:rsidRPr="00635562" w:rsidRDefault="00E74876" w:rsidP="00E74876">
      <w:pPr>
        <w:pStyle w:val="SingleTxtG"/>
      </w:pPr>
      <w:r w:rsidRPr="00635562">
        <w:t>39.4.7</w:t>
      </w:r>
      <w:r w:rsidRPr="00635562">
        <w:tab/>
        <w:t>Compound fertilizers that meet the composition limits relevant for potential inclusion for transport in Class 9 shall be tested for their capability to undergo self-sustaining decomposition according to the method given in paragraph 38.2.4 of this Manual (test S.1, trough test) and classified according to criteria given there and in 39.5.</w:t>
      </w:r>
    </w:p>
    <w:p w14:paraId="5475CE6A" w14:textId="77777777" w:rsidR="00E74876" w:rsidRPr="00635562" w:rsidRDefault="00E74876" w:rsidP="00E74876">
      <w:pPr>
        <w:pStyle w:val="H23G"/>
      </w:pPr>
      <w:r w:rsidRPr="00635562">
        <w:tab/>
      </w:r>
      <w:r w:rsidRPr="00635562">
        <w:tab/>
        <w:t xml:space="preserve">39.5 </w:t>
      </w:r>
      <w:r w:rsidRPr="00635562">
        <w:tab/>
        <w:t>Classification criteria</w:t>
      </w:r>
    </w:p>
    <w:p w14:paraId="467C8F0D" w14:textId="77777777" w:rsidR="00E74876" w:rsidRPr="00635562" w:rsidRDefault="00E74876" w:rsidP="00E74876">
      <w:pPr>
        <w:pStyle w:val="SingleTxtG"/>
        <w:rPr>
          <w:b/>
        </w:rPr>
      </w:pPr>
      <w:r w:rsidRPr="00635562">
        <w:t>39.5.1</w:t>
      </w:r>
      <w:r w:rsidRPr="00635562">
        <w:tab/>
        <w:t>Ammonium nitrate based fertilizers shall be classified in accordance with the flowchart below.</w:t>
      </w:r>
    </w:p>
    <w:p w14:paraId="45A0E0CA" w14:textId="794CDF21" w:rsidR="00802F85" w:rsidRPr="00635562" w:rsidRDefault="00802F85" w:rsidP="00802F85">
      <w:pPr>
        <w:pStyle w:val="H23G"/>
      </w:pPr>
      <w:r w:rsidRPr="00635562">
        <w:tab/>
      </w:r>
      <w:r w:rsidRPr="00635562">
        <w:tab/>
        <w:t>Figure 39.1 (a)</w:t>
      </w:r>
    </w:p>
    <w:p w14:paraId="1518FFFC" w14:textId="50B56E62" w:rsidR="00802F85" w:rsidRPr="00635562" w:rsidRDefault="00D17200" w:rsidP="00802F85">
      <w:pPr>
        <w:jc w:val="center"/>
      </w:pPr>
      <w:r w:rsidRPr="00635562">
        <w:object w:dxaOrig="8461" w:dyaOrig="8790" w14:anchorId="5B587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440.15pt" o:ole="">
            <v:imagedata r:id="rId13" o:title=""/>
          </v:shape>
          <o:OLEObject Type="Embed" ProgID="Visio.Drawing.15" ShapeID="_x0000_i1025" DrawAspect="Content" ObjectID="_1551786831" r:id="rId14"/>
        </w:object>
      </w:r>
    </w:p>
    <w:p w14:paraId="7A9C5B49" w14:textId="5010098C" w:rsidR="00802F85" w:rsidRPr="00635562" w:rsidRDefault="00802F85" w:rsidP="00802F85">
      <w:pPr>
        <w:pStyle w:val="H23G"/>
      </w:pPr>
      <w:r w:rsidRPr="00635562">
        <w:lastRenderedPageBreak/>
        <w:tab/>
      </w:r>
      <w:r w:rsidRPr="00635562">
        <w:tab/>
        <w:t>Figure 39.1 (b)</w:t>
      </w:r>
    </w:p>
    <w:p w14:paraId="124B29D0" w14:textId="1FC08923" w:rsidR="00802F85" w:rsidRPr="00635562" w:rsidRDefault="00D17200" w:rsidP="00802F85">
      <w:pPr>
        <w:jc w:val="center"/>
      </w:pPr>
      <w:r w:rsidRPr="00635562">
        <w:object w:dxaOrig="10290" w:dyaOrig="10875" w14:anchorId="72D843B7">
          <v:shape id="_x0000_i1026" type="#_x0000_t75" style="width:468pt;height:495pt" o:ole="">
            <v:imagedata r:id="rId15" o:title=""/>
          </v:shape>
          <o:OLEObject Type="Embed" ProgID="Visio.Drawing.15" ShapeID="_x0000_i1026" DrawAspect="Content" ObjectID="_1551786832" r:id="rId16"/>
        </w:object>
      </w:r>
    </w:p>
    <w:p w14:paraId="73579D2C" w14:textId="197D17A7" w:rsidR="00802F85" w:rsidRPr="00635562" w:rsidRDefault="00802F85" w:rsidP="00802F85">
      <w:pPr>
        <w:pStyle w:val="H23G"/>
      </w:pPr>
      <w:r w:rsidRPr="00635562">
        <w:lastRenderedPageBreak/>
        <w:tab/>
      </w:r>
      <w:r w:rsidRPr="00635562">
        <w:tab/>
        <w:t>Figure 39.1 (c)</w:t>
      </w:r>
    </w:p>
    <w:p w14:paraId="6F01221B" w14:textId="2E80D353" w:rsidR="00802F85" w:rsidRPr="00635562" w:rsidRDefault="009366FD" w:rsidP="00802F85">
      <w:pPr>
        <w:jc w:val="center"/>
      </w:pPr>
      <w:r w:rsidRPr="00635562">
        <w:object w:dxaOrig="9571" w:dyaOrig="13771" w14:anchorId="145F3B90">
          <v:shape id="_x0000_i1027" type="#_x0000_t75" style="width:424.3pt;height:609.85pt" o:ole="">
            <v:imagedata r:id="rId17" o:title=""/>
          </v:shape>
          <o:OLEObject Type="Embed" ProgID="Visio.Drawing.15" ShapeID="_x0000_i1027" DrawAspect="Content" ObjectID="_1551786833" r:id="rId18"/>
        </w:object>
      </w:r>
    </w:p>
    <w:p w14:paraId="1EFBF691" w14:textId="54A7D4F0" w:rsidR="00E74876" w:rsidRPr="00635562" w:rsidRDefault="00426C5D" w:rsidP="00E74876">
      <w:pPr>
        <w:pStyle w:val="SingleTxtG"/>
        <w:rPr>
          <w:b/>
        </w:rPr>
      </w:pPr>
      <w:r w:rsidRPr="00635562">
        <w:rPr>
          <w:b/>
        </w:rPr>
        <w:t>”.</w:t>
      </w:r>
    </w:p>
    <w:p w14:paraId="2D79400C" w14:textId="77777777" w:rsidR="0040205D" w:rsidRPr="00635562" w:rsidRDefault="00D83A1B" w:rsidP="00635562">
      <w:pPr>
        <w:pStyle w:val="HChG"/>
      </w:pPr>
      <w:r w:rsidRPr="00635562">
        <w:lastRenderedPageBreak/>
        <w:tab/>
      </w:r>
      <w:r w:rsidRPr="00635562">
        <w:tab/>
      </w:r>
      <w:r w:rsidR="0040205D" w:rsidRPr="00635562">
        <w:t>Section 51</w:t>
      </w:r>
    </w:p>
    <w:p w14:paraId="73ED32AD" w14:textId="2E03DE30" w:rsidR="005565B8" w:rsidRPr="00635562" w:rsidRDefault="005565B8" w:rsidP="0040205D">
      <w:pPr>
        <w:spacing w:before="120" w:after="120" w:line="240" w:lineRule="auto"/>
        <w:ind w:left="1134" w:right="1134"/>
        <w:jc w:val="both"/>
      </w:pPr>
      <w:r w:rsidRPr="00635562">
        <w:t>51.2.2</w:t>
      </w:r>
      <w:r w:rsidRPr="00635562">
        <w:tab/>
        <w:t>Amend the introductory sentence to read as follows: “Any explosive while in a desensitized state shall be considered in this class unless, in that state:</w:t>
      </w:r>
      <w:proofErr w:type="gramStart"/>
      <w:r w:rsidRPr="00635562">
        <w:t>”.</w:t>
      </w:r>
      <w:proofErr w:type="gramEnd"/>
    </w:p>
    <w:p w14:paraId="15193D38" w14:textId="0E0BC0B9" w:rsidR="0040205D" w:rsidRPr="00635562" w:rsidRDefault="0040205D" w:rsidP="0040205D">
      <w:pPr>
        <w:spacing w:before="120" w:after="120" w:line="240" w:lineRule="auto"/>
        <w:ind w:left="1134" w:right="1134"/>
        <w:jc w:val="both"/>
      </w:pPr>
      <w:r w:rsidRPr="00635562">
        <w:t>51.2.2 (</w:t>
      </w:r>
      <w:proofErr w:type="gramStart"/>
      <w:r w:rsidRPr="00635562">
        <w:t>a</w:t>
      </w:r>
      <w:proofErr w:type="gramEnd"/>
      <w:r w:rsidRPr="00635562">
        <w:t>)</w:t>
      </w:r>
      <w:r w:rsidRPr="00635562">
        <w:tab/>
        <w:t>Amend to read as follows:</w:t>
      </w:r>
    </w:p>
    <w:p w14:paraId="044E4804" w14:textId="0080A3B3" w:rsidR="0040205D" w:rsidRPr="00635562" w:rsidRDefault="0040205D" w:rsidP="0040205D">
      <w:pPr>
        <w:spacing w:before="120" w:after="120" w:line="240" w:lineRule="auto"/>
        <w:ind w:left="1134" w:right="1134"/>
        <w:jc w:val="both"/>
      </w:pPr>
      <w:r w:rsidRPr="00635562">
        <w:t>“(</w:t>
      </w:r>
      <w:proofErr w:type="gramStart"/>
      <w:r w:rsidRPr="00635562">
        <w:t>a</w:t>
      </w:r>
      <w:proofErr w:type="gramEnd"/>
      <w:r w:rsidRPr="00635562">
        <w:t>)</w:t>
      </w:r>
      <w:r w:rsidRPr="00635562">
        <w:tab/>
      </w:r>
      <w:r w:rsidR="00FF0F25" w:rsidRPr="00635562">
        <w:t xml:space="preserve"> It is intended to produce a practical explosive or pyrotechnic effect;</w:t>
      </w:r>
      <w:r w:rsidRPr="00635562">
        <w:t xml:space="preserve">”. </w:t>
      </w:r>
    </w:p>
    <w:p w14:paraId="100CA32C" w14:textId="11EF10C2" w:rsidR="00DC663F" w:rsidRPr="00635562" w:rsidRDefault="00DC663F" w:rsidP="00DC663F">
      <w:pPr>
        <w:spacing w:before="120" w:after="120" w:line="240" w:lineRule="auto"/>
        <w:ind w:left="1134" w:right="1134"/>
        <w:jc w:val="both"/>
      </w:pPr>
      <w:r w:rsidRPr="00635562">
        <w:t>51.2.2 (b)</w:t>
      </w:r>
      <w:r w:rsidRPr="00635562">
        <w:tab/>
        <w:t xml:space="preserve">In sub-paragraph (b), replace “They have a mass explosion hazard” </w:t>
      </w:r>
      <w:r w:rsidR="00762B3E" w:rsidRPr="00635562">
        <w:t xml:space="preserve">by </w:t>
      </w:r>
      <w:r w:rsidRPr="00635562">
        <w:t xml:space="preserve">“It has a mass explosion hazard” and “their corrected burning rate” </w:t>
      </w:r>
      <w:r w:rsidR="00762B3E" w:rsidRPr="00635562">
        <w:t xml:space="preserve">by </w:t>
      </w:r>
      <w:r w:rsidRPr="00635562">
        <w:t>“the corrected burning rate”.</w:t>
      </w:r>
    </w:p>
    <w:p w14:paraId="587D4670" w14:textId="77777777" w:rsidR="0040205D" w:rsidRPr="00635562" w:rsidRDefault="0040205D" w:rsidP="00DC663F">
      <w:pPr>
        <w:spacing w:before="120" w:after="120" w:line="240" w:lineRule="auto"/>
        <w:ind w:left="1134" w:right="1134"/>
        <w:jc w:val="both"/>
      </w:pPr>
      <w:r w:rsidRPr="00635562">
        <w:t xml:space="preserve">51.2.2 (c) </w:t>
      </w:r>
      <w:r w:rsidRPr="00635562">
        <w:tab/>
        <w:t xml:space="preserve">Replace “Their exothermic” by “The exothermic”. </w:t>
      </w:r>
    </w:p>
    <w:p w14:paraId="5D411B7E" w14:textId="129C9FA3" w:rsidR="00FF0F25" w:rsidRPr="00635562" w:rsidRDefault="00FF0F25" w:rsidP="00635562">
      <w:pPr>
        <w:pStyle w:val="HChG"/>
      </w:pPr>
      <w:r w:rsidRPr="00635562">
        <w:tab/>
      </w:r>
      <w:r w:rsidRPr="00635562">
        <w:tab/>
        <w:t>Appendix 4</w:t>
      </w:r>
    </w:p>
    <w:p w14:paraId="25C8A12B" w14:textId="77777777" w:rsidR="00FF0F25" w:rsidRPr="00635562" w:rsidRDefault="00FF0F25" w:rsidP="00FF0F25">
      <w:pPr>
        <w:pStyle w:val="SingleTxtG"/>
      </w:pPr>
      <w:r w:rsidRPr="00635562">
        <w:t>In the column “Address”:</w:t>
      </w:r>
    </w:p>
    <w:p w14:paraId="1CDBB3C8" w14:textId="4B6E42ED" w:rsidR="00FF0F25" w:rsidRPr="00635562" w:rsidRDefault="00FF0F25" w:rsidP="00FF0F25">
      <w:pPr>
        <w:pStyle w:val="SingleTxtG"/>
      </w:pPr>
      <w:r w:rsidRPr="00635562">
        <w:t>-</w:t>
      </w:r>
      <w:r w:rsidRPr="00635562">
        <w:tab/>
        <w:t>For France, replace “INERIS/LSE” with “INERIS/CERT”</w:t>
      </w:r>
    </w:p>
    <w:p w14:paraId="338CCC3C" w14:textId="61B93EF8" w:rsidR="00FF0F25" w:rsidRPr="00635562" w:rsidRDefault="00FF0F25" w:rsidP="00FF0F25">
      <w:pPr>
        <w:pStyle w:val="SingleTxtG"/>
      </w:pPr>
      <w:r w:rsidRPr="00635562">
        <w:t>-</w:t>
      </w:r>
      <w:r w:rsidRPr="00635562">
        <w:tab/>
        <w:t>For Germany, delete “</w:t>
      </w:r>
      <w:proofErr w:type="spellStart"/>
      <w:r w:rsidRPr="00635562">
        <w:t>Abteilung</w:t>
      </w:r>
      <w:proofErr w:type="spellEnd"/>
      <w:r w:rsidRPr="00635562">
        <w:t xml:space="preserve"> II” and insert “</w:t>
      </w:r>
      <w:proofErr w:type="spellStart"/>
      <w:r w:rsidRPr="00635562">
        <w:t>Abteilung</w:t>
      </w:r>
      <w:proofErr w:type="spellEnd"/>
      <w:r w:rsidRPr="00635562">
        <w:t xml:space="preserve"> 2” under “</w:t>
      </w:r>
      <w:proofErr w:type="spellStart"/>
      <w:r w:rsidRPr="00635562">
        <w:t>Bundesanstalt</w:t>
      </w:r>
      <w:proofErr w:type="spellEnd"/>
      <w:r w:rsidRPr="00635562">
        <w:t xml:space="preserve"> …”</w:t>
      </w:r>
    </w:p>
    <w:p w14:paraId="3B83E5B3" w14:textId="7A869362" w:rsidR="00FF0F25" w:rsidRPr="00635562" w:rsidRDefault="00FF0F25" w:rsidP="00FF0F25">
      <w:pPr>
        <w:pStyle w:val="SingleTxtG"/>
      </w:pPr>
      <w:r w:rsidRPr="00635562">
        <w:t>-</w:t>
      </w:r>
      <w:r w:rsidRPr="00635562">
        <w:tab/>
        <w:t>For the Netherlands, delete “</w:t>
      </w:r>
      <w:proofErr w:type="spellStart"/>
      <w:r w:rsidRPr="00635562">
        <w:t>Prins</w:t>
      </w:r>
      <w:proofErr w:type="spellEnd"/>
      <w:r w:rsidRPr="00635562">
        <w:t xml:space="preserve"> </w:t>
      </w:r>
      <w:proofErr w:type="spellStart"/>
      <w:r w:rsidRPr="00635562">
        <w:t>Maurits</w:t>
      </w:r>
      <w:proofErr w:type="spellEnd"/>
      <w:r w:rsidRPr="00635562">
        <w:t xml:space="preserve"> Laboratory”</w:t>
      </w:r>
    </w:p>
    <w:p w14:paraId="4E0FDDF1" w14:textId="2B58CD4A" w:rsidR="00FF0F25" w:rsidRPr="00635562" w:rsidRDefault="00FF0F25" w:rsidP="00FF0F25">
      <w:pPr>
        <w:pStyle w:val="SingleTxtG"/>
      </w:pPr>
      <w:r w:rsidRPr="00635562">
        <w:t>-</w:t>
      </w:r>
      <w:r w:rsidRPr="00635562">
        <w:tab/>
        <w:t xml:space="preserve">For Japan, replace the address with the following: </w:t>
      </w:r>
    </w:p>
    <w:p w14:paraId="3EED9A4F" w14:textId="0D129C1A" w:rsidR="00FF0F25" w:rsidRPr="00635562" w:rsidRDefault="00FF0F25" w:rsidP="00FF0F25">
      <w:pPr>
        <w:pStyle w:val="SingleTxtG"/>
        <w:ind w:left="1701"/>
        <w:jc w:val="left"/>
      </w:pPr>
      <w:r w:rsidRPr="00635562">
        <w:t xml:space="preserve">“Physical &amp; Chemical Analysis </w:t>
      </w:r>
      <w:proofErr w:type="spellStart"/>
      <w:r w:rsidRPr="00635562">
        <w:t>Center</w:t>
      </w:r>
      <w:proofErr w:type="spellEnd"/>
      <w:r w:rsidRPr="00635562">
        <w:br/>
        <w:t xml:space="preserve">Nippon </w:t>
      </w:r>
      <w:proofErr w:type="spellStart"/>
      <w:r w:rsidRPr="00635562">
        <w:t>Kaiji</w:t>
      </w:r>
      <w:proofErr w:type="spellEnd"/>
      <w:r w:rsidRPr="00635562">
        <w:t xml:space="preserve"> </w:t>
      </w:r>
      <w:proofErr w:type="spellStart"/>
      <w:r w:rsidRPr="00635562">
        <w:t>Kentei</w:t>
      </w:r>
      <w:proofErr w:type="spellEnd"/>
      <w:r w:rsidRPr="00635562">
        <w:t xml:space="preserve"> </w:t>
      </w:r>
      <w:proofErr w:type="spellStart"/>
      <w:r w:rsidRPr="00635562">
        <w:t>Kyokai</w:t>
      </w:r>
      <w:proofErr w:type="spellEnd"/>
      <w:r w:rsidRPr="00635562">
        <w:t xml:space="preserve"> (NKKK</w:t>
      </w:r>
      <w:proofErr w:type="gramStart"/>
      <w:r w:rsidRPr="00635562">
        <w:t>)</w:t>
      </w:r>
      <w:proofErr w:type="gramEnd"/>
      <w:r w:rsidRPr="00635562">
        <w:br/>
        <w:t xml:space="preserve">1-14-2 </w:t>
      </w:r>
      <w:proofErr w:type="spellStart"/>
      <w:r w:rsidRPr="00635562">
        <w:t>Sachiura</w:t>
      </w:r>
      <w:proofErr w:type="spellEnd"/>
      <w:r w:rsidRPr="00635562">
        <w:t>, Kanazawa-</w:t>
      </w:r>
      <w:proofErr w:type="spellStart"/>
      <w:r w:rsidRPr="00635562">
        <w:t>ku</w:t>
      </w:r>
      <w:proofErr w:type="spellEnd"/>
      <w:r w:rsidRPr="00635562">
        <w:br/>
        <w:t>Yokohama 236-0003, Japan”</w:t>
      </w:r>
    </w:p>
    <w:p w14:paraId="3C45A66F" w14:textId="79E34646" w:rsidR="00FF0F25" w:rsidRPr="00635562" w:rsidRDefault="00FF0F25" w:rsidP="00FF0F25">
      <w:pPr>
        <w:pStyle w:val="SingleTxtG"/>
        <w:numPr>
          <w:ilvl w:val="0"/>
          <w:numId w:val="19"/>
        </w:numPr>
      </w:pPr>
      <w:r w:rsidRPr="00635562">
        <w:t>For Spain, replace the address with the following:</w:t>
      </w:r>
    </w:p>
    <w:p w14:paraId="387F468D" w14:textId="107D3BA6" w:rsidR="00FF0F25" w:rsidRPr="00635562" w:rsidRDefault="00FF0F25" w:rsidP="00FF0F25">
      <w:pPr>
        <w:pStyle w:val="SingleTxtG"/>
        <w:ind w:left="1701"/>
        <w:jc w:val="left"/>
      </w:pPr>
      <w:r w:rsidRPr="00635562">
        <w:t>“</w:t>
      </w:r>
      <w:proofErr w:type="spellStart"/>
      <w:r w:rsidRPr="00635562">
        <w:t>Laboratorio</w:t>
      </w:r>
      <w:proofErr w:type="spellEnd"/>
      <w:r w:rsidRPr="00635562">
        <w:t xml:space="preserve"> </w:t>
      </w:r>
      <w:proofErr w:type="spellStart"/>
      <w:r w:rsidRPr="00635562">
        <w:t>Oficial</w:t>
      </w:r>
      <w:proofErr w:type="spellEnd"/>
      <w:r w:rsidRPr="00635562">
        <w:t xml:space="preserve"> J.M. </w:t>
      </w:r>
      <w:proofErr w:type="spellStart"/>
      <w:r w:rsidRPr="00635562">
        <w:t>Madariaga</w:t>
      </w:r>
      <w:proofErr w:type="spellEnd"/>
      <w:r w:rsidRPr="00635562">
        <w:t xml:space="preserve"> (LOM) </w:t>
      </w:r>
      <w:r w:rsidRPr="00635562">
        <w:br/>
        <w:t xml:space="preserve">Erik </w:t>
      </w:r>
      <w:proofErr w:type="spellStart"/>
      <w:r w:rsidRPr="00635562">
        <w:t>Kandel</w:t>
      </w:r>
      <w:proofErr w:type="spellEnd"/>
      <w:r w:rsidRPr="00635562">
        <w:t>, 1 (</w:t>
      </w:r>
      <w:proofErr w:type="spellStart"/>
      <w:r w:rsidRPr="00635562">
        <w:t>Tecnogetafe</w:t>
      </w:r>
      <w:proofErr w:type="spellEnd"/>
      <w:r w:rsidRPr="00635562">
        <w:t xml:space="preserve">) </w:t>
      </w:r>
      <w:r w:rsidRPr="00635562">
        <w:br/>
        <w:t xml:space="preserve">E-28906 Getafe (Madrid) </w:t>
      </w:r>
      <w:r w:rsidRPr="00635562">
        <w:br/>
        <w:t>Spain”</w:t>
      </w:r>
    </w:p>
    <w:p w14:paraId="05C25DE7" w14:textId="2D8D17B5" w:rsidR="00FF0F25" w:rsidRPr="00635562" w:rsidRDefault="00FF0F25" w:rsidP="00FF0F25">
      <w:pPr>
        <w:pStyle w:val="SingleTxtG"/>
        <w:numPr>
          <w:ilvl w:val="0"/>
          <w:numId w:val="19"/>
        </w:numPr>
      </w:pPr>
      <w:r w:rsidRPr="00635562">
        <w:t>For Sweden, replace the address with the following:</w:t>
      </w:r>
    </w:p>
    <w:p w14:paraId="5AB42AC7" w14:textId="415B88A1" w:rsidR="00FF0F25" w:rsidRPr="00635562" w:rsidRDefault="00FF0F25" w:rsidP="00FF0F25">
      <w:pPr>
        <w:pStyle w:val="SingleTxtG"/>
        <w:ind w:left="1701"/>
        <w:jc w:val="left"/>
      </w:pPr>
      <w:r w:rsidRPr="00635562">
        <w:t>“Swedish Civil Contingencies Agency</w:t>
      </w:r>
      <w:r w:rsidRPr="00635562">
        <w:br/>
        <w:t>Section for the Safe Handling of Hazardous Substances</w:t>
      </w:r>
      <w:r w:rsidRPr="00635562">
        <w:br/>
        <w:t>S-651 81 Karlstad</w:t>
      </w:r>
      <w:r w:rsidRPr="00635562">
        <w:br/>
        <w:t>Sweden”</w:t>
      </w:r>
    </w:p>
    <w:p w14:paraId="4CDA07C2" w14:textId="5CB3CFC5" w:rsidR="00FF0F25" w:rsidRPr="00635562" w:rsidRDefault="00FF0F25" w:rsidP="00FF0F25">
      <w:pPr>
        <w:pStyle w:val="SingleTxtG"/>
        <w:numPr>
          <w:ilvl w:val="0"/>
          <w:numId w:val="19"/>
        </w:numPr>
      </w:pPr>
      <w:r w:rsidRPr="00635562">
        <w:t>For the United States of America, replace the address with the following:</w:t>
      </w:r>
      <w:r w:rsidRPr="00635562" w:rsidDel="00F97B46">
        <w:t xml:space="preserve"> </w:t>
      </w:r>
    </w:p>
    <w:p w14:paraId="7BF99E63" w14:textId="4B215CA5" w:rsidR="00FF0F25" w:rsidRPr="00635562" w:rsidRDefault="00FF0F25" w:rsidP="00FF0F25">
      <w:pPr>
        <w:pStyle w:val="SingleTxtG"/>
        <w:ind w:left="1494"/>
        <w:jc w:val="left"/>
      </w:pPr>
      <w:r w:rsidRPr="00635562">
        <w:t>“Associate Administrator for Hazardous Materials Safety</w:t>
      </w:r>
      <w:r w:rsidRPr="00635562">
        <w:br/>
        <w:t>Pipeline and Hazardous Materials Safety Administration</w:t>
      </w:r>
      <w:r w:rsidRPr="00635562">
        <w:br/>
        <w:t>US Department of Transportation</w:t>
      </w:r>
      <w:r w:rsidRPr="00635562">
        <w:br/>
        <w:t>1200 New Jersey Avenue, SE</w:t>
      </w:r>
      <w:r w:rsidRPr="00635562">
        <w:br/>
        <w:t>Washington, D.C. 20590</w:t>
      </w:r>
      <w:r w:rsidRPr="00635562">
        <w:br/>
        <w:t>USA”.</w:t>
      </w:r>
    </w:p>
    <w:p w14:paraId="7F0F4468" w14:textId="63FD0AC6" w:rsidR="00CB59EA" w:rsidRPr="00635562" w:rsidRDefault="00CB59EA" w:rsidP="00635562">
      <w:pPr>
        <w:pStyle w:val="HChG"/>
      </w:pPr>
      <w:r w:rsidRPr="00635562">
        <w:lastRenderedPageBreak/>
        <w:tab/>
      </w:r>
      <w:r w:rsidRPr="00635562">
        <w:tab/>
        <w:t>Appendix 5</w:t>
      </w:r>
    </w:p>
    <w:p w14:paraId="788C8726" w14:textId="04A7B2E2" w:rsidR="00CB59EA" w:rsidRPr="00635562" w:rsidRDefault="00CB59EA" w:rsidP="00CB59EA">
      <w:pPr>
        <w:pStyle w:val="SingleTxtG"/>
      </w:pPr>
      <w:r w:rsidRPr="00635562">
        <w:t>Section 2</w:t>
      </w:r>
      <w:r w:rsidRPr="00635562">
        <w:tab/>
        <w:t>At the end of the 7th sentence (“Usually, the bursting pressure...”) replace “transport” by “operating”. At the end of the 8th sentence (“The 10 l vessel…”) delete “as to be used in transport”.</w:t>
      </w:r>
    </w:p>
    <w:p w14:paraId="3634978F" w14:textId="29A45E91" w:rsidR="0040205D" w:rsidRPr="00635562" w:rsidRDefault="00BA6FD2" w:rsidP="00635562">
      <w:pPr>
        <w:pStyle w:val="HChG"/>
      </w:pPr>
      <w:r w:rsidRPr="00635562">
        <w:tab/>
      </w:r>
      <w:r w:rsidRPr="00635562">
        <w:tab/>
      </w:r>
      <w:r w:rsidR="0040205D" w:rsidRPr="00635562">
        <w:t>Appendix 6</w:t>
      </w:r>
    </w:p>
    <w:p w14:paraId="538328B3" w14:textId="77777777" w:rsidR="00CB59EA" w:rsidRPr="00635562" w:rsidRDefault="00CB59EA" w:rsidP="00CB59EA">
      <w:pPr>
        <w:pStyle w:val="SingleTxtG"/>
      </w:pPr>
      <w:r w:rsidRPr="00635562">
        <w:t>2.1</w:t>
      </w:r>
      <w:r w:rsidRPr="00635562">
        <w:tab/>
        <w:t xml:space="preserve">In the first sentence, replace “a new substance” with “new substances” and offered for transport” with “offered for classification”. </w:t>
      </w:r>
    </w:p>
    <w:p w14:paraId="71613177" w14:textId="5FD0C38D" w:rsidR="00CB59EA" w:rsidRPr="00635562" w:rsidRDefault="00CB59EA" w:rsidP="00CB59EA">
      <w:pPr>
        <w:pStyle w:val="SingleTxtG"/>
      </w:pPr>
      <w:r w:rsidRPr="00635562">
        <w:t>2.2</w:t>
      </w:r>
      <w:r w:rsidRPr="00635562">
        <w:tab/>
        <w:t xml:space="preserve">At the end of the first sentence insert: “taking into account their physical state, e.g. for solid </w:t>
      </w:r>
      <w:proofErr w:type="spellStart"/>
      <w:r w:rsidRPr="00635562">
        <w:t>nanomaterials</w:t>
      </w:r>
      <w:proofErr w:type="spellEnd"/>
      <w:r w:rsidRPr="00635562">
        <w:t xml:space="preserve">”. </w:t>
      </w:r>
      <w:proofErr w:type="gramStart"/>
      <w:r w:rsidRPr="00635562">
        <w:t>In the second sentence delete “during transport”.</w:t>
      </w:r>
      <w:proofErr w:type="gramEnd"/>
      <w:r w:rsidRPr="00635562">
        <w:t xml:space="preserve"> Add a new sentence at the end to read as follows: “Some potentially corrosive materials may not be corrosive when solid but may liquefy during normal operating conditions. Judgement needs to be applied in such cases to determine the need or otherwise for testing and classification.</w:t>
      </w:r>
      <w:proofErr w:type="gramStart"/>
      <w:r w:rsidRPr="00635562">
        <w:t>”.</w:t>
      </w:r>
      <w:proofErr w:type="gramEnd"/>
    </w:p>
    <w:p w14:paraId="70D49C8D" w14:textId="1C1BCBAB" w:rsidR="0040205D" w:rsidRPr="00635562" w:rsidRDefault="0040205D" w:rsidP="00CB59EA">
      <w:pPr>
        <w:pStyle w:val="SingleTxtG"/>
      </w:pPr>
      <w:r w:rsidRPr="00635562">
        <w:rPr>
          <w:bCs/>
        </w:rPr>
        <w:t>A</w:t>
      </w:r>
      <w:r w:rsidRPr="00635562">
        <w:t xml:space="preserve">mend </w:t>
      </w:r>
      <w:r w:rsidRPr="00635562">
        <w:rPr>
          <w:bCs/>
        </w:rPr>
        <w:t>section 2.3</w:t>
      </w:r>
      <w:r w:rsidRPr="00635562">
        <w:rPr>
          <w:b/>
        </w:rPr>
        <w:t xml:space="preserve"> </w:t>
      </w:r>
      <w:r w:rsidRPr="00635562">
        <w:t>to read as follows:</w:t>
      </w:r>
    </w:p>
    <w:p w14:paraId="2786D2AC" w14:textId="77777777" w:rsidR="0040205D" w:rsidRPr="00635562" w:rsidRDefault="0040205D" w:rsidP="0040205D">
      <w:pPr>
        <w:pStyle w:val="SingleTxtG"/>
        <w:ind w:right="1719"/>
      </w:pPr>
      <w:r w:rsidRPr="00635562">
        <w:t>“2.3</w:t>
      </w:r>
      <w:r w:rsidRPr="00635562">
        <w:tab/>
        <w:t>The remarks 1.1.2 from section 1 «General introduction» are emphasized that technical competence on the part of the testing body is assumed.</w:t>
      </w:r>
      <w:proofErr w:type="gramStart"/>
      <w:r w:rsidRPr="00635562">
        <w:t>”.</w:t>
      </w:r>
      <w:proofErr w:type="gramEnd"/>
    </w:p>
    <w:p w14:paraId="1A879DB8" w14:textId="77777777" w:rsidR="00CB59EA" w:rsidRPr="00635562" w:rsidRDefault="00CB59EA" w:rsidP="00CB59EA">
      <w:pPr>
        <w:pStyle w:val="SingleTxtG"/>
      </w:pPr>
      <w:r w:rsidRPr="00635562">
        <w:t>3.1</w:t>
      </w:r>
      <w:r w:rsidRPr="00635562">
        <w:tab/>
        <w:t>Delete “of Division 4.1” and “of Division 5.2”.</w:t>
      </w:r>
    </w:p>
    <w:p w14:paraId="5FBA55E9" w14:textId="77777777" w:rsidR="00CB59EA" w:rsidRPr="00635562" w:rsidRDefault="00CB59EA" w:rsidP="00CB59EA">
      <w:pPr>
        <w:pStyle w:val="SingleTxtG"/>
      </w:pPr>
      <w:r w:rsidRPr="00635562">
        <w:t>3.2</w:t>
      </w:r>
      <w:r w:rsidRPr="00635562">
        <w:tab/>
        <w:t>Replace “Class 1 Acceptance Procedure” with “acceptance procedure”.</w:t>
      </w:r>
    </w:p>
    <w:p w14:paraId="3C0EC4A3" w14:textId="440BFEA7" w:rsidR="00CB59EA" w:rsidRPr="00635562" w:rsidRDefault="00CB59EA" w:rsidP="00CB59EA">
      <w:pPr>
        <w:pStyle w:val="SingleTxtG"/>
      </w:pPr>
      <w:r w:rsidRPr="00635562">
        <w:t>3.3</w:t>
      </w:r>
      <w:r w:rsidRPr="00635562">
        <w:tab/>
        <w:t>At the introductory sentence, delete “Class 1”.</w:t>
      </w:r>
      <w:r w:rsidR="00453FE4" w:rsidRPr="00635562">
        <w:t xml:space="preserve"> </w:t>
      </w:r>
      <w:r w:rsidRPr="00635562">
        <w:t xml:space="preserve">In sub-paragraph (d): </w:t>
      </w:r>
    </w:p>
    <w:p w14:paraId="1D9A6A0C" w14:textId="77777777" w:rsidR="00CB59EA" w:rsidRPr="00635562" w:rsidRDefault="00CB59EA" w:rsidP="00CB59EA">
      <w:pPr>
        <w:pStyle w:val="SingleTxtG"/>
        <w:ind w:left="1701"/>
      </w:pPr>
      <w:r w:rsidRPr="00635562">
        <w:t>Delete “of Division 5.1” in the introductory sentence</w:t>
      </w:r>
    </w:p>
    <w:p w14:paraId="47E3171D" w14:textId="77777777" w:rsidR="00CB59EA" w:rsidRPr="00635562" w:rsidRDefault="00CB59EA" w:rsidP="00CB59EA">
      <w:pPr>
        <w:pStyle w:val="SingleTxtG"/>
        <w:ind w:left="1701"/>
      </w:pPr>
      <w:r w:rsidRPr="00635562">
        <w:t>In the first indent, insert “/category I” after “packing group I” and “/2” after “II”</w:t>
      </w:r>
    </w:p>
    <w:p w14:paraId="6DFA9BAF" w14:textId="77777777" w:rsidR="00CB59EA" w:rsidRPr="00635562" w:rsidRDefault="00CB59EA" w:rsidP="00CB59EA">
      <w:pPr>
        <w:pStyle w:val="SingleTxtG"/>
        <w:ind w:left="1701"/>
      </w:pPr>
      <w:r w:rsidRPr="00635562">
        <w:t>In the second indent, insert “/category III” after “packing group III”</w:t>
      </w:r>
    </w:p>
    <w:p w14:paraId="423374D9" w14:textId="77777777" w:rsidR="00CB59EA" w:rsidRPr="00635562" w:rsidRDefault="00CB59EA" w:rsidP="00CB59EA">
      <w:pPr>
        <w:pStyle w:val="SingleTxtG"/>
      </w:pPr>
      <w:r w:rsidRPr="00635562">
        <w:t>3.4</w:t>
      </w:r>
      <w:r w:rsidRPr="00635562">
        <w:tab/>
        <w:t>Delete “class 1” and replace “should be applied” with “has to be performed”.</w:t>
      </w:r>
    </w:p>
    <w:p w14:paraId="4B166E71" w14:textId="77777777" w:rsidR="00CB59EA" w:rsidRPr="00635562" w:rsidRDefault="00CB59EA" w:rsidP="00CB59EA">
      <w:pPr>
        <w:pStyle w:val="SingleTxtG"/>
      </w:pPr>
      <w:r w:rsidRPr="00635562">
        <w:t>4</w:t>
      </w:r>
      <w:r w:rsidRPr="00635562">
        <w:tab/>
        <w:t>In the title, delete “(Class 3)”.</w:t>
      </w:r>
    </w:p>
    <w:p w14:paraId="3697B513" w14:textId="77777777" w:rsidR="00CB59EA" w:rsidRPr="00635562" w:rsidRDefault="00CB59EA" w:rsidP="00CB59EA">
      <w:pPr>
        <w:pStyle w:val="SingleTxtG"/>
      </w:pPr>
      <w:r w:rsidRPr="00635562">
        <w:t>5</w:t>
      </w:r>
      <w:r w:rsidRPr="00635562">
        <w:tab/>
        <w:t xml:space="preserve">In the title, delete “(Class 4)”. </w:t>
      </w:r>
    </w:p>
    <w:p w14:paraId="750A7370" w14:textId="77777777" w:rsidR="00CB59EA" w:rsidRPr="00635562" w:rsidRDefault="00CB59EA" w:rsidP="00CB59EA">
      <w:pPr>
        <w:pStyle w:val="SingleTxtG"/>
      </w:pPr>
      <w:r w:rsidRPr="00635562">
        <w:t>5.1</w:t>
      </w:r>
      <w:r w:rsidRPr="00635562">
        <w:tab/>
        <w:t xml:space="preserve">In the title, delete “(Division 4.1)”. </w:t>
      </w:r>
    </w:p>
    <w:p w14:paraId="70EC24AC" w14:textId="01C85035" w:rsidR="0040205D" w:rsidRPr="00635562" w:rsidRDefault="0040205D" w:rsidP="0040205D">
      <w:pPr>
        <w:pStyle w:val="SingleTxtG"/>
      </w:pPr>
      <w:r w:rsidRPr="00635562">
        <w:t>Insert a section 5.2 to read as follows:</w:t>
      </w:r>
    </w:p>
    <w:p w14:paraId="2E47BED1" w14:textId="0C76D780" w:rsidR="0040205D" w:rsidRPr="00635562" w:rsidRDefault="0040205D" w:rsidP="0040205D">
      <w:pPr>
        <w:pStyle w:val="SingleTxtG"/>
      </w:pPr>
      <w:r w:rsidRPr="00635562">
        <w:t xml:space="preserve">“5.2 </w:t>
      </w:r>
      <w:r w:rsidRPr="00635562">
        <w:tab/>
        <w:t xml:space="preserve">Substances which may be polymerizing substances </w:t>
      </w:r>
    </w:p>
    <w:p w14:paraId="117013CC" w14:textId="77777777" w:rsidR="0040205D" w:rsidRPr="00635562" w:rsidRDefault="0040205D" w:rsidP="0040205D">
      <w:pPr>
        <w:pStyle w:val="SingleTxtG"/>
      </w:pPr>
      <w:r w:rsidRPr="00635562">
        <w:tab/>
        <w:t>Provided that the substance is not intended for polymerization, the classification procedure for polymerizing substances need not be applied if:</w:t>
      </w:r>
    </w:p>
    <w:p w14:paraId="13B4319C" w14:textId="77777777" w:rsidR="0040205D" w:rsidRPr="00635562" w:rsidRDefault="0040205D" w:rsidP="0040205D">
      <w:pPr>
        <w:pStyle w:val="SingleTxtG"/>
        <w:ind w:left="2268" w:hanging="567"/>
      </w:pPr>
      <w:r w:rsidRPr="00635562">
        <w:t>(a)</w:t>
      </w:r>
      <w:r w:rsidRPr="00635562">
        <w:tab/>
        <w:t>The chemical structure of the substance contains no double or triple bonds or strained rings; or</w:t>
      </w:r>
    </w:p>
    <w:p w14:paraId="02DFDF81" w14:textId="77777777" w:rsidR="0040205D" w:rsidRPr="00635562" w:rsidRDefault="0040205D" w:rsidP="0040205D">
      <w:pPr>
        <w:pStyle w:val="SingleTxtG"/>
        <w:ind w:left="2268" w:hanging="567"/>
      </w:pPr>
      <w:r w:rsidRPr="00635562">
        <w:t>(b)</w:t>
      </w:r>
      <w:r w:rsidRPr="00635562">
        <w:tab/>
        <w:t>The compound contains double or triple bonds or strained rings, and the molecular mass M(CHON) counting only the elements C, H, O and N is more than 150; or</w:t>
      </w:r>
    </w:p>
    <w:p w14:paraId="618E0352" w14:textId="77777777" w:rsidR="0040205D" w:rsidRPr="00635562" w:rsidRDefault="0040205D" w:rsidP="0040205D">
      <w:pPr>
        <w:pStyle w:val="SingleTxtG"/>
        <w:ind w:left="2268" w:hanging="567"/>
      </w:pPr>
      <w:r w:rsidRPr="00635562">
        <w:t>(c)</w:t>
      </w:r>
      <w:r w:rsidRPr="00635562">
        <w:tab/>
        <w:t>The compound is solid with a melting point above 50 °C.”.</w:t>
      </w:r>
    </w:p>
    <w:p w14:paraId="2022481F" w14:textId="77777777" w:rsidR="0040205D" w:rsidRPr="00635562" w:rsidRDefault="0040205D" w:rsidP="0040205D">
      <w:pPr>
        <w:pStyle w:val="SingleTxtG"/>
      </w:pPr>
      <w:r w:rsidRPr="00635562">
        <w:t>Renumber existing sections 5.2 and 5.3 as 5.3 and 5.4.</w:t>
      </w:r>
    </w:p>
    <w:p w14:paraId="68444E0E" w14:textId="6A92839D" w:rsidR="00CB59EA" w:rsidRPr="00635562" w:rsidRDefault="00CB59EA" w:rsidP="00CB59EA">
      <w:pPr>
        <w:pStyle w:val="SingleTxtG"/>
        <w:ind w:left="2268" w:hanging="1134"/>
      </w:pPr>
      <w:r w:rsidRPr="00635562">
        <w:t>5.2 (renumbered 5.3)</w:t>
      </w:r>
      <w:r w:rsidRPr="00635562">
        <w:tab/>
      </w:r>
      <w:proofErr w:type="gramStart"/>
      <w:r w:rsidRPr="00635562">
        <w:t>In</w:t>
      </w:r>
      <w:proofErr w:type="gramEnd"/>
      <w:r w:rsidRPr="00635562">
        <w:t xml:space="preserve"> the title, delete “(Division 4.2)”. </w:t>
      </w:r>
    </w:p>
    <w:p w14:paraId="6DF2C49B" w14:textId="41CAE424" w:rsidR="00CB59EA" w:rsidRPr="00635562" w:rsidRDefault="00CB59EA" w:rsidP="00CB59EA">
      <w:pPr>
        <w:pStyle w:val="SingleTxtG"/>
      </w:pPr>
      <w:r w:rsidRPr="00635562">
        <w:lastRenderedPageBreak/>
        <w:t>5.3 (renumbered 5.4)</w:t>
      </w:r>
      <w:r w:rsidRPr="00635562">
        <w:tab/>
        <w:t>Amend the title to read as follows: “Substances which, in contact with water, may react to emit flammable gases”.</w:t>
      </w:r>
    </w:p>
    <w:p w14:paraId="72DB0C8E" w14:textId="77777777" w:rsidR="00B73243" w:rsidRPr="00635562" w:rsidRDefault="00B73243" w:rsidP="00B73243">
      <w:pPr>
        <w:pStyle w:val="SingleTxtG"/>
        <w:ind w:left="2268" w:hanging="1134"/>
      </w:pPr>
      <w:r w:rsidRPr="00635562">
        <w:t>6</w:t>
      </w:r>
      <w:r w:rsidRPr="00635562">
        <w:tab/>
        <w:t xml:space="preserve">In the title, delete “(Class 5)”. </w:t>
      </w:r>
    </w:p>
    <w:p w14:paraId="587D91CE" w14:textId="77777777" w:rsidR="00B73243" w:rsidRPr="00635562" w:rsidRDefault="00B73243" w:rsidP="00B73243">
      <w:pPr>
        <w:pStyle w:val="SingleTxtG"/>
        <w:ind w:left="2268" w:hanging="1134"/>
      </w:pPr>
      <w:r w:rsidRPr="00635562">
        <w:t>6.1</w:t>
      </w:r>
      <w:r w:rsidRPr="00635562">
        <w:tab/>
        <w:t xml:space="preserve">In the title, delete “(Division 5.1)”. </w:t>
      </w:r>
    </w:p>
    <w:p w14:paraId="644F6D2A" w14:textId="77777777" w:rsidR="00B73243" w:rsidRPr="00635562" w:rsidRDefault="00B73243" w:rsidP="00B73243">
      <w:pPr>
        <w:pStyle w:val="SingleTxtG"/>
        <w:ind w:left="2268" w:hanging="1134"/>
      </w:pPr>
      <w:r w:rsidRPr="00635562">
        <w:t>6.1.1</w:t>
      </w:r>
      <w:r w:rsidRPr="00635562">
        <w:tab/>
        <w:t xml:space="preserve">In the first sentence, delete “of Division 5.1”. </w:t>
      </w:r>
    </w:p>
    <w:p w14:paraId="561BE296" w14:textId="77777777" w:rsidR="00B73243" w:rsidRPr="00635562" w:rsidRDefault="00B73243" w:rsidP="00B73243">
      <w:pPr>
        <w:pStyle w:val="SingleTxtG"/>
        <w:ind w:left="2268" w:hanging="1134"/>
      </w:pPr>
      <w:r w:rsidRPr="00635562">
        <w:t>6.2</w:t>
      </w:r>
      <w:r w:rsidRPr="00635562">
        <w:tab/>
        <w:t xml:space="preserve">In the title, delete “(Division 5.2)”. </w:t>
      </w:r>
    </w:p>
    <w:p w14:paraId="46115EE6" w14:textId="77777777" w:rsidR="0040205D" w:rsidRPr="00635562" w:rsidRDefault="0040205D" w:rsidP="00635562">
      <w:pPr>
        <w:pStyle w:val="HChG"/>
      </w:pPr>
      <w:r w:rsidRPr="00635562">
        <w:tab/>
      </w:r>
      <w:r w:rsidRPr="00635562">
        <w:tab/>
        <w:t>Appendix 7</w:t>
      </w:r>
    </w:p>
    <w:p w14:paraId="237289AE" w14:textId="77777777" w:rsidR="0040205D" w:rsidRPr="00635562" w:rsidRDefault="0040205D" w:rsidP="0040205D">
      <w:pPr>
        <w:pStyle w:val="SingleTxtG"/>
      </w:pPr>
      <w:r w:rsidRPr="00635562">
        <w:t>Amend the title of the appendix to read as follows: “</w:t>
      </w:r>
      <w:r w:rsidRPr="00635562">
        <w:rPr>
          <w:rFonts w:eastAsia="SimSun"/>
        </w:rPr>
        <w:t>FLASH COMPOSITION TESTS</w:t>
      </w:r>
      <w:r w:rsidRPr="00635562">
        <w:t>”. Insert a new subtitle to read: “</w:t>
      </w:r>
      <w:r w:rsidRPr="00635562">
        <w:rPr>
          <w:rFonts w:eastAsia="SimSun"/>
          <w:iCs/>
        </w:rPr>
        <w:t>1. HSL Flash Composition Test</w:t>
      </w:r>
      <w:r w:rsidRPr="00635562">
        <w:t>”. Renumber existing paragraphs accordingly.</w:t>
      </w:r>
    </w:p>
    <w:p w14:paraId="7C188FCE" w14:textId="77777777" w:rsidR="0040205D" w:rsidRPr="00635562" w:rsidRDefault="0040205D" w:rsidP="0040205D">
      <w:pPr>
        <w:pStyle w:val="SingleTxtG"/>
      </w:pPr>
      <w:r w:rsidRPr="00635562">
        <w:t>In 1.1 (former 1), after “</w:t>
      </w:r>
      <w:r w:rsidRPr="00635562">
        <w:rPr>
          <w:rFonts w:eastAsia="SimSun"/>
        </w:rPr>
        <w:t>fireworks, that are used</w:t>
      </w:r>
      <w:r w:rsidRPr="00635562">
        <w:t>” insert “</w:t>
      </w:r>
      <w:r w:rsidRPr="00635562">
        <w:rPr>
          <w:rFonts w:eastAsia="SimSun"/>
        </w:rPr>
        <w:t>in waterfalls, or</w:t>
      </w:r>
      <w:r w:rsidRPr="00635562">
        <w:t>”. In the second sentence, replace “lifting” by “propellant”.</w:t>
      </w:r>
    </w:p>
    <w:p w14:paraId="5551C97F" w14:textId="77777777" w:rsidR="0040205D" w:rsidRPr="00635562" w:rsidRDefault="0040205D" w:rsidP="0040205D">
      <w:pPr>
        <w:pStyle w:val="SingleTxtG"/>
      </w:pPr>
      <w:r w:rsidRPr="00635562">
        <w:t xml:space="preserve">In 1.2.2 (former 2.2), replace “vessel is closed by an aluminium bursting” by “vessel is closed by a brass or aluminium bursting”. </w:t>
      </w:r>
      <w:proofErr w:type="gramStart"/>
      <w:r w:rsidRPr="00635562">
        <w:t>In the last sentence, after “lead washer” insert “</w:t>
      </w:r>
      <w:r w:rsidRPr="00635562">
        <w:rPr>
          <w:lang w:eastAsia="ja-JP"/>
        </w:rPr>
        <w:t xml:space="preserve">or a washer of a suitable deformable material (for example, </w:t>
      </w:r>
      <w:proofErr w:type="spellStart"/>
      <w:r w:rsidRPr="00635562">
        <w:rPr>
          <w:lang w:eastAsia="ja-JP"/>
        </w:rPr>
        <w:t>polyoxymethylene</w:t>
      </w:r>
      <w:proofErr w:type="spellEnd"/>
      <w:r w:rsidRPr="00635562">
        <w:rPr>
          <w:lang w:eastAsia="ja-JP"/>
        </w:rPr>
        <w:t>)”.</w:t>
      </w:r>
      <w:proofErr w:type="gramEnd"/>
    </w:p>
    <w:p w14:paraId="3DABEA20" w14:textId="77777777" w:rsidR="0040205D" w:rsidRPr="00635562" w:rsidRDefault="0040205D" w:rsidP="0040205D">
      <w:pPr>
        <w:pStyle w:val="SingleTxtG"/>
      </w:pPr>
      <w:r w:rsidRPr="00635562">
        <w:t>In 1.4 (former 4), after “</w:t>
      </w:r>
      <w:r w:rsidRPr="00635562">
        <w:rPr>
          <w:rFonts w:eastAsia="SimSun"/>
          <w:szCs w:val="22"/>
        </w:rPr>
        <w:t>used in waterfalls</w:t>
      </w:r>
      <w:r w:rsidRPr="00635562">
        <w:rPr>
          <w:color w:val="0070C0"/>
          <w:u w:val="single"/>
        </w:rPr>
        <w:t>,</w:t>
      </w:r>
      <w:r w:rsidRPr="00635562">
        <w:t>” insert “or to produce an aural effect</w:t>
      </w:r>
      <w:r w:rsidRPr="00635562">
        <w:rPr>
          <w:rFonts w:eastAsia="SimSun"/>
          <w:szCs w:val="22"/>
        </w:rPr>
        <w:t>,</w:t>
      </w:r>
      <w:proofErr w:type="gramStart"/>
      <w:r w:rsidRPr="00635562">
        <w:t>”.</w:t>
      </w:r>
      <w:proofErr w:type="gramEnd"/>
      <w:r w:rsidRPr="00635562">
        <w:t xml:space="preserve"> Replace “lifting” by “propellant”. Amend the table to read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921"/>
        <w:gridCol w:w="1690"/>
        <w:gridCol w:w="1552"/>
        <w:gridCol w:w="2476"/>
      </w:tblGrid>
      <w:tr w:rsidR="0040205D" w:rsidRPr="00635562" w14:paraId="0BD91C57" w14:textId="77777777" w:rsidTr="00A96C07">
        <w:trPr>
          <w:cantSplit/>
          <w:trHeight w:val="1065"/>
        </w:trPr>
        <w:tc>
          <w:tcPr>
            <w:tcW w:w="3946" w:type="dxa"/>
            <w:tcBorders>
              <w:top w:val="single" w:sz="4" w:space="0" w:color="auto"/>
              <w:left w:val="single" w:sz="4" w:space="0" w:color="auto"/>
              <w:bottom w:val="single" w:sz="4" w:space="0" w:color="auto"/>
              <w:right w:val="single" w:sz="4" w:space="0" w:color="auto"/>
            </w:tcBorders>
            <w:vAlign w:val="center"/>
          </w:tcPr>
          <w:p w14:paraId="07419110" w14:textId="77777777" w:rsidR="0040205D" w:rsidRPr="00635562" w:rsidRDefault="0040205D" w:rsidP="00A96C07">
            <w:pPr>
              <w:keepNext/>
              <w:keepLines/>
              <w:suppressAutoHyphens w:val="0"/>
              <w:spacing w:line="240" w:lineRule="auto"/>
              <w:jc w:val="center"/>
              <w:rPr>
                <w:rFonts w:eastAsia="SimSun"/>
                <w:b/>
                <w:bCs/>
                <w:sz w:val="18"/>
                <w:szCs w:val="18"/>
              </w:rPr>
            </w:pPr>
            <w:r w:rsidRPr="00635562">
              <w:rPr>
                <w:rFonts w:eastAsia="SimSun"/>
                <w:b/>
                <w:bCs/>
                <w:sz w:val="18"/>
                <w:szCs w:val="18"/>
              </w:rPr>
              <w:t>Composition (mass %)</w:t>
            </w:r>
          </w:p>
        </w:tc>
        <w:tc>
          <w:tcPr>
            <w:tcW w:w="1701" w:type="dxa"/>
            <w:tcBorders>
              <w:top w:val="single" w:sz="4" w:space="0" w:color="auto"/>
              <w:left w:val="single" w:sz="4" w:space="0" w:color="auto"/>
              <w:bottom w:val="single" w:sz="4" w:space="0" w:color="auto"/>
              <w:right w:val="single" w:sz="4" w:space="0" w:color="auto"/>
            </w:tcBorders>
            <w:vAlign w:val="center"/>
          </w:tcPr>
          <w:p w14:paraId="7966D891" w14:textId="77777777" w:rsidR="0040205D" w:rsidRPr="00635562" w:rsidRDefault="0040205D" w:rsidP="00A96C07">
            <w:pPr>
              <w:keepNext/>
              <w:keepLines/>
              <w:suppressAutoHyphens w:val="0"/>
              <w:spacing w:line="240" w:lineRule="auto"/>
              <w:jc w:val="center"/>
              <w:rPr>
                <w:rFonts w:eastAsia="SimSun"/>
                <w:sz w:val="18"/>
                <w:szCs w:val="18"/>
              </w:rPr>
            </w:pPr>
            <w:r w:rsidRPr="00635562">
              <w:rPr>
                <w:rFonts w:eastAsia="SimSun"/>
                <w:b/>
                <w:bCs/>
                <w:sz w:val="18"/>
                <w:szCs w:val="18"/>
              </w:rPr>
              <w:t>Use or effect</w:t>
            </w:r>
          </w:p>
        </w:tc>
        <w:tc>
          <w:tcPr>
            <w:tcW w:w="1560" w:type="dxa"/>
            <w:tcBorders>
              <w:top w:val="single" w:sz="4" w:space="0" w:color="auto"/>
              <w:left w:val="single" w:sz="4" w:space="0" w:color="auto"/>
              <w:bottom w:val="single" w:sz="4" w:space="0" w:color="auto"/>
              <w:right w:val="single" w:sz="4" w:space="0" w:color="auto"/>
            </w:tcBorders>
            <w:vAlign w:val="center"/>
          </w:tcPr>
          <w:p w14:paraId="798F36FF" w14:textId="4635F4BC" w:rsidR="0040205D" w:rsidRPr="00635562" w:rsidRDefault="00BA4B0C" w:rsidP="00A96C07">
            <w:pPr>
              <w:keepNext/>
              <w:keepLines/>
              <w:suppressAutoHyphens w:val="0"/>
              <w:spacing w:line="240" w:lineRule="auto"/>
              <w:jc w:val="center"/>
              <w:rPr>
                <w:rFonts w:eastAsia="SimSun"/>
                <w:b/>
                <w:bCs/>
                <w:sz w:val="18"/>
                <w:szCs w:val="18"/>
              </w:rPr>
            </w:pPr>
            <w:r w:rsidRPr="00635562">
              <w:rPr>
                <w:rFonts w:eastAsia="SimSun"/>
                <w:b/>
                <w:bCs/>
                <w:sz w:val="18"/>
                <w:szCs w:val="18"/>
              </w:rPr>
              <w:t xml:space="preserve">Minimum </w:t>
            </w:r>
            <w:r w:rsidR="0040205D" w:rsidRPr="00635562">
              <w:rPr>
                <w:rFonts w:eastAsia="SimSun"/>
                <w:b/>
                <w:bCs/>
                <w:sz w:val="18"/>
                <w:szCs w:val="18"/>
              </w:rPr>
              <w:t>time for a pressure rise from 690 to 2 070 </w:t>
            </w:r>
            <w:proofErr w:type="spellStart"/>
            <w:r w:rsidR="0040205D" w:rsidRPr="00635562">
              <w:rPr>
                <w:rFonts w:eastAsia="SimSun"/>
                <w:b/>
                <w:bCs/>
                <w:sz w:val="18"/>
                <w:szCs w:val="18"/>
              </w:rPr>
              <w:t>kPa</w:t>
            </w:r>
            <w:proofErr w:type="spellEnd"/>
            <w:r w:rsidR="0040205D" w:rsidRPr="00635562">
              <w:rPr>
                <w:rFonts w:eastAsia="SimSun"/>
                <w:b/>
                <w:bCs/>
                <w:sz w:val="18"/>
                <w:szCs w:val="18"/>
              </w:rPr>
              <w:t xml:space="preserve"> (</w:t>
            </w:r>
            <w:proofErr w:type="spellStart"/>
            <w:r w:rsidR="0040205D" w:rsidRPr="00635562">
              <w:rPr>
                <w:rFonts w:eastAsia="SimSun"/>
                <w:b/>
                <w:bCs/>
                <w:sz w:val="18"/>
                <w:szCs w:val="18"/>
              </w:rPr>
              <w:t>ms</w:t>
            </w:r>
            <w:proofErr w:type="spellEnd"/>
            <w:r w:rsidR="0040205D" w:rsidRPr="00635562">
              <w:rPr>
                <w:rFonts w:eastAsia="SimSun"/>
                <w:b/>
                <w:bCs/>
                <w:sz w:val="18"/>
                <w:szCs w:val="18"/>
              </w:rPr>
              <w:t>)</w:t>
            </w:r>
          </w:p>
        </w:tc>
        <w:tc>
          <w:tcPr>
            <w:tcW w:w="2494" w:type="dxa"/>
            <w:tcBorders>
              <w:top w:val="single" w:sz="4" w:space="0" w:color="auto"/>
              <w:left w:val="single" w:sz="4" w:space="0" w:color="auto"/>
              <w:bottom w:val="single" w:sz="4" w:space="0" w:color="auto"/>
              <w:right w:val="single" w:sz="4" w:space="0" w:color="auto"/>
            </w:tcBorders>
            <w:vAlign w:val="center"/>
          </w:tcPr>
          <w:p w14:paraId="063DCC73" w14:textId="77777777" w:rsidR="0040205D" w:rsidRPr="00635562" w:rsidRDefault="0040205D" w:rsidP="00A96C07">
            <w:pPr>
              <w:keepNext/>
              <w:keepLines/>
              <w:suppressAutoHyphens w:val="0"/>
              <w:spacing w:line="240" w:lineRule="auto"/>
              <w:jc w:val="center"/>
              <w:rPr>
                <w:rFonts w:eastAsia="SimSun"/>
                <w:b/>
                <w:bCs/>
                <w:sz w:val="18"/>
                <w:szCs w:val="18"/>
              </w:rPr>
            </w:pPr>
            <w:r w:rsidRPr="00635562">
              <w:rPr>
                <w:rFonts w:eastAsia="SimSun"/>
                <w:b/>
                <w:bCs/>
                <w:sz w:val="18"/>
                <w:szCs w:val="18"/>
              </w:rPr>
              <w:t>Result</w:t>
            </w:r>
          </w:p>
        </w:tc>
      </w:tr>
      <w:tr w:rsidR="0040205D" w:rsidRPr="00635562" w14:paraId="5BD0B2D9"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vAlign w:val="center"/>
          </w:tcPr>
          <w:p w14:paraId="2320F0CD"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perchlorate/Aluminium (77/23)</w:t>
            </w:r>
          </w:p>
        </w:tc>
        <w:tc>
          <w:tcPr>
            <w:tcW w:w="1701" w:type="dxa"/>
            <w:tcBorders>
              <w:top w:val="single" w:sz="4" w:space="0" w:color="auto"/>
              <w:left w:val="single" w:sz="4" w:space="0" w:color="auto"/>
              <w:bottom w:val="single" w:sz="4" w:space="0" w:color="auto"/>
              <w:right w:val="single" w:sz="4" w:space="0" w:color="auto"/>
            </w:tcBorders>
            <w:vAlign w:val="center"/>
          </w:tcPr>
          <w:p w14:paraId="41C2AEFB"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Aural (report)</w:t>
            </w:r>
          </w:p>
        </w:tc>
        <w:tc>
          <w:tcPr>
            <w:tcW w:w="1560" w:type="dxa"/>
            <w:tcBorders>
              <w:top w:val="single" w:sz="4" w:space="0" w:color="auto"/>
              <w:left w:val="single" w:sz="4" w:space="0" w:color="auto"/>
              <w:bottom w:val="single" w:sz="4" w:space="0" w:color="auto"/>
              <w:right w:val="single" w:sz="4" w:space="0" w:color="auto"/>
            </w:tcBorders>
            <w:vAlign w:val="center"/>
          </w:tcPr>
          <w:p w14:paraId="64BFAA19"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0.48</w:t>
            </w:r>
          </w:p>
        </w:tc>
        <w:tc>
          <w:tcPr>
            <w:tcW w:w="2494" w:type="dxa"/>
            <w:tcBorders>
              <w:top w:val="single" w:sz="4" w:space="0" w:color="auto"/>
              <w:left w:val="single" w:sz="4" w:space="0" w:color="auto"/>
              <w:bottom w:val="single" w:sz="4" w:space="0" w:color="auto"/>
              <w:right w:val="single" w:sz="4" w:space="0" w:color="auto"/>
            </w:tcBorders>
            <w:vAlign w:val="center"/>
          </w:tcPr>
          <w:p w14:paraId="27ED75E6"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Flash composition</w:t>
            </w:r>
          </w:p>
        </w:tc>
      </w:tr>
      <w:tr w:rsidR="0040205D" w:rsidRPr="00635562" w14:paraId="2F8862D3"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706A14CF"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 Barium nitrate/ Aluminium /</w:t>
            </w:r>
            <w:proofErr w:type="spellStart"/>
            <w:r w:rsidRPr="00635562">
              <w:rPr>
                <w:rFonts w:eastAsia="SimSun"/>
                <w:sz w:val="18"/>
                <w:szCs w:val="18"/>
              </w:rPr>
              <w:t>Magnalium</w:t>
            </w:r>
            <w:proofErr w:type="spellEnd"/>
            <w:r w:rsidRPr="00635562">
              <w:rPr>
                <w:rFonts w:eastAsia="SimSun"/>
                <w:sz w:val="18"/>
                <w:szCs w:val="18"/>
              </w:rPr>
              <w:t xml:space="preserve"> (20/20/45/15)</w:t>
            </w:r>
          </w:p>
        </w:tc>
        <w:tc>
          <w:tcPr>
            <w:tcW w:w="1701" w:type="dxa"/>
            <w:tcBorders>
              <w:top w:val="single" w:sz="4" w:space="0" w:color="auto"/>
              <w:left w:val="single" w:sz="4" w:space="0" w:color="auto"/>
              <w:bottom w:val="single" w:sz="4" w:space="0" w:color="auto"/>
              <w:right w:val="single" w:sz="4" w:space="0" w:color="auto"/>
            </w:tcBorders>
            <w:vAlign w:val="center"/>
          </w:tcPr>
          <w:p w14:paraId="30AD2B35" w14:textId="77777777" w:rsidR="0040205D" w:rsidRPr="00635562" w:rsidRDefault="0040205D" w:rsidP="00A96C07">
            <w:pPr>
              <w:suppressAutoHyphens w:val="0"/>
              <w:spacing w:before="40" w:after="40" w:line="220" w:lineRule="exact"/>
              <w:ind w:right="113"/>
              <w:jc w:val="center"/>
              <w:rPr>
                <w:sz w:val="18"/>
                <w:szCs w:val="18"/>
              </w:rPr>
            </w:pPr>
            <w:r w:rsidRPr="00635562">
              <w:rPr>
                <w:sz w:val="18"/>
                <w:szCs w:val="18"/>
              </w:rPr>
              <w:t>Aural</w:t>
            </w:r>
          </w:p>
          <w:p w14:paraId="7E5F5A34"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(report)</w:t>
            </w:r>
          </w:p>
        </w:tc>
        <w:tc>
          <w:tcPr>
            <w:tcW w:w="1560" w:type="dxa"/>
            <w:tcBorders>
              <w:top w:val="single" w:sz="4" w:space="0" w:color="auto"/>
              <w:left w:val="single" w:sz="4" w:space="0" w:color="auto"/>
              <w:bottom w:val="single" w:sz="4" w:space="0" w:color="auto"/>
              <w:right w:val="single" w:sz="4" w:space="0" w:color="auto"/>
            </w:tcBorders>
            <w:vAlign w:val="center"/>
          </w:tcPr>
          <w:p w14:paraId="2B1487CF"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2.15</w:t>
            </w:r>
          </w:p>
        </w:tc>
        <w:tc>
          <w:tcPr>
            <w:tcW w:w="2494" w:type="dxa"/>
            <w:tcBorders>
              <w:top w:val="single" w:sz="4" w:space="0" w:color="auto"/>
              <w:left w:val="single" w:sz="4" w:space="0" w:color="auto"/>
              <w:bottom w:val="single" w:sz="4" w:space="0" w:color="auto"/>
              <w:right w:val="single" w:sz="4" w:space="0" w:color="auto"/>
            </w:tcBorders>
            <w:vAlign w:val="center"/>
          </w:tcPr>
          <w:p w14:paraId="4DAAE10C"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66D56787"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1E440DD9"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 /Potassium benzoate (71/29)</w:t>
            </w:r>
          </w:p>
        </w:tc>
        <w:tc>
          <w:tcPr>
            <w:tcW w:w="1701" w:type="dxa"/>
            <w:tcBorders>
              <w:top w:val="single" w:sz="4" w:space="0" w:color="auto"/>
              <w:left w:val="single" w:sz="4" w:space="0" w:color="auto"/>
              <w:bottom w:val="single" w:sz="4" w:space="0" w:color="auto"/>
              <w:right w:val="single" w:sz="4" w:space="0" w:color="auto"/>
            </w:tcBorders>
            <w:vAlign w:val="center"/>
          </w:tcPr>
          <w:p w14:paraId="33D40577" w14:textId="77777777" w:rsidR="0040205D" w:rsidRPr="00635562" w:rsidRDefault="0040205D" w:rsidP="00A96C07">
            <w:pPr>
              <w:suppressAutoHyphens w:val="0"/>
              <w:spacing w:before="40" w:after="40" w:line="220" w:lineRule="exact"/>
              <w:ind w:right="113"/>
              <w:jc w:val="center"/>
              <w:rPr>
                <w:sz w:val="18"/>
                <w:szCs w:val="18"/>
              </w:rPr>
            </w:pPr>
            <w:r w:rsidRPr="00635562">
              <w:rPr>
                <w:sz w:val="18"/>
                <w:szCs w:val="18"/>
              </w:rPr>
              <w:t>Aural</w:t>
            </w:r>
          </w:p>
          <w:p w14:paraId="67E27295"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(whistle)</w:t>
            </w:r>
          </w:p>
        </w:tc>
        <w:tc>
          <w:tcPr>
            <w:tcW w:w="1560" w:type="dxa"/>
            <w:tcBorders>
              <w:top w:val="single" w:sz="4" w:space="0" w:color="auto"/>
              <w:left w:val="single" w:sz="4" w:space="0" w:color="auto"/>
              <w:bottom w:val="single" w:sz="4" w:space="0" w:color="auto"/>
              <w:right w:val="single" w:sz="4" w:space="0" w:color="auto"/>
            </w:tcBorders>
            <w:vAlign w:val="center"/>
          </w:tcPr>
          <w:p w14:paraId="75529B7D"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0.89</w:t>
            </w:r>
          </w:p>
        </w:tc>
        <w:tc>
          <w:tcPr>
            <w:tcW w:w="2494" w:type="dxa"/>
            <w:tcBorders>
              <w:top w:val="single" w:sz="4" w:space="0" w:color="auto"/>
              <w:left w:val="single" w:sz="4" w:space="0" w:color="auto"/>
              <w:bottom w:val="single" w:sz="4" w:space="0" w:color="auto"/>
              <w:right w:val="single" w:sz="4" w:space="0" w:color="auto"/>
            </w:tcBorders>
            <w:vAlign w:val="center"/>
          </w:tcPr>
          <w:p w14:paraId="7D23F0AF"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00F6CB08"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23F18CEC"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 /Potassium hydrogen terephthalate /Titanium (62/25/13)</w:t>
            </w:r>
          </w:p>
        </w:tc>
        <w:tc>
          <w:tcPr>
            <w:tcW w:w="1701" w:type="dxa"/>
            <w:tcBorders>
              <w:top w:val="single" w:sz="4" w:space="0" w:color="auto"/>
              <w:left w:val="single" w:sz="4" w:space="0" w:color="auto"/>
              <w:bottom w:val="single" w:sz="4" w:space="0" w:color="auto"/>
              <w:right w:val="single" w:sz="4" w:space="0" w:color="auto"/>
            </w:tcBorders>
            <w:vAlign w:val="center"/>
          </w:tcPr>
          <w:p w14:paraId="04B7FC46" w14:textId="77777777" w:rsidR="0040205D" w:rsidRPr="00635562" w:rsidRDefault="0040205D" w:rsidP="00A96C07">
            <w:pPr>
              <w:suppressAutoHyphens w:val="0"/>
              <w:spacing w:before="40" w:after="40" w:line="220" w:lineRule="exact"/>
              <w:ind w:right="113"/>
              <w:jc w:val="center"/>
              <w:rPr>
                <w:sz w:val="18"/>
                <w:szCs w:val="18"/>
              </w:rPr>
            </w:pPr>
            <w:r w:rsidRPr="00635562">
              <w:rPr>
                <w:sz w:val="18"/>
                <w:szCs w:val="18"/>
              </w:rPr>
              <w:t>Aural</w:t>
            </w:r>
          </w:p>
          <w:p w14:paraId="2155C84C"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(whistle)</w:t>
            </w:r>
          </w:p>
        </w:tc>
        <w:tc>
          <w:tcPr>
            <w:tcW w:w="1560" w:type="dxa"/>
            <w:tcBorders>
              <w:top w:val="single" w:sz="4" w:space="0" w:color="auto"/>
              <w:left w:val="single" w:sz="4" w:space="0" w:color="auto"/>
              <w:bottom w:val="single" w:sz="4" w:space="0" w:color="auto"/>
              <w:right w:val="single" w:sz="4" w:space="0" w:color="auto"/>
            </w:tcBorders>
            <w:vAlign w:val="center"/>
          </w:tcPr>
          <w:p w14:paraId="72F1CE4B"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1.67</w:t>
            </w:r>
          </w:p>
        </w:tc>
        <w:tc>
          <w:tcPr>
            <w:tcW w:w="2494" w:type="dxa"/>
            <w:tcBorders>
              <w:top w:val="single" w:sz="4" w:space="0" w:color="auto"/>
              <w:left w:val="single" w:sz="4" w:space="0" w:color="auto"/>
              <w:bottom w:val="single" w:sz="4" w:space="0" w:color="auto"/>
              <w:right w:val="single" w:sz="4" w:space="0" w:color="auto"/>
            </w:tcBorders>
            <w:vAlign w:val="center"/>
          </w:tcPr>
          <w:p w14:paraId="41840669"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5FC814C9"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16D7A011" w14:textId="77777777" w:rsidR="0040205D" w:rsidRPr="00635562" w:rsidRDefault="0040205D" w:rsidP="00A96C07">
            <w:pPr>
              <w:suppressAutoHyphens w:val="0"/>
              <w:spacing w:line="240" w:lineRule="auto"/>
              <w:jc w:val="center"/>
              <w:rPr>
                <w:rFonts w:eastAsia="SimSun"/>
                <w:sz w:val="18"/>
                <w:szCs w:val="18"/>
                <w:lang w:val="fr-FR"/>
              </w:rPr>
            </w:pPr>
            <w:r w:rsidRPr="00635562">
              <w:rPr>
                <w:rFonts w:eastAsia="SimSun"/>
                <w:sz w:val="18"/>
                <w:szCs w:val="18"/>
                <w:lang w:val="fr-FR"/>
              </w:rPr>
              <w:t>Potassium perchlorate /Aluminium (P2000)/Aluminium (P50) (53/16/31)</w:t>
            </w:r>
          </w:p>
        </w:tc>
        <w:tc>
          <w:tcPr>
            <w:tcW w:w="1701" w:type="dxa"/>
            <w:tcBorders>
              <w:top w:val="single" w:sz="4" w:space="0" w:color="auto"/>
              <w:left w:val="single" w:sz="4" w:space="0" w:color="auto"/>
              <w:bottom w:val="single" w:sz="4" w:space="0" w:color="auto"/>
              <w:right w:val="single" w:sz="4" w:space="0" w:color="auto"/>
            </w:tcBorders>
            <w:vAlign w:val="center"/>
          </w:tcPr>
          <w:p w14:paraId="69245B74"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Waterfall</w:t>
            </w:r>
          </w:p>
        </w:tc>
        <w:tc>
          <w:tcPr>
            <w:tcW w:w="1560" w:type="dxa"/>
            <w:tcBorders>
              <w:top w:val="single" w:sz="4" w:space="0" w:color="auto"/>
              <w:left w:val="single" w:sz="4" w:space="0" w:color="auto"/>
              <w:bottom w:val="single" w:sz="4" w:space="0" w:color="auto"/>
              <w:right w:val="single" w:sz="4" w:space="0" w:color="auto"/>
            </w:tcBorders>
            <w:vAlign w:val="center"/>
          </w:tcPr>
          <w:p w14:paraId="32D56E16"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2.73</w:t>
            </w:r>
          </w:p>
        </w:tc>
        <w:tc>
          <w:tcPr>
            <w:tcW w:w="2494" w:type="dxa"/>
            <w:tcBorders>
              <w:top w:val="single" w:sz="4" w:space="0" w:color="auto"/>
              <w:left w:val="single" w:sz="4" w:space="0" w:color="auto"/>
              <w:bottom w:val="single" w:sz="4" w:space="0" w:color="auto"/>
              <w:right w:val="single" w:sz="4" w:space="0" w:color="auto"/>
            </w:tcBorders>
            <w:vAlign w:val="center"/>
          </w:tcPr>
          <w:p w14:paraId="40ED043B"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68B85F64"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19D25C8E"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 /Aluminium (P2000)/Aluminium (P50)/ Antimony sulphide (50/15/30/5)</w:t>
            </w:r>
          </w:p>
        </w:tc>
        <w:tc>
          <w:tcPr>
            <w:tcW w:w="1701" w:type="dxa"/>
            <w:tcBorders>
              <w:top w:val="single" w:sz="4" w:space="0" w:color="auto"/>
              <w:left w:val="single" w:sz="4" w:space="0" w:color="auto"/>
              <w:bottom w:val="single" w:sz="4" w:space="0" w:color="auto"/>
              <w:right w:val="single" w:sz="4" w:space="0" w:color="auto"/>
            </w:tcBorders>
            <w:vAlign w:val="center"/>
          </w:tcPr>
          <w:p w14:paraId="36357EE4"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Waterfall</w:t>
            </w:r>
          </w:p>
        </w:tc>
        <w:tc>
          <w:tcPr>
            <w:tcW w:w="1560" w:type="dxa"/>
            <w:tcBorders>
              <w:top w:val="single" w:sz="4" w:space="0" w:color="auto"/>
              <w:left w:val="single" w:sz="4" w:space="0" w:color="auto"/>
              <w:bottom w:val="single" w:sz="4" w:space="0" w:color="auto"/>
              <w:right w:val="single" w:sz="4" w:space="0" w:color="auto"/>
            </w:tcBorders>
            <w:vAlign w:val="center"/>
          </w:tcPr>
          <w:p w14:paraId="3D51B95C"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1.19</w:t>
            </w:r>
          </w:p>
        </w:tc>
        <w:tc>
          <w:tcPr>
            <w:tcW w:w="2494" w:type="dxa"/>
            <w:tcBorders>
              <w:top w:val="single" w:sz="4" w:space="0" w:color="auto"/>
              <w:left w:val="single" w:sz="4" w:space="0" w:color="auto"/>
              <w:bottom w:val="single" w:sz="4" w:space="0" w:color="auto"/>
              <w:right w:val="single" w:sz="4" w:space="0" w:color="auto"/>
            </w:tcBorders>
            <w:vAlign w:val="center"/>
          </w:tcPr>
          <w:p w14:paraId="0340D1AC"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110FB773"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04306A1B"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perchlorate/Charcoal (80/20)</w:t>
            </w:r>
          </w:p>
        </w:tc>
        <w:tc>
          <w:tcPr>
            <w:tcW w:w="1701" w:type="dxa"/>
            <w:tcBorders>
              <w:top w:val="single" w:sz="4" w:space="0" w:color="auto"/>
              <w:left w:val="single" w:sz="4" w:space="0" w:color="auto"/>
              <w:bottom w:val="single" w:sz="4" w:space="0" w:color="auto"/>
              <w:right w:val="single" w:sz="4" w:space="0" w:color="auto"/>
            </w:tcBorders>
            <w:vAlign w:val="center"/>
          </w:tcPr>
          <w:p w14:paraId="50635211"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14:paraId="0D50423A"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0.85</w:t>
            </w:r>
          </w:p>
        </w:tc>
        <w:tc>
          <w:tcPr>
            <w:tcW w:w="2494" w:type="dxa"/>
            <w:tcBorders>
              <w:top w:val="single" w:sz="4" w:space="0" w:color="auto"/>
              <w:left w:val="single" w:sz="4" w:space="0" w:color="auto"/>
              <w:bottom w:val="single" w:sz="4" w:space="0" w:color="auto"/>
              <w:right w:val="single" w:sz="4" w:space="0" w:color="auto"/>
            </w:tcBorders>
            <w:vAlign w:val="center"/>
          </w:tcPr>
          <w:p w14:paraId="5B095BB3"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16395DFF"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22FD6CF4"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perchlorate/Charcoal (60/40)</w:t>
            </w:r>
          </w:p>
        </w:tc>
        <w:tc>
          <w:tcPr>
            <w:tcW w:w="1701" w:type="dxa"/>
            <w:tcBorders>
              <w:top w:val="single" w:sz="4" w:space="0" w:color="auto"/>
              <w:left w:val="single" w:sz="4" w:space="0" w:color="auto"/>
              <w:bottom w:val="single" w:sz="4" w:space="0" w:color="auto"/>
              <w:right w:val="single" w:sz="4" w:space="0" w:color="auto"/>
            </w:tcBorders>
            <w:vAlign w:val="center"/>
          </w:tcPr>
          <w:p w14:paraId="6F498CA0"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14:paraId="73A4DAF8"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2.80</w:t>
            </w:r>
          </w:p>
        </w:tc>
        <w:tc>
          <w:tcPr>
            <w:tcW w:w="2494" w:type="dxa"/>
            <w:tcBorders>
              <w:top w:val="single" w:sz="4" w:space="0" w:color="auto"/>
              <w:left w:val="single" w:sz="4" w:space="0" w:color="auto"/>
              <w:bottom w:val="single" w:sz="4" w:space="0" w:color="auto"/>
              <w:right w:val="single" w:sz="4" w:space="0" w:color="auto"/>
            </w:tcBorders>
            <w:vAlign w:val="center"/>
          </w:tcPr>
          <w:p w14:paraId="16715E3F"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43E09297"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31D7C193"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perchlorate/Charcoal (50/50)</w:t>
            </w:r>
          </w:p>
        </w:tc>
        <w:tc>
          <w:tcPr>
            <w:tcW w:w="1701" w:type="dxa"/>
            <w:tcBorders>
              <w:top w:val="single" w:sz="4" w:space="0" w:color="auto"/>
              <w:left w:val="single" w:sz="4" w:space="0" w:color="auto"/>
              <w:bottom w:val="single" w:sz="4" w:space="0" w:color="auto"/>
              <w:right w:val="single" w:sz="4" w:space="0" w:color="auto"/>
            </w:tcBorders>
            <w:vAlign w:val="center"/>
          </w:tcPr>
          <w:p w14:paraId="3D29F83F"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14:paraId="0E256C8B"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9.26</w:t>
            </w:r>
          </w:p>
        </w:tc>
        <w:tc>
          <w:tcPr>
            <w:tcW w:w="2494" w:type="dxa"/>
            <w:tcBorders>
              <w:top w:val="single" w:sz="4" w:space="0" w:color="auto"/>
              <w:left w:val="single" w:sz="4" w:space="0" w:color="auto"/>
              <w:bottom w:val="single" w:sz="4" w:space="0" w:color="auto"/>
              <w:right w:val="single" w:sz="4" w:space="0" w:color="auto"/>
            </w:tcBorders>
            <w:vAlign w:val="center"/>
          </w:tcPr>
          <w:p w14:paraId="4CC1DA4D"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Not flash composition</w:t>
            </w:r>
          </w:p>
        </w:tc>
      </w:tr>
      <w:tr w:rsidR="0040205D" w:rsidRPr="00635562" w14:paraId="1C7E2998"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196483CC"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 Potassium nitrate /Charcoal (53/26/21)</w:t>
            </w:r>
          </w:p>
        </w:tc>
        <w:tc>
          <w:tcPr>
            <w:tcW w:w="1701" w:type="dxa"/>
            <w:tcBorders>
              <w:top w:val="single" w:sz="4" w:space="0" w:color="auto"/>
              <w:left w:val="single" w:sz="4" w:space="0" w:color="auto"/>
              <w:bottom w:val="single" w:sz="4" w:space="0" w:color="auto"/>
              <w:right w:val="single" w:sz="4" w:space="0" w:color="auto"/>
            </w:tcBorders>
            <w:vAlign w:val="center"/>
          </w:tcPr>
          <w:p w14:paraId="4020F3E3"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14:paraId="4B392FF1"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1.09</w:t>
            </w:r>
          </w:p>
        </w:tc>
        <w:tc>
          <w:tcPr>
            <w:tcW w:w="2494" w:type="dxa"/>
            <w:tcBorders>
              <w:top w:val="single" w:sz="4" w:space="0" w:color="auto"/>
              <w:left w:val="single" w:sz="4" w:space="0" w:color="auto"/>
              <w:bottom w:val="single" w:sz="4" w:space="0" w:color="auto"/>
              <w:right w:val="single" w:sz="4" w:space="0" w:color="auto"/>
            </w:tcBorders>
            <w:vAlign w:val="center"/>
          </w:tcPr>
          <w:p w14:paraId="6BF120A4"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r w:rsidR="0040205D" w:rsidRPr="00635562" w14:paraId="76761140"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2F0E62FE"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 Potassium nitrate /Charcoal (53/26/21) (Cottonseed core)</w:t>
            </w:r>
          </w:p>
        </w:tc>
        <w:tc>
          <w:tcPr>
            <w:tcW w:w="1701" w:type="dxa"/>
            <w:tcBorders>
              <w:top w:val="single" w:sz="4" w:space="0" w:color="auto"/>
              <w:left w:val="single" w:sz="4" w:space="0" w:color="auto"/>
              <w:bottom w:val="single" w:sz="4" w:space="0" w:color="auto"/>
              <w:right w:val="single" w:sz="4" w:space="0" w:color="auto"/>
            </w:tcBorders>
            <w:vAlign w:val="center"/>
          </w:tcPr>
          <w:p w14:paraId="55F87BA5"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14:paraId="38AC4CD2"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7.39</w:t>
            </w:r>
          </w:p>
        </w:tc>
        <w:tc>
          <w:tcPr>
            <w:tcW w:w="2494" w:type="dxa"/>
            <w:tcBorders>
              <w:top w:val="single" w:sz="4" w:space="0" w:color="auto"/>
              <w:left w:val="single" w:sz="4" w:space="0" w:color="auto"/>
              <w:bottom w:val="single" w:sz="4" w:space="0" w:color="auto"/>
              <w:right w:val="single" w:sz="4" w:space="0" w:color="auto"/>
            </w:tcBorders>
            <w:vAlign w:val="center"/>
          </w:tcPr>
          <w:p w14:paraId="450BF300"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Not flash composition</w:t>
            </w:r>
          </w:p>
        </w:tc>
      </w:tr>
      <w:tr w:rsidR="0040205D" w:rsidRPr="00635562" w14:paraId="657A83E9" w14:textId="77777777" w:rsidTr="00A96C07">
        <w:trPr>
          <w:cantSplit/>
          <w:trHeight w:val="219"/>
        </w:trPr>
        <w:tc>
          <w:tcPr>
            <w:tcW w:w="3946" w:type="dxa"/>
            <w:tcBorders>
              <w:top w:val="single" w:sz="4" w:space="0" w:color="auto"/>
              <w:left w:val="single" w:sz="4" w:space="0" w:color="auto"/>
              <w:bottom w:val="single" w:sz="4" w:space="0" w:color="auto"/>
              <w:right w:val="single" w:sz="4" w:space="0" w:color="auto"/>
            </w:tcBorders>
          </w:tcPr>
          <w:p w14:paraId="2A80C4AE" w14:textId="77777777" w:rsidR="0040205D" w:rsidRPr="00635562" w:rsidRDefault="0040205D" w:rsidP="00A96C07">
            <w:pPr>
              <w:suppressAutoHyphens w:val="0"/>
              <w:spacing w:line="240" w:lineRule="auto"/>
              <w:jc w:val="center"/>
              <w:rPr>
                <w:rFonts w:eastAsia="SimSun"/>
                <w:sz w:val="18"/>
                <w:szCs w:val="18"/>
              </w:rPr>
            </w:pPr>
            <w:r w:rsidRPr="00635562">
              <w:rPr>
                <w:rFonts w:eastAsia="SimSun"/>
                <w:sz w:val="18"/>
                <w:szCs w:val="18"/>
              </w:rPr>
              <w:t>Potassium perchlorate/Charcoal /Aluminium (59/23/18)</w:t>
            </w:r>
          </w:p>
        </w:tc>
        <w:tc>
          <w:tcPr>
            <w:tcW w:w="1701" w:type="dxa"/>
            <w:tcBorders>
              <w:top w:val="single" w:sz="4" w:space="0" w:color="auto"/>
              <w:left w:val="single" w:sz="4" w:space="0" w:color="auto"/>
              <w:bottom w:val="single" w:sz="4" w:space="0" w:color="auto"/>
              <w:right w:val="single" w:sz="4" w:space="0" w:color="auto"/>
            </w:tcBorders>
            <w:vAlign w:val="center"/>
          </w:tcPr>
          <w:p w14:paraId="29060793"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14:paraId="675D6D5D"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1.14</w:t>
            </w:r>
          </w:p>
        </w:tc>
        <w:tc>
          <w:tcPr>
            <w:tcW w:w="2494" w:type="dxa"/>
            <w:tcBorders>
              <w:top w:val="single" w:sz="4" w:space="0" w:color="auto"/>
              <w:left w:val="single" w:sz="4" w:space="0" w:color="auto"/>
              <w:bottom w:val="single" w:sz="4" w:space="0" w:color="auto"/>
              <w:right w:val="single" w:sz="4" w:space="0" w:color="auto"/>
            </w:tcBorders>
            <w:vAlign w:val="center"/>
          </w:tcPr>
          <w:p w14:paraId="06397642" w14:textId="77777777" w:rsidR="0040205D" w:rsidRPr="00635562" w:rsidRDefault="0040205D" w:rsidP="00A96C07">
            <w:pPr>
              <w:suppressAutoHyphens w:val="0"/>
              <w:spacing w:line="240" w:lineRule="auto"/>
              <w:jc w:val="center"/>
              <w:rPr>
                <w:rFonts w:eastAsia="SimSun"/>
                <w:sz w:val="18"/>
                <w:szCs w:val="18"/>
              </w:rPr>
            </w:pPr>
            <w:r w:rsidRPr="00635562">
              <w:rPr>
                <w:sz w:val="18"/>
                <w:szCs w:val="18"/>
              </w:rPr>
              <w:t>Flash composition</w:t>
            </w:r>
          </w:p>
        </w:tc>
      </w:tr>
    </w:tbl>
    <w:p w14:paraId="28237BDB" w14:textId="77777777" w:rsidR="0040205D" w:rsidRPr="00635562" w:rsidRDefault="0040205D" w:rsidP="0040205D">
      <w:pPr>
        <w:pStyle w:val="SingleTxtG"/>
        <w:spacing w:before="120"/>
        <w:jc w:val="left"/>
      </w:pPr>
      <w:r w:rsidRPr="00635562">
        <w:t>Insert a new section 2 to read as follows:</w:t>
      </w:r>
    </w:p>
    <w:p w14:paraId="74533DD9" w14:textId="77777777" w:rsidR="0040205D" w:rsidRPr="00635562" w:rsidRDefault="0040205D" w:rsidP="0040205D">
      <w:pPr>
        <w:pStyle w:val="SingleTxtG"/>
        <w:rPr>
          <w:b/>
          <w:lang w:eastAsia="ja-JP"/>
        </w:rPr>
      </w:pPr>
      <w:r w:rsidRPr="00635562">
        <w:rPr>
          <w:b/>
          <w:lang w:eastAsia="ja-JP"/>
        </w:rPr>
        <w:lastRenderedPageBreak/>
        <w:t>“2.</w:t>
      </w:r>
      <w:r w:rsidRPr="00635562">
        <w:rPr>
          <w:b/>
          <w:lang w:eastAsia="ja-JP"/>
        </w:rPr>
        <w:tab/>
        <w:t>US Flash Composition Test</w:t>
      </w:r>
    </w:p>
    <w:p w14:paraId="38789E00" w14:textId="77777777" w:rsidR="0040205D" w:rsidRPr="00635562" w:rsidRDefault="0040205D" w:rsidP="0040205D">
      <w:pPr>
        <w:pStyle w:val="SingleTxtG"/>
        <w:rPr>
          <w:b/>
          <w:lang w:eastAsia="ja-JP"/>
        </w:rPr>
      </w:pPr>
      <w:r w:rsidRPr="00635562">
        <w:rPr>
          <w:b/>
          <w:lang w:eastAsia="ja-JP"/>
        </w:rPr>
        <w:t>2.1</w:t>
      </w:r>
      <w:r w:rsidRPr="00635562">
        <w:rPr>
          <w:b/>
          <w:lang w:eastAsia="ja-JP"/>
        </w:rPr>
        <w:tab/>
      </w:r>
      <w:r w:rsidRPr="00635562">
        <w:rPr>
          <w:b/>
          <w:i/>
        </w:rPr>
        <w:t>Introduction</w:t>
      </w:r>
    </w:p>
    <w:p w14:paraId="06523CB2" w14:textId="77777777" w:rsidR="0040205D" w:rsidRPr="00635562" w:rsidRDefault="0040205D" w:rsidP="0040205D">
      <w:pPr>
        <w:pStyle w:val="SingleTxtG"/>
      </w:pPr>
      <w:r w:rsidRPr="00635562">
        <w:tab/>
        <w:t>This test may be used to determine if pyrotechnic substances in powder form or as pyrotechnic units as presented in fireworks that are used in waterfalls, or to produce an aural effect or used as a bursting charge or propellant charge, may be considered a “flash composition” for the purposes of the default fireworks classification table in 2.1.3.5.5 of the Model Regulations.</w:t>
      </w:r>
    </w:p>
    <w:p w14:paraId="1BEF3236" w14:textId="77777777" w:rsidR="0040205D" w:rsidRPr="00635562" w:rsidRDefault="0040205D" w:rsidP="0040205D">
      <w:pPr>
        <w:pStyle w:val="SingleTxtG"/>
        <w:rPr>
          <w:b/>
          <w:lang w:eastAsia="ja-JP"/>
        </w:rPr>
      </w:pPr>
      <w:r w:rsidRPr="00635562">
        <w:rPr>
          <w:b/>
          <w:lang w:eastAsia="ja-JP"/>
        </w:rPr>
        <w:t>2.2</w:t>
      </w:r>
      <w:r w:rsidRPr="00635562">
        <w:rPr>
          <w:b/>
          <w:lang w:eastAsia="ja-JP"/>
        </w:rPr>
        <w:tab/>
      </w:r>
      <w:r w:rsidRPr="00635562">
        <w:rPr>
          <w:b/>
          <w:i/>
          <w:lang w:eastAsia="ja-JP"/>
        </w:rPr>
        <w:t>Apparatus and materials</w:t>
      </w:r>
    </w:p>
    <w:p w14:paraId="42660846" w14:textId="77777777" w:rsidR="0040205D" w:rsidRPr="00635562" w:rsidRDefault="0040205D" w:rsidP="0040205D">
      <w:pPr>
        <w:pStyle w:val="SingleTxtG"/>
      </w:pPr>
      <w:r w:rsidRPr="00635562">
        <w:tab/>
        <w:t>The experimental set up consists of:</w:t>
      </w:r>
    </w:p>
    <w:p w14:paraId="5F584A48" w14:textId="77777777" w:rsidR="0040205D" w:rsidRPr="00635562" w:rsidRDefault="0040205D" w:rsidP="0040205D">
      <w:pPr>
        <w:pStyle w:val="SingleTxtG"/>
      </w:pPr>
      <w:r w:rsidRPr="00635562">
        <w:tab/>
        <w:t>A cardboard or fibreboard sample tube with a minimum inside diameter of 25 mm and</w:t>
      </w:r>
      <w:r w:rsidRPr="00635562">
        <w:rPr>
          <w:color w:val="FF0000"/>
        </w:rPr>
        <w:t xml:space="preserve"> </w:t>
      </w:r>
      <w:r w:rsidRPr="00635562">
        <w:rPr>
          <w:lang w:eastAsia="ja-JP"/>
        </w:rPr>
        <w:t xml:space="preserve">a maximum </w:t>
      </w:r>
      <w:r w:rsidRPr="00635562">
        <w:t xml:space="preserve">height </w:t>
      </w:r>
      <w:r w:rsidRPr="00635562">
        <w:rPr>
          <w:lang w:eastAsia="ja-JP"/>
        </w:rPr>
        <w:t>of 154</w:t>
      </w:r>
      <w:r w:rsidRPr="00635562">
        <w:t> mm with a maximum wall thickness of 3.8 mm, closed at the base with a thin cardboard or paperboard disk, plug or cap just sufficient to retain the sample;</w:t>
      </w:r>
    </w:p>
    <w:p w14:paraId="592698BA" w14:textId="77777777" w:rsidR="0040205D" w:rsidRPr="00635562" w:rsidRDefault="0040205D" w:rsidP="0040205D">
      <w:pPr>
        <w:pStyle w:val="SingleTxtG"/>
      </w:pPr>
      <w:r w:rsidRPr="00635562">
        <w:tab/>
        <w:t>A 1.0 mm thick 160 × 160 mm witness plate consisting of steel conforming to specification S235JR (EN10025) or ST37-2 (DIN17100) or SPCC (JIS G 3141) or equivalent having a stretch limit (or r</w:t>
      </w:r>
      <w:r w:rsidRPr="00635562">
        <w:rPr>
          <w:lang w:eastAsia="ja-JP"/>
        </w:rPr>
        <w:t>u</w:t>
      </w:r>
      <w:r w:rsidRPr="00635562">
        <w:t>pture strength) of 185-355 N/mm</w:t>
      </w:r>
      <w:r w:rsidRPr="00635562">
        <w:rPr>
          <w:vertAlign w:val="superscript"/>
        </w:rPr>
        <w:t>2</w:t>
      </w:r>
      <w:r w:rsidRPr="00635562">
        <w:t>, an ultimate tensile strength of 336 - 379 N/mm</w:t>
      </w:r>
      <w:r w:rsidRPr="00635562">
        <w:rPr>
          <w:vertAlign w:val="superscript"/>
        </w:rPr>
        <w:t>2</w:t>
      </w:r>
      <w:r w:rsidRPr="00635562">
        <w:t xml:space="preserve"> and a percentage elongation after fracture of 26-46% ;</w:t>
      </w:r>
    </w:p>
    <w:p w14:paraId="38BDF8FA" w14:textId="77777777" w:rsidR="0040205D" w:rsidRPr="00635562" w:rsidRDefault="0040205D" w:rsidP="0040205D">
      <w:pPr>
        <w:pStyle w:val="SingleTxtG"/>
      </w:pPr>
      <w:r w:rsidRPr="00635562">
        <w:tab/>
        <w:t xml:space="preserve">An electric igniter, e.g. a fuse head, with lead wires of at least 30 cm </w:t>
      </w:r>
      <w:r w:rsidRPr="00635562">
        <w:rPr>
          <w:lang w:eastAsia="ja-JP"/>
        </w:rPr>
        <w:t xml:space="preserve">in </w:t>
      </w:r>
      <w:r w:rsidRPr="00635562">
        <w:t>length;</w:t>
      </w:r>
    </w:p>
    <w:p w14:paraId="6B056DC1" w14:textId="77777777" w:rsidR="0040205D" w:rsidRPr="00635562" w:rsidRDefault="0040205D" w:rsidP="0040205D">
      <w:pPr>
        <w:pStyle w:val="SingleTxtG"/>
      </w:pPr>
      <w:r w:rsidRPr="00635562">
        <w:tab/>
        <w:t xml:space="preserve">A mild steel confinement sleeve (weighing approximately 3 kg) having an outside diameter of 63 mm and a </w:t>
      </w:r>
      <w:r w:rsidRPr="00635562">
        <w:rPr>
          <w:lang w:eastAsia="ja-JP"/>
        </w:rPr>
        <w:t>minimum length</w:t>
      </w:r>
      <w:r w:rsidRPr="00635562">
        <w:t xml:space="preserve"> of 165 mm with a flat</w:t>
      </w:r>
      <w:r w:rsidRPr="00635562">
        <w:rPr>
          <w:lang w:eastAsia="ja-JP"/>
        </w:rPr>
        <w:t>-</w:t>
      </w:r>
      <w:r w:rsidRPr="00635562">
        <w:t>bottomed round bore whose interior dimensions for diameter and depth are 38 mm and 155 mm, respectively, and a notch or groove cut into one radius of the open end sufficient to allow the igniter lead wires to pass through (the steel sleeve might be provided with a rugged steel handle for easier handling);</w:t>
      </w:r>
    </w:p>
    <w:p w14:paraId="4A506446" w14:textId="77777777" w:rsidR="0040205D" w:rsidRPr="00635562" w:rsidRDefault="0040205D" w:rsidP="0040205D">
      <w:pPr>
        <w:pStyle w:val="SingleTxtG"/>
      </w:pPr>
      <w:r w:rsidRPr="00635562">
        <w:tab/>
        <w:t>A steel ring of approximately 50 mm height with an inner diameter of 95 mm; and</w:t>
      </w:r>
    </w:p>
    <w:p w14:paraId="09239F49" w14:textId="77777777" w:rsidR="0040205D" w:rsidRPr="00635562" w:rsidRDefault="0040205D" w:rsidP="0040205D">
      <w:pPr>
        <w:pStyle w:val="SingleTxtG"/>
      </w:pPr>
      <w:r w:rsidRPr="00635562">
        <w:tab/>
      </w:r>
      <w:proofErr w:type="gramStart"/>
      <w:r w:rsidRPr="00635562">
        <w:t xml:space="preserve">A solid metal base, e.g. a plate of approximately 25 mm </w:t>
      </w:r>
      <w:r w:rsidRPr="00635562">
        <w:rPr>
          <w:lang w:eastAsia="ja-JP"/>
        </w:rPr>
        <w:t xml:space="preserve">in </w:t>
      </w:r>
      <w:r w:rsidRPr="00635562">
        <w:t>thickness and 150 mm square.</w:t>
      </w:r>
      <w:proofErr w:type="gramEnd"/>
    </w:p>
    <w:p w14:paraId="36A25C6E" w14:textId="77777777" w:rsidR="0040205D" w:rsidRPr="00635562" w:rsidRDefault="0040205D" w:rsidP="0040205D">
      <w:pPr>
        <w:pStyle w:val="SingleTxtG"/>
        <w:rPr>
          <w:b/>
          <w:lang w:eastAsia="ja-JP"/>
        </w:rPr>
      </w:pPr>
      <w:r w:rsidRPr="00635562">
        <w:rPr>
          <w:b/>
          <w:lang w:eastAsia="ja-JP"/>
        </w:rPr>
        <w:t>2.3</w:t>
      </w:r>
      <w:r w:rsidRPr="00635562">
        <w:rPr>
          <w:b/>
          <w:lang w:eastAsia="ja-JP"/>
        </w:rPr>
        <w:tab/>
      </w:r>
      <w:r w:rsidRPr="00635562">
        <w:rPr>
          <w:b/>
          <w:i/>
          <w:lang w:eastAsia="ja-JP"/>
        </w:rPr>
        <w:t>Procedure</w:t>
      </w:r>
    </w:p>
    <w:p w14:paraId="0DC0C88C" w14:textId="77777777" w:rsidR="0040205D" w:rsidRPr="00635562" w:rsidRDefault="0040205D" w:rsidP="0040205D">
      <w:pPr>
        <w:pStyle w:val="SingleTxtG"/>
      </w:pPr>
      <w:r w:rsidRPr="00635562">
        <w:rPr>
          <w:lang w:eastAsia="ja-JP"/>
        </w:rPr>
        <w:t>2.3.1</w:t>
      </w:r>
      <w:r w:rsidRPr="00635562">
        <w:rPr>
          <w:lang w:eastAsia="ja-JP"/>
        </w:rPr>
        <w:tab/>
      </w:r>
      <w:r w:rsidRPr="00635562">
        <w:t>Prior to testing, the pyrotechnic substance is stored for at least 24 hours in a desiccator at a temperature of 20-30 °C. Twenty-five (25) g net mass of the pyrotechnic substance to be tested as a loose powder or granulated or coated onto any substrate, is pre-weighed and then poured carefully into a fibreboard sample tube with the bottom end closed with a cardboard or paperboard disk, cap or plug. After filling, the top cardboard or paperboard disk, cap or plug might be inserted lightly to protect the sample from spillage during transport to the test stand. The height of the sample substance in the tube will vary depending on its density. The sample should be first consolidated by lightly tapping the tube on a non-sparking surface. The final density of the pyrotechnic substance in the tube should be as close as possible to the density achieved when contained in a fireworks device.</w:t>
      </w:r>
    </w:p>
    <w:p w14:paraId="37DA5B82" w14:textId="77777777" w:rsidR="0040205D" w:rsidRPr="00635562" w:rsidRDefault="0040205D" w:rsidP="0040205D">
      <w:pPr>
        <w:pStyle w:val="SingleTxtG"/>
        <w:rPr>
          <w:lang w:eastAsia="ja-JP"/>
        </w:rPr>
      </w:pPr>
      <w:r w:rsidRPr="00635562">
        <w:rPr>
          <w:lang w:eastAsia="ja-JP"/>
        </w:rPr>
        <w:t>2.3</w:t>
      </w:r>
      <w:r w:rsidRPr="00635562">
        <w:t>.2</w:t>
      </w:r>
      <w:r w:rsidRPr="00635562">
        <w:rPr>
          <w:lang w:eastAsia="ja-JP"/>
        </w:rPr>
        <w:tab/>
      </w:r>
      <w:r w:rsidRPr="00635562">
        <w:t xml:space="preserve">The witness plate is placed on the supporting ring. If present, the paperboard or cardboard top disk, cap or plug of the fibreboard sample tube is removed and the electric igniter is inserted into the top of the pyrotechnic substance to be tested and visually positioned to an approximate depth of 10 mm. The paperboard or cardboard top disk, cap or plug is then inserted or re-inserted, fixing the igniter's position in the fibreboard sample tube and the depth of its match head. The lead wires are bent over and down along the sidewall and bent away at the bottom. The sample tube is placed vertically and centred on the witness plate. The steel sleeve is placed over the fibreboard sample tube. The igniter lead wires are positioned to pass through the slotted groove in the bottom edge of the steel </w:t>
      </w:r>
      <w:r w:rsidRPr="00635562">
        <w:lastRenderedPageBreak/>
        <w:t xml:space="preserve">confining sleeve and will be ready to attach to the firing circuit apparatus. </w:t>
      </w:r>
      <w:r w:rsidRPr="00635562">
        <w:rPr>
          <w:lang w:eastAsia="ja-JP"/>
        </w:rPr>
        <w:t xml:space="preserve">Finally, the alignment of the steel sleeve and the witness plate is corrected so that their centres are aligned with the centre of the steel ring. </w:t>
      </w:r>
      <w:r w:rsidRPr="00635562">
        <w:t>See Figure A7.10 as an example of the test set-up.</w:t>
      </w:r>
      <w:r w:rsidRPr="00635562">
        <w:rPr>
          <w:lang w:eastAsia="ja-JP"/>
        </w:rPr>
        <w:t xml:space="preserve"> The cardboard or paperboard disk, cap or plug at the bottom end of the sample tube should be placed properly to avoid air gap between the witness plate and the bottom end of the substance to be tested.</w:t>
      </w:r>
    </w:p>
    <w:p w14:paraId="4EF549FD" w14:textId="77777777" w:rsidR="0040205D" w:rsidRPr="00635562" w:rsidRDefault="0040205D" w:rsidP="0040205D">
      <w:pPr>
        <w:pStyle w:val="SingleTxtG"/>
      </w:pPr>
      <w:r w:rsidRPr="00635562">
        <w:rPr>
          <w:lang w:eastAsia="ja-JP"/>
        </w:rPr>
        <w:t>2.3</w:t>
      </w:r>
      <w:r w:rsidRPr="00635562">
        <w:t>.3</w:t>
      </w:r>
      <w:r w:rsidRPr="00635562">
        <w:rPr>
          <w:lang w:eastAsia="ja-JP"/>
        </w:rPr>
        <w:tab/>
      </w:r>
      <w:r w:rsidRPr="00635562">
        <w:t>The electric ignite</w:t>
      </w:r>
      <w:r w:rsidRPr="00635562">
        <w:rPr>
          <w:lang w:eastAsia="ja-JP"/>
        </w:rPr>
        <w:t>r</w:t>
      </w:r>
      <w:r w:rsidRPr="00635562">
        <w:t xml:space="preserve"> is then initiated from a safe position. After initiation and a suitable interval the witness plate is recovered and examined. The test should be performed 3 times unless a positive result is obtained earlier.</w:t>
      </w:r>
    </w:p>
    <w:p w14:paraId="33245EDB" w14:textId="77777777" w:rsidR="0040205D" w:rsidRPr="00635562" w:rsidRDefault="0040205D" w:rsidP="0040205D">
      <w:pPr>
        <w:pStyle w:val="SingleTxtG"/>
        <w:rPr>
          <w:b/>
          <w:lang w:eastAsia="ja-JP"/>
        </w:rPr>
      </w:pPr>
      <w:r w:rsidRPr="00635562">
        <w:rPr>
          <w:b/>
          <w:lang w:eastAsia="ja-JP"/>
        </w:rPr>
        <w:t>2.4</w:t>
      </w:r>
      <w:r w:rsidRPr="00635562">
        <w:rPr>
          <w:b/>
          <w:lang w:eastAsia="ja-JP"/>
        </w:rPr>
        <w:tab/>
      </w:r>
      <w:r w:rsidRPr="00635562">
        <w:rPr>
          <w:b/>
          <w:i/>
          <w:lang w:eastAsia="ja-JP"/>
        </w:rPr>
        <w:t>Test criteria and method of assessing results</w:t>
      </w:r>
    </w:p>
    <w:p w14:paraId="1557B946" w14:textId="10413F31" w:rsidR="0040205D" w:rsidRPr="00635562" w:rsidRDefault="0040205D" w:rsidP="00DA0DD6">
      <w:pPr>
        <w:pStyle w:val="SingleTxtG"/>
      </w:pPr>
      <w:r w:rsidRPr="00635562">
        <w:tab/>
        <w:t xml:space="preserve">The result is considered positive “+” and the pyrotechnic substances in powder form or as pyrotechnic units as presented in the fireworks, that are used in waterfalls, or to produce an aural effect, or used as a bursting charge or </w:t>
      </w:r>
      <w:r w:rsidR="00BA4B0C" w:rsidRPr="00635562">
        <w:t xml:space="preserve">propellant </w:t>
      </w:r>
      <w:r w:rsidRPr="00635562">
        <w:t xml:space="preserve">charge, </w:t>
      </w:r>
      <w:r w:rsidR="00DA0DD6" w:rsidRPr="00635562">
        <w:t xml:space="preserve">are </w:t>
      </w:r>
      <w:r w:rsidRPr="00635562">
        <w:t>to be considered as flash composition if:</w:t>
      </w:r>
    </w:p>
    <w:p w14:paraId="616B715E" w14:textId="77777777" w:rsidR="0040205D" w:rsidRPr="00635562" w:rsidRDefault="0040205D" w:rsidP="0040205D">
      <w:pPr>
        <w:spacing w:after="120"/>
        <w:ind w:left="1134" w:right="1134"/>
        <w:jc w:val="both"/>
      </w:pPr>
      <w:r w:rsidRPr="00635562">
        <w:tab/>
        <w:t>(a)</w:t>
      </w:r>
      <w:r w:rsidRPr="00635562">
        <w:tab/>
        <w:t>In any trial the witness plate is torn, perforated, pierced or penetrated; or;</w:t>
      </w:r>
    </w:p>
    <w:p w14:paraId="71E9132A" w14:textId="77777777" w:rsidR="0040205D" w:rsidRPr="00635562" w:rsidRDefault="0040205D" w:rsidP="0040205D">
      <w:pPr>
        <w:pStyle w:val="SingleTxtG"/>
        <w:rPr>
          <w:lang w:eastAsia="ja-JP"/>
        </w:rPr>
      </w:pPr>
      <w:r w:rsidRPr="00635562">
        <w:tab/>
        <w:t>(b)</w:t>
      </w:r>
      <w:r w:rsidRPr="00635562">
        <w:tab/>
        <w:t xml:space="preserve">The average of the maximum </w:t>
      </w:r>
      <w:r w:rsidRPr="00635562">
        <w:rPr>
          <w:lang w:eastAsia="ja-JP"/>
        </w:rPr>
        <w:t>depths of indented</w:t>
      </w:r>
      <w:r w:rsidRPr="00635562">
        <w:t xml:space="preserve"> witness plates from all three trials exceeds 15 </w:t>
      </w:r>
      <w:r w:rsidRPr="00635562">
        <w:rPr>
          <w:lang w:eastAsia="ja-JP"/>
        </w:rPr>
        <w:t>mm</w:t>
      </w:r>
      <w:r w:rsidRPr="00635562">
        <w:t>.</w:t>
      </w:r>
    </w:p>
    <w:p w14:paraId="1591214E" w14:textId="77777777" w:rsidR="0040205D" w:rsidRPr="00635562" w:rsidRDefault="0040205D" w:rsidP="0040205D">
      <w:pPr>
        <w:pStyle w:val="H23G"/>
        <w:spacing w:before="120"/>
        <w:rPr>
          <w:lang w:eastAsia="ja-JP"/>
        </w:rPr>
      </w:pPr>
      <w:r w:rsidRPr="00635562">
        <w:rPr>
          <w:lang w:eastAsia="ja-JP"/>
        </w:rPr>
        <w:tab/>
      </w:r>
      <w:r w:rsidRPr="00635562">
        <w:rPr>
          <w:lang w:eastAsia="ja-JP"/>
        </w:rPr>
        <w:tab/>
        <w:t>Examples of results</w:t>
      </w:r>
    </w:p>
    <w:tbl>
      <w:tblPr>
        <w:tblW w:w="8505"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464"/>
        <w:gridCol w:w="1467"/>
        <w:gridCol w:w="1732"/>
        <w:gridCol w:w="1842"/>
      </w:tblGrid>
      <w:tr w:rsidR="0040205D" w:rsidRPr="00635562" w14:paraId="5E5EFD31" w14:textId="77777777" w:rsidTr="00A96C07">
        <w:trPr>
          <w:cantSplit/>
          <w:trHeight w:val="1065"/>
        </w:trPr>
        <w:tc>
          <w:tcPr>
            <w:tcW w:w="3464" w:type="dxa"/>
            <w:tcBorders>
              <w:top w:val="single" w:sz="4" w:space="0" w:color="auto"/>
              <w:left w:val="single" w:sz="4" w:space="0" w:color="auto"/>
              <w:bottom w:val="single" w:sz="4" w:space="0" w:color="auto"/>
              <w:right w:val="single" w:sz="4" w:space="0" w:color="auto"/>
            </w:tcBorders>
            <w:vAlign w:val="center"/>
          </w:tcPr>
          <w:p w14:paraId="7BB7684D" w14:textId="77777777" w:rsidR="0040205D" w:rsidRPr="00635562" w:rsidRDefault="0040205D" w:rsidP="00A96C07">
            <w:pPr>
              <w:keepNext/>
              <w:keepLines/>
              <w:suppressAutoHyphens w:val="0"/>
              <w:spacing w:line="240" w:lineRule="auto"/>
              <w:jc w:val="center"/>
              <w:rPr>
                <w:rFonts w:eastAsia="SimSun"/>
                <w:b/>
                <w:bCs/>
                <w:sz w:val="18"/>
                <w:szCs w:val="18"/>
              </w:rPr>
            </w:pPr>
            <w:r w:rsidRPr="00635562">
              <w:rPr>
                <w:rFonts w:eastAsia="SimSun"/>
                <w:b/>
                <w:bCs/>
                <w:sz w:val="18"/>
                <w:szCs w:val="18"/>
              </w:rPr>
              <w:t>Composition (mass %)</w:t>
            </w:r>
          </w:p>
        </w:tc>
        <w:tc>
          <w:tcPr>
            <w:tcW w:w="1467" w:type="dxa"/>
            <w:tcBorders>
              <w:top w:val="single" w:sz="4" w:space="0" w:color="auto"/>
              <w:left w:val="single" w:sz="4" w:space="0" w:color="auto"/>
              <w:bottom w:val="single" w:sz="4" w:space="0" w:color="auto"/>
              <w:right w:val="single" w:sz="4" w:space="0" w:color="auto"/>
            </w:tcBorders>
            <w:vAlign w:val="center"/>
          </w:tcPr>
          <w:p w14:paraId="4629504D" w14:textId="77777777" w:rsidR="0040205D" w:rsidRPr="00635562" w:rsidRDefault="0040205D" w:rsidP="00A96C07">
            <w:pPr>
              <w:keepNext/>
              <w:keepLines/>
              <w:suppressAutoHyphens w:val="0"/>
              <w:spacing w:line="240" w:lineRule="auto"/>
              <w:jc w:val="center"/>
              <w:rPr>
                <w:rFonts w:eastAsia="SimSun"/>
                <w:sz w:val="18"/>
                <w:szCs w:val="18"/>
              </w:rPr>
            </w:pPr>
            <w:r w:rsidRPr="00635562">
              <w:rPr>
                <w:rFonts w:eastAsia="SimSun"/>
                <w:b/>
                <w:bCs/>
                <w:sz w:val="18"/>
                <w:szCs w:val="18"/>
              </w:rPr>
              <w:t>Use or effect</w:t>
            </w:r>
          </w:p>
        </w:tc>
        <w:tc>
          <w:tcPr>
            <w:tcW w:w="1732" w:type="dxa"/>
            <w:tcBorders>
              <w:top w:val="single" w:sz="4" w:space="0" w:color="auto"/>
              <w:left w:val="single" w:sz="4" w:space="0" w:color="auto"/>
              <w:bottom w:val="single" w:sz="4" w:space="0" w:color="auto"/>
              <w:right w:val="single" w:sz="4" w:space="0" w:color="auto"/>
            </w:tcBorders>
            <w:vAlign w:val="center"/>
          </w:tcPr>
          <w:p w14:paraId="39FA7D67" w14:textId="77777777" w:rsidR="0040205D" w:rsidRPr="00635562" w:rsidRDefault="0040205D" w:rsidP="00A96C07">
            <w:pPr>
              <w:keepNext/>
              <w:keepLines/>
              <w:suppressAutoHyphens w:val="0"/>
              <w:spacing w:line="240" w:lineRule="auto"/>
              <w:jc w:val="center"/>
              <w:rPr>
                <w:rFonts w:eastAsia="SimSun"/>
                <w:b/>
                <w:bCs/>
                <w:sz w:val="18"/>
                <w:szCs w:val="18"/>
              </w:rPr>
            </w:pPr>
            <w:r w:rsidRPr="00635562">
              <w:rPr>
                <w:rFonts w:eastAsia="SimSun"/>
                <w:b/>
                <w:bCs/>
                <w:sz w:val="18"/>
                <w:szCs w:val="18"/>
              </w:rPr>
              <w:t>Observation of witness plate or averaged depth of indentation (mm)</w:t>
            </w:r>
          </w:p>
        </w:tc>
        <w:tc>
          <w:tcPr>
            <w:tcW w:w="1842" w:type="dxa"/>
            <w:tcBorders>
              <w:top w:val="single" w:sz="4" w:space="0" w:color="auto"/>
              <w:left w:val="single" w:sz="4" w:space="0" w:color="auto"/>
              <w:bottom w:val="single" w:sz="4" w:space="0" w:color="auto"/>
              <w:right w:val="single" w:sz="4" w:space="0" w:color="auto"/>
            </w:tcBorders>
            <w:vAlign w:val="center"/>
          </w:tcPr>
          <w:p w14:paraId="59A9B3AE" w14:textId="77777777" w:rsidR="0040205D" w:rsidRPr="00635562" w:rsidRDefault="0040205D" w:rsidP="00A96C07">
            <w:pPr>
              <w:keepNext/>
              <w:keepLines/>
              <w:suppressAutoHyphens w:val="0"/>
              <w:spacing w:line="240" w:lineRule="auto"/>
              <w:jc w:val="center"/>
              <w:rPr>
                <w:rFonts w:eastAsia="SimSun"/>
                <w:b/>
                <w:bCs/>
                <w:sz w:val="18"/>
                <w:szCs w:val="18"/>
              </w:rPr>
            </w:pPr>
            <w:r w:rsidRPr="00635562">
              <w:rPr>
                <w:rFonts w:eastAsia="SimSun"/>
                <w:b/>
                <w:bCs/>
                <w:sz w:val="18"/>
                <w:szCs w:val="18"/>
              </w:rPr>
              <w:t>Result</w:t>
            </w:r>
          </w:p>
        </w:tc>
      </w:tr>
      <w:tr w:rsidR="0040205D" w:rsidRPr="00635562" w14:paraId="13589D64"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7D24189D"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perchlorate/Aluminium (77/23)</w:t>
            </w:r>
          </w:p>
        </w:tc>
        <w:tc>
          <w:tcPr>
            <w:tcW w:w="1467" w:type="dxa"/>
            <w:tcBorders>
              <w:top w:val="single" w:sz="4" w:space="0" w:color="auto"/>
              <w:left w:val="single" w:sz="4" w:space="0" w:color="auto"/>
              <w:bottom w:val="single" w:sz="4" w:space="0" w:color="auto"/>
              <w:right w:val="single" w:sz="4" w:space="0" w:color="auto"/>
            </w:tcBorders>
            <w:vAlign w:val="center"/>
          </w:tcPr>
          <w:p w14:paraId="6CD13ABD"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Aural (report)</w:t>
            </w:r>
          </w:p>
        </w:tc>
        <w:tc>
          <w:tcPr>
            <w:tcW w:w="1732" w:type="dxa"/>
            <w:tcBorders>
              <w:top w:val="single" w:sz="4" w:space="0" w:color="auto"/>
              <w:left w:val="single" w:sz="4" w:space="0" w:color="auto"/>
              <w:bottom w:val="single" w:sz="4" w:space="0" w:color="auto"/>
              <w:right w:val="single" w:sz="4" w:space="0" w:color="auto"/>
            </w:tcBorders>
            <w:vAlign w:val="center"/>
          </w:tcPr>
          <w:p w14:paraId="31C760AB"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48D44B46"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441E13A8"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499ABA74"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perchlorate/Barium nitrate/Aluminium/</w:t>
            </w:r>
            <w:proofErr w:type="spellStart"/>
            <w:r w:rsidRPr="00635562">
              <w:rPr>
                <w:rFonts w:eastAsia="Arial Unicode MS"/>
                <w:sz w:val="18"/>
                <w:lang w:eastAsia="ja-JP"/>
              </w:rPr>
              <w:t>Magnalium</w:t>
            </w:r>
            <w:proofErr w:type="spellEnd"/>
            <w:r w:rsidRPr="00635562">
              <w:rPr>
                <w:rFonts w:eastAsia="Arial Unicode MS"/>
                <w:sz w:val="18"/>
                <w:lang w:eastAsia="ja-JP"/>
              </w:rPr>
              <w:t xml:space="preserve"> (20/20/45/15)</w:t>
            </w:r>
          </w:p>
        </w:tc>
        <w:tc>
          <w:tcPr>
            <w:tcW w:w="1467" w:type="dxa"/>
            <w:tcBorders>
              <w:top w:val="single" w:sz="4" w:space="0" w:color="auto"/>
              <w:left w:val="single" w:sz="4" w:space="0" w:color="auto"/>
              <w:bottom w:val="single" w:sz="4" w:space="0" w:color="auto"/>
              <w:right w:val="single" w:sz="4" w:space="0" w:color="auto"/>
            </w:tcBorders>
            <w:vAlign w:val="center"/>
          </w:tcPr>
          <w:p w14:paraId="4FEFC5A9" w14:textId="77777777" w:rsidR="0040205D" w:rsidRPr="00635562" w:rsidRDefault="0040205D" w:rsidP="00A96C07">
            <w:pPr>
              <w:suppressAutoHyphens w:val="0"/>
              <w:snapToGrid w:val="0"/>
              <w:spacing w:before="40" w:after="40" w:line="220" w:lineRule="exact"/>
              <w:ind w:right="113"/>
              <w:jc w:val="center"/>
              <w:rPr>
                <w:rFonts w:eastAsia="Arial Unicode MS"/>
                <w:sz w:val="18"/>
                <w:lang w:eastAsia="ja-JP"/>
              </w:rPr>
            </w:pPr>
            <w:r w:rsidRPr="00635562">
              <w:rPr>
                <w:rFonts w:eastAsia="Arial Unicode MS"/>
                <w:sz w:val="18"/>
                <w:lang w:eastAsia="ja-JP"/>
              </w:rPr>
              <w:t>Aural</w:t>
            </w:r>
          </w:p>
          <w:p w14:paraId="3C7ED636"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(report)</w:t>
            </w:r>
          </w:p>
        </w:tc>
        <w:tc>
          <w:tcPr>
            <w:tcW w:w="1732" w:type="dxa"/>
            <w:tcBorders>
              <w:top w:val="single" w:sz="4" w:space="0" w:color="auto"/>
              <w:left w:val="single" w:sz="4" w:space="0" w:color="auto"/>
              <w:bottom w:val="single" w:sz="4" w:space="0" w:color="auto"/>
              <w:right w:val="single" w:sz="4" w:space="0" w:color="auto"/>
            </w:tcBorders>
            <w:vAlign w:val="center"/>
          </w:tcPr>
          <w:p w14:paraId="68ECAC15"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11.3</w:t>
            </w:r>
          </w:p>
        </w:tc>
        <w:tc>
          <w:tcPr>
            <w:tcW w:w="1842" w:type="dxa"/>
            <w:tcBorders>
              <w:top w:val="single" w:sz="4" w:space="0" w:color="auto"/>
              <w:left w:val="single" w:sz="4" w:space="0" w:color="auto"/>
              <w:bottom w:val="single" w:sz="4" w:space="0" w:color="auto"/>
              <w:right w:val="single" w:sz="4" w:space="0" w:color="auto"/>
            </w:tcBorders>
            <w:vAlign w:val="center"/>
          </w:tcPr>
          <w:p w14:paraId="5A9292FE"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Not flash composition</w:t>
            </w:r>
          </w:p>
        </w:tc>
      </w:tr>
      <w:tr w:rsidR="0040205D" w:rsidRPr="00635562" w14:paraId="564DD79D"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50E4F7C3" w14:textId="77777777" w:rsidR="0040205D" w:rsidRPr="00635562" w:rsidRDefault="0040205D" w:rsidP="00A96C07">
            <w:pPr>
              <w:suppressAutoHyphens w:val="0"/>
              <w:snapToGrid w:val="0"/>
              <w:spacing w:before="40" w:after="40" w:line="220" w:lineRule="exact"/>
              <w:ind w:right="113"/>
              <w:jc w:val="center"/>
              <w:rPr>
                <w:rFonts w:eastAsia="Arial Unicode MS"/>
                <w:sz w:val="18"/>
                <w:lang w:eastAsia="ja-JP"/>
              </w:rPr>
            </w:pPr>
            <w:r w:rsidRPr="00635562">
              <w:rPr>
                <w:rFonts w:eastAsia="Arial Unicode MS"/>
                <w:sz w:val="18"/>
                <w:lang w:eastAsia="ja-JP"/>
              </w:rPr>
              <w:t>Potassium perchlorate/Potassium benzoate</w:t>
            </w:r>
          </w:p>
          <w:p w14:paraId="7B01C49C"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(71/29)</w:t>
            </w:r>
          </w:p>
        </w:tc>
        <w:tc>
          <w:tcPr>
            <w:tcW w:w="1467" w:type="dxa"/>
            <w:tcBorders>
              <w:top w:val="single" w:sz="4" w:space="0" w:color="auto"/>
              <w:left w:val="single" w:sz="4" w:space="0" w:color="auto"/>
              <w:bottom w:val="single" w:sz="4" w:space="0" w:color="auto"/>
              <w:right w:val="single" w:sz="4" w:space="0" w:color="auto"/>
            </w:tcBorders>
            <w:vAlign w:val="center"/>
          </w:tcPr>
          <w:p w14:paraId="0DE08D89" w14:textId="77777777" w:rsidR="0040205D" w:rsidRPr="00635562" w:rsidRDefault="0040205D" w:rsidP="00A96C07">
            <w:pPr>
              <w:suppressAutoHyphens w:val="0"/>
              <w:snapToGrid w:val="0"/>
              <w:spacing w:before="40" w:after="40" w:line="220" w:lineRule="exact"/>
              <w:ind w:right="113"/>
              <w:jc w:val="center"/>
              <w:rPr>
                <w:rFonts w:eastAsia="Arial Unicode MS"/>
                <w:sz w:val="18"/>
                <w:lang w:eastAsia="ja-JP"/>
              </w:rPr>
            </w:pPr>
            <w:r w:rsidRPr="00635562">
              <w:rPr>
                <w:rFonts w:eastAsia="Arial Unicode MS"/>
                <w:sz w:val="18"/>
                <w:lang w:eastAsia="ja-JP"/>
              </w:rPr>
              <w:t>Aural</w:t>
            </w:r>
          </w:p>
          <w:p w14:paraId="7AA273CB"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(whistle)</w:t>
            </w:r>
          </w:p>
        </w:tc>
        <w:tc>
          <w:tcPr>
            <w:tcW w:w="1732" w:type="dxa"/>
            <w:tcBorders>
              <w:top w:val="single" w:sz="4" w:space="0" w:color="auto"/>
              <w:left w:val="single" w:sz="4" w:space="0" w:color="auto"/>
              <w:bottom w:val="single" w:sz="4" w:space="0" w:color="auto"/>
              <w:right w:val="single" w:sz="4" w:space="0" w:color="auto"/>
            </w:tcBorders>
            <w:vAlign w:val="center"/>
          </w:tcPr>
          <w:p w14:paraId="45412756"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6F8ED9FE"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7683B2B1"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03558312"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perchlorate/Potassium hydrogen terephthalate /Titanium (62/25/13)</w:t>
            </w:r>
          </w:p>
        </w:tc>
        <w:tc>
          <w:tcPr>
            <w:tcW w:w="1467" w:type="dxa"/>
            <w:tcBorders>
              <w:top w:val="single" w:sz="4" w:space="0" w:color="auto"/>
              <w:left w:val="single" w:sz="4" w:space="0" w:color="auto"/>
              <w:bottom w:val="single" w:sz="4" w:space="0" w:color="auto"/>
              <w:right w:val="single" w:sz="4" w:space="0" w:color="auto"/>
            </w:tcBorders>
            <w:vAlign w:val="center"/>
          </w:tcPr>
          <w:p w14:paraId="029205A3" w14:textId="77777777" w:rsidR="0040205D" w:rsidRPr="00635562" w:rsidRDefault="0040205D" w:rsidP="00A96C07">
            <w:pPr>
              <w:suppressAutoHyphens w:val="0"/>
              <w:snapToGrid w:val="0"/>
              <w:spacing w:before="40" w:after="40" w:line="220" w:lineRule="exact"/>
              <w:ind w:right="113"/>
              <w:jc w:val="center"/>
              <w:rPr>
                <w:rFonts w:eastAsia="Arial Unicode MS"/>
                <w:sz w:val="18"/>
                <w:lang w:eastAsia="ja-JP"/>
              </w:rPr>
            </w:pPr>
            <w:r w:rsidRPr="00635562">
              <w:rPr>
                <w:rFonts w:eastAsia="Arial Unicode MS"/>
                <w:sz w:val="18"/>
                <w:lang w:eastAsia="ja-JP"/>
              </w:rPr>
              <w:t>Aural</w:t>
            </w:r>
          </w:p>
          <w:p w14:paraId="36EEE541"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(whistle)</w:t>
            </w:r>
          </w:p>
        </w:tc>
        <w:tc>
          <w:tcPr>
            <w:tcW w:w="1732" w:type="dxa"/>
            <w:tcBorders>
              <w:top w:val="single" w:sz="4" w:space="0" w:color="auto"/>
              <w:left w:val="single" w:sz="4" w:space="0" w:color="auto"/>
              <w:bottom w:val="single" w:sz="4" w:space="0" w:color="auto"/>
              <w:right w:val="single" w:sz="4" w:space="0" w:color="auto"/>
            </w:tcBorders>
            <w:vAlign w:val="center"/>
          </w:tcPr>
          <w:p w14:paraId="05DDBA72"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26466B00"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59724989"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356B2C62" w14:textId="77777777" w:rsidR="0040205D" w:rsidRPr="00635562" w:rsidRDefault="0040205D" w:rsidP="00A96C07">
            <w:pPr>
              <w:suppressAutoHyphens w:val="0"/>
              <w:spacing w:line="240" w:lineRule="auto"/>
              <w:jc w:val="center"/>
              <w:rPr>
                <w:rFonts w:eastAsia="SimSun"/>
                <w:lang w:val="fr-FR"/>
              </w:rPr>
            </w:pPr>
            <w:r w:rsidRPr="00635562">
              <w:rPr>
                <w:rFonts w:eastAsia="Arial Unicode MS"/>
                <w:sz w:val="18"/>
                <w:lang w:val="fr-FR" w:eastAsia="ja-JP"/>
              </w:rPr>
              <w:t>Potassium perchlorate/Aluminium (P2000)/Aluminium (P50) (53/16/31)</w:t>
            </w:r>
          </w:p>
        </w:tc>
        <w:tc>
          <w:tcPr>
            <w:tcW w:w="1467" w:type="dxa"/>
            <w:tcBorders>
              <w:top w:val="single" w:sz="4" w:space="0" w:color="auto"/>
              <w:left w:val="single" w:sz="4" w:space="0" w:color="auto"/>
              <w:bottom w:val="single" w:sz="4" w:space="0" w:color="auto"/>
              <w:right w:val="single" w:sz="4" w:space="0" w:color="auto"/>
            </w:tcBorders>
            <w:vAlign w:val="center"/>
          </w:tcPr>
          <w:p w14:paraId="6B927DA5"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Waterfall</w:t>
            </w:r>
          </w:p>
        </w:tc>
        <w:tc>
          <w:tcPr>
            <w:tcW w:w="1732" w:type="dxa"/>
            <w:tcBorders>
              <w:top w:val="single" w:sz="4" w:space="0" w:color="auto"/>
              <w:left w:val="single" w:sz="4" w:space="0" w:color="auto"/>
              <w:bottom w:val="single" w:sz="4" w:space="0" w:color="auto"/>
              <w:right w:val="single" w:sz="4" w:space="0" w:color="auto"/>
            </w:tcBorders>
            <w:vAlign w:val="center"/>
          </w:tcPr>
          <w:p w14:paraId="6DEB1F2C"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7017BB1D"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64154A34"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107BEC4E" w14:textId="77777777" w:rsidR="0040205D" w:rsidRPr="00635562" w:rsidRDefault="0040205D" w:rsidP="00A96C07">
            <w:pPr>
              <w:suppressAutoHyphens w:val="0"/>
              <w:snapToGrid w:val="0"/>
              <w:spacing w:before="40" w:after="40" w:line="220" w:lineRule="exact"/>
              <w:ind w:right="113"/>
              <w:jc w:val="center"/>
              <w:rPr>
                <w:rFonts w:eastAsia="Arial Unicode MS"/>
                <w:sz w:val="18"/>
                <w:lang w:eastAsia="ja-JP"/>
              </w:rPr>
            </w:pPr>
            <w:r w:rsidRPr="00635562">
              <w:rPr>
                <w:rFonts w:eastAsia="Arial Unicode MS"/>
                <w:sz w:val="18"/>
                <w:lang w:eastAsia="ja-JP"/>
              </w:rPr>
              <w:t>Potassium perchlorate/Aluminium (P2000)/Aluminium (P50)/Antimony sulphide</w:t>
            </w:r>
          </w:p>
          <w:p w14:paraId="7D253683"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(50/15/30/5)</w:t>
            </w:r>
          </w:p>
        </w:tc>
        <w:tc>
          <w:tcPr>
            <w:tcW w:w="1467" w:type="dxa"/>
            <w:tcBorders>
              <w:top w:val="single" w:sz="4" w:space="0" w:color="auto"/>
              <w:left w:val="single" w:sz="4" w:space="0" w:color="auto"/>
              <w:bottom w:val="single" w:sz="4" w:space="0" w:color="auto"/>
              <w:right w:val="single" w:sz="4" w:space="0" w:color="auto"/>
            </w:tcBorders>
            <w:vAlign w:val="center"/>
          </w:tcPr>
          <w:p w14:paraId="17A9390D"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Waterfall</w:t>
            </w:r>
          </w:p>
        </w:tc>
        <w:tc>
          <w:tcPr>
            <w:tcW w:w="1732" w:type="dxa"/>
            <w:tcBorders>
              <w:top w:val="single" w:sz="4" w:space="0" w:color="auto"/>
              <w:left w:val="single" w:sz="4" w:space="0" w:color="auto"/>
              <w:bottom w:val="single" w:sz="4" w:space="0" w:color="auto"/>
              <w:right w:val="single" w:sz="4" w:space="0" w:color="auto"/>
            </w:tcBorders>
            <w:vAlign w:val="center"/>
          </w:tcPr>
          <w:p w14:paraId="51FE6C22"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288727F9"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1A490E37"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1FCCA96C"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perchlorate/Charcoal (80/20)</w:t>
            </w:r>
          </w:p>
        </w:tc>
        <w:tc>
          <w:tcPr>
            <w:tcW w:w="1467" w:type="dxa"/>
            <w:tcBorders>
              <w:top w:val="single" w:sz="4" w:space="0" w:color="auto"/>
              <w:left w:val="single" w:sz="4" w:space="0" w:color="auto"/>
              <w:bottom w:val="single" w:sz="4" w:space="0" w:color="auto"/>
              <w:right w:val="single" w:sz="4" w:space="0" w:color="auto"/>
            </w:tcBorders>
            <w:vAlign w:val="center"/>
          </w:tcPr>
          <w:p w14:paraId="098C69BB"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14:paraId="6AC0E813"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05940323"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78CAF619"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7FB305CE"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perchlorate/Charcoal (60/40)</w:t>
            </w:r>
          </w:p>
        </w:tc>
        <w:tc>
          <w:tcPr>
            <w:tcW w:w="1467" w:type="dxa"/>
            <w:tcBorders>
              <w:top w:val="single" w:sz="4" w:space="0" w:color="auto"/>
              <w:left w:val="single" w:sz="4" w:space="0" w:color="auto"/>
              <w:bottom w:val="single" w:sz="4" w:space="0" w:color="auto"/>
              <w:right w:val="single" w:sz="4" w:space="0" w:color="auto"/>
            </w:tcBorders>
            <w:vAlign w:val="center"/>
          </w:tcPr>
          <w:p w14:paraId="11F2A806"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14:paraId="2524AF25"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17.7</w:t>
            </w:r>
          </w:p>
        </w:tc>
        <w:tc>
          <w:tcPr>
            <w:tcW w:w="1842" w:type="dxa"/>
            <w:tcBorders>
              <w:top w:val="single" w:sz="4" w:space="0" w:color="auto"/>
              <w:left w:val="single" w:sz="4" w:space="0" w:color="auto"/>
              <w:bottom w:val="single" w:sz="4" w:space="0" w:color="auto"/>
              <w:right w:val="single" w:sz="4" w:space="0" w:color="auto"/>
            </w:tcBorders>
            <w:vAlign w:val="center"/>
          </w:tcPr>
          <w:p w14:paraId="0B5FE46E"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36D9DE59"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1D500862"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perchlorate/Charcoal (50/50)</w:t>
            </w:r>
          </w:p>
        </w:tc>
        <w:tc>
          <w:tcPr>
            <w:tcW w:w="1467" w:type="dxa"/>
            <w:tcBorders>
              <w:top w:val="single" w:sz="4" w:space="0" w:color="auto"/>
              <w:left w:val="single" w:sz="4" w:space="0" w:color="auto"/>
              <w:bottom w:val="single" w:sz="4" w:space="0" w:color="auto"/>
              <w:right w:val="single" w:sz="4" w:space="0" w:color="auto"/>
            </w:tcBorders>
            <w:vAlign w:val="center"/>
          </w:tcPr>
          <w:p w14:paraId="225E4F47"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14:paraId="171408B3"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6.7</w:t>
            </w:r>
          </w:p>
        </w:tc>
        <w:tc>
          <w:tcPr>
            <w:tcW w:w="1842" w:type="dxa"/>
            <w:tcBorders>
              <w:top w:val="single" w:sz="4" w:space="0" w:color="auto"/>
              <w:left w:val="single" w:sz="4" w:space="0" w:color="auto"/>
              <w:bottom w:val="single" w:sz="4" w:space="0" w:color="auto"/>
              <w:right w:val="single" w:sz="4" w:space="0" w:color="auto"/>
            </w:tcBorders>
            <w:vAlign w:val="center"/>
          </w:tcPr>
          <w:p w14:paraId="769E6D73"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Not flash composition</w:t>
            </w:r>
          </w:p>
        </w:tc>
      </w:tr>
      <w:tr w:rsidR="0040205D" w:rsidRPr="00635562" w14:paraId="74F720AE"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5F33C2B0"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perchlorate/Potassium nitrate /Charcoal (53/26/21)</w:t>
            </w:r>
          </w:p>
        </w:tc>
        <w:tc>
          <w:tcPr>
            <w:tcW w:w="1467" w:type="dxa"/>
            <w:tcBorders>
              <w:top w:val="single" w:sz="4" w:space="0" w:color="auto"/>
              <w:left w:val="single" w:sz="4" w:space="0" w:color="auto"/>
              <w:bottom w:val="single" w:sz="4" w:space="0" w:color="auto"/>
              <w:right w:val="single" w:sz="4" w:space="0" w:color="auto"/>
            </w:tcBorders>
            <w:vAlign w:val="center"/>
          </w:tcPr>
          <w:p w14:paraId="5FC0C948"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14:paraId="01F6A5DA"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Torn</w:t>
            </w:r>
          </w:p>
        </w:tc>
        <w:tc>
          <w:tcPr>
            <w:tcW w:w="1842" w:type="dxa"/>
            <w:tcBorders>
              <w:top w:val="single" w:sz="4" w:space="0" w:color="auto"/>
              <w:left w:val="single" w:sz="4" w:space="0" w:color="auto"/>
              <w:bottom w:val="single" w:sz="4" w:space="0" w:color="auto"/>
              <w:right w:val="single" w:sz="4" w:space="0" w:color="auto"/>
            </w:tcBorders>
            <w:vAlign w:val="center"/>
          </w:tcPr>
          <w:p w14:paraId="6E4555BD"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r w:rsidR="0040205D" w:rsidRPr="00635562" w14:paraId="1D6EF30A"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47ADAF11"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Potassium perchlorate/Potassium nitrate /Charcoal (53/26/21) (Cottonseed core)</w:t>
            </w:r>
          </w:p>
        </w:tc>
        <w:tc>
          <w:tcPr>
            <w:tcW w:w="1467" w:type="dxa"/>
            <w:tcBorders>
              <w:top w:val="single" w:sz="4" w:space="0" w:color="auto"/>
              <w:left w:val="single" w:sz="4" w:space="0" w:color="auto"/>
              <w:bottom w:val="single" w:sz="4" w:space="0" w:color="auto"/>
              <w:right w:val="single" w:sz="4" w:space="0" w:color="auto"/>
            </w:tcBorders>
            <w:vAlign w:val="center"/>
          </w:tcPr>
          <w:p w14:paraId="6D2202C1"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14:paraId="4CD08F50"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12.7</w:t>
            </w:r>
          </w:p>
        </w:tc>
        <w:tc>
          <w:tcPr>
            <w:tcW w:w="1842" w:type="dxa"/>
            <w:tcBorders>
              <w:top w:val="single" w:sz="4" w:space="0" w:color="auto"/>
              <w:left w:val="single" w:sz="4" w:space="0" w:color="auto"/>
              <w:bottom w:val="single" w:sz="4" w:space="0" w:color="auto"/>
              <w:right w:val="single" w:sz="4" w:space="0" w:color="auto"/>
            </w:tcBorders>
            <w:vAlign w:val="center"/>
          </w:tcPr>
          <w:p w14:paraId="7816CACC"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Not flash composition</w:t>
            </w:r>
          </w:p>
        </w:tc>
      </w:tr>
      <w:tr w:rsidR="0040205D" w:rsidRPr="00635562" w14:paraId="4425A73F" w14:textId="77777777" w:rsidTr="00A96C07">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446E9515" w14:textId="77777777" w:rsidR="0040205D" w:rsidRPr="00635562" w:rsidRDefault="0040205D" w:rsidP="00A96C07">
            <w:pPr>
              <w:suppressAutoHyphens w:val="0"/>
              <w:snapToGrid w:val="0"/>
              <w:spacing w:before="40" w:after="40" w:line="220" w:lineRule="exact"/>
              <w:ind w:right="113"/>
              <w:jc w:val="center"/>
              <w:rPr>
                <w:rFonts w:eastAsia="Arial Unicode MS"/>
                <w:sz w:val="18"/>
                <w:lang w:eastAsia="ja-JP"/>
              </w:rPr>
            </w:pPr>
            <w:r w:rsidRPr="00635562">
              <w:rPr>
                <w:rFonts w:eastAsia="Arial Unicode MS"/>
                <w:sz w:val="18"/>
                <w:lang w:eastAsia="ja-JP"/>
              </w:rPr>
              <w:t>Potassium perchlorate/Charcoal/Aluminium</w:t>
            </w:r>
          </w:p>
          <w:p w14:paraId="615A2749"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(59/23/18)</w:t>
            </w:r>
          </w:p>
        </w:tc>
        <w:tc>
          <w:tcPr>
            <w:tcW w:w="1467" w:type="dxa"/>
            <w:tcBorders>
              <w:top w:val="single" w:sz="4" w:space="0" w:color="auto"/>
              <w:left w:val="single" w:sz="4" w:space="0" w:color="auto"/>
              <w:bottom w:val="single" w:sz="4" w:space="0" w:color="auto"/>
              <w:right w:val="single" w:sz="4" w:space="0" w:color="auto"/>
            </w:tcBorders>
            <w:vAlign w:val="center"/>
          </w:tcPr>
          <w:p w14:paraId="5AA2017F"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14:paraId="14204725"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14:paraId="35562066" w14:textId="77777777" w:rsidR="0040205D" w:rsidRPr="00635562" w:rsidRDefault="0040205D" w:rsidP="00A96C07">
            <w:pPr>
              <w:suppressAutoHyphens w:val="0"/>
              <w:spacing w:line="240" w:lineRule="auto"/>
              <w:jc w:val="center"/>
              <w:rPr>
                <w:rFonts w:eastAsia="SimSun"/>
              </w:rPr>
            </w:pPr>
            <w:r w:rsidRPr="00635562">
              <w:rPr>
                <w:rFonts w:eastAsia="Arial Unicode MS"/>
                <w:sz w:val="18"/>
                <w:lang w:eastAsia="ja-JP"/>
              </w:rPr>
              <w:t>Flash composition</w:t>
            </w:r>
          </w:p>
        </w:tc>
      </w:tr>
    </w:tbl>
    <w:p w14:paraId="738DEC95" w14:textId="77777777" w:rsidR="0040205D" w:rsidRPr="00635562" w:rsidRDefault="0040205D" w:rsidP="0040205D">
      <w:pPr>
        <w:pStyle w:val="SingleTxtG"/>
        <w:spacing w:after="60"/>
        <w:ind w:leftChars="638" w:left="1276"/>
        <w:jc w:val="center"/>
        <w:rPr>
          <w:noProof/>
          <w:lang w:eastAsia="ja-JP"/>
        </w:rPr>
      </w:pPr>
      <w:r w:rsidRPr="00635562">
        <w:rPr>
          <w:noProof/>
          <w:lang w:eastAsia="en-GB"/>
        </w:rPr>
        <w:lastRenderedPageBreak/>
        <w:drawing>
          <wp:inline distT="0" distB="0" distL="0" distR="0" wp14:anchorId="64EEB457" wp14:editId="34895828">
            <wp:extent cx="4254506" cy="4691743"/>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16057" r="18869"/>
                    <a:stretch>
                      <a:fillRect/>
                    </a:stretch>
                  </pic:blipFill>
                  <pic:spPr bwMode="auto">
                    <a:xfrm>
                      <a:off x="0" y="0"/>
                      <a:ext cx="4253865" cy="4691036"/>
                    </a:xfrm>
                    <a:prstGeom prst="rect">
                      <a:avLst/>
                    </a:prstGeom>
                    <a:noFill/>
                    <a:ln>
                      <a:noFill/>
                    </a:ln>
                  </pic:spPr>
                </pic:pic>
              </a:graphicData>
            </a:graphic>
          </wp:inline>
        </w:drawing>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4262"/>
      </w:tblGrid>
      <w:tr w:rsidR="0040205D" w:rsidRPr="00635562" w14:paraId="2DDC1F7F" w14:textId="77777777" w:rsidTr="00A96C07">
        <w:trPr>
          <w:trHeight w:val="470"/>
        </w:trPr>
        <w:tc>
          <w:tcPr>
            <w:tcW w:w="4101" w:type="dxa"/>
            <w:tcBorders>
              <w:top w:val="single" w:sz="8" w:space="0" w:color="auto"/>
              <w:left w:val="nil"/>
              <w:bottom w:val="nil"/>
              <w:right w:val="nil"/>
            </w:tcBorders>
            <w:shd w:val="clear" w:color="auto" w:fill="auto"/>
            <w:vAlign w:val="center"/>
          </w:tcPr>
          <w:p w14:paraId="26BA0206" w14:textId="77777777" w:rsidR="0040205D" w:rsidRPr="00635562" w:rsidRDefault="0040205D" w:rsidP="00A96C07">
            <w:pPr>
              <w:pStyle w:val="SingleTxtG"/>
              <w:numPr>
                <w:ilvl w:val="0"/>
                <w:numId w:val="16"/>
              </w:numPr>
              <w:spacing w:after="60"/>
              <w:ind w:left="357" w:right="283" w:hanging="357"/>
              <w:rPr>
                <w:lang w:eastAsia="ja-JP"/>
              </w:rPr>
            </w:pPr>
            <w:r w:rsidRPr="00635562">
              <w:rPr>
                <w:lang w:eastAsia="ja-JP"/>
              </w:rPr>
              <w:t xml:space="preserve">Cardboard or fibreboard sample tube </w:t>
            </w:r>
          </w:p>
        </w:tc>
        <w:tc>
          <w:tcPr>
            <w:tcW w:w="4262" w:type="dxa"/>
            <w:tcBorders>
              <w:top w:val="single" w:sz="8" w:space="0" w:color="auto"/>
              <w:left w:val="nil"/>
              <w:bottom w:val="nil"/>
              <w:right w:val="nil"/>
            </w:tcBorders>
            <w:shd w:val="clear" w:color="auto" w:fill="auto"/>
            <w:vAlign w:val="center"/>
          </w:tcPr>
          <w:p w14:paraId="48EC5740" w14:textId="77777777" w:rsidR="0040205D" w:rsidRPr="00635562" w:rsidRDefault="0040205D" w:rsidP="00A96C07">
            <w:pPr>
              <w:pStyle w:val="SingleTxtG"/>
              <w:numPr>
                <w:ilvl w:val="0"/>
                <w:numId w:val="16"/>
              </w:numPr>
              <w:spacing w:after="60"/>
              <w:ind w:left="357" w:right="142" w:hanging="357"/>
              <w:rPr>
                <w:lang w:eastAsia="ja-JP"/>
              </w:rPr>
            </w:pPr>
            <w:r w:rsidRPr="00635562">
              <w:rPr>
                <w:lang w:eastAsia="ja-JP"/>
              </w:rPr>
              <w:t>Steel witness plate</w:t>
            </w:r>
          </w:p>
        </w:tc>
      </w:tr>
      <w:tr w:rsidR="0040205D" w:rsidRPr="00635562" w14:paraId="06159492" w14:textId="77777777" w:rsidTr="00A96C07">
        <w:trPr>
          <w:trHeight w:val="381"/>
        </w:trPr>
        <w:tc>
          <w:tcPr>
            <w:tcW w:w="4101" w:type="dxa"/>
            <w:tcBorders>
              <w:top w:val="nil"/>
              <w:left w:val="nil"/>
              <w:bottom w:val="nil"/>
              <w:right w:val="nil"/>
            </w:tcBorders>
            <w:shd w:val="clear" w:color="auto" w:fill="auto"/>
            <w:vAlign w:val="center"/>
          </w:tcPr>
          <w:p w14:paraId="70B11E87" w14:textId="77777777" w:rsidR="0040205D" w:rsidRPr="00635562" w:rsidRDefault="0040205D" w:rsidP="00A96C07">
            <w:pPr>
              <w:pStyle w:val="SingleTxtG"/>
              <w:numPr>
                <w:ilvl w:val="0"/>
                <w:numId w:val="16"/>
              </w:numPr>
              <w:spacing w:after="60"/>
              <w:ind w:left="357" w:right="274" w:hanging="357"/>
              <w:rPr>
                <w:lang w:eastAsia="ja-JP"/>
              </w:rPr>
            </w:pPr>
            <w:r w:rsidRPr="00635562">
              <w:rPr>
                <w:lang w:eastAsia="ja-JP"/>
              </w:rPr>
              <w:t>Electric igniter</w:t>
            </w:r>
          </w:p>
        </w:tc>
        <w:tc>
          <w:tcPr>
            <w:tcW w:w="4262" w:type="dxa"/>
            <w:tcBorders>
              <w:top w:val="nil"/>
              <w:left w:val="nil"/>
              <w:bottom w:val="nil"/>
              <w:right w:val="nil"/>
            </w:tcBorders>
            <w:shd w:val="clear" w:color="auto" w:fill="auto"/>
            <w:vAlign w:val="center"/>
          </w:tcPr>
          <w:p w14:paraId="55ED279D" w14:textId="77777777" w:rsidR="0040205D" w:rsidRPr="00635562" w:rsidRDefault="0040205D" w:rsidP="00A96C07">
            <w:pPr>
              <w:pStyle w:val="SingleTxtG"/>
              <w:numPr>
                <w:ilvl w:val="0"/>
                <w:numId w:val="16"/>
              </w:numPr>
              <w:spacing w:after="60"/>
              <w:ind w:left="357" w:right="142" w:hanging="357"/>
              <w:rPr>
                <w:lang w:eastAsia="ja-JP"/>
              </w:rPr>
            </w:pPr>
            <w:r w:rsidRPr="00635562">
              <w:rPr>
                <w:lang w:eastAsia="ja-JP"/>
              </w:rPr>
              <w:t>Mild steel confinement sleeve</w:t>
            </w:r>
          </w:p>
        </w:tc>
      </w:tr>
      <w:tr w:rsidR="0040205D" w:rsidRPr="00635562" w14:paraId="12144E80" w14:textId="77777777" w:rsidTr="00A96C07">
        <w:trPr>
          <w:trHeight w:val="287"/>
        </w:trPr>
        <w:tc>
          <w:tcPr>
            <w:tcW w:w="4101" w:type="dxa"/>
            <w:tcBorders>
              <w:top w:val="nil"/>
              <w:left w:val="nil"/>
              <w:bottom w:val="nil"/>
              <w:right w:val="nil"/>
            </w:tcBorders>
            <w:shd w:val="clear" w:color="auto" w:fill="auto"/>
            <w:vAlign w:val="center"/>
          </w:tcPr>
          <w:p w14:paraId="04F1530D" w14:textId="77777777" w:rsidR="0040205D" w:rsidRPr="00635562" w:rsidRDefault="0040205D" w:rsidP="00A96C07">
            <w:pPr>
              <w:pStyle w:val="SingleTxtG"/>
              <w:numPr>
                <w:ilvl w:val="0"/>
                <w:numId w:val="16"/>
              </w:numPr>
              <w:spacing w:after="60"/>
              <w:ind w:left="357" w:right="425" w:hanging="357"/>
              <w:rPr>
                <w:lang w:eastAsia="ja-JP"/>
              </w:rPr>
            </w:pPr>
            <w:r w:rsidRPr="00635562">
              <w:rPr>
                <w:lang w:eastAsia="ja-JP"/>
              </w:rPr>
              <w:t>Steel ring</w:t>
            </w:r>
          </w:p>
        </w:tc>
        <w:tc>
          <w:tcPr>
            <w:tcW w:w="4262" w:type="dxa"/>
            <w:tcBorders>
              <w:top w:val="nil"/>
              <w:left w:val="nil"/>
              <w:bottom w:val="nil"/>
              <w:right w:val="nil"/>
            </w:tcBorders>
            <w:shd w:val="clear" w:color="auto" w:fill="auto"/>
            <w:vAlign w:val="center"/>
          </w:tcPr>
          <w:p w14:paraId="390BBB11" w14:textId="77777777" w:rsidR="0040205D" w:rsidRPr="00635562" w:rsidRDefault="0040205D" w:rsidP="00A96C07">
            <w:pPr>
              <w:pStyle w:val="SingleTxtG"/>
              <w:numPr>
                <w:ilvl w:val="0"/>
                <w:numId w:val="16"/>
              </w:numPr>
              <w:spacing w:after="60"/>
              <w:ind w:left="357" w:right="142" w:hanging="357"/>
              <w:rPr>
                <w:lang w:eastAsia="ja-JP"/>
              </w:rPr>
            </w:pPr>
            <w:r w:rsidRPr="00635562">
              <w:rPr>
                <w:lang w:eastAsia="ja-JP"/>
              </w:rPr>
              <w:t>Solid metal base</w:t>
            </w:r>
          </w:p>
        </w:tc>
      </w:tr>
      <w:tr w:rsidR="0040205D" w:rsidRPr="00635562" w14:paraId="365AC30A" w14:textId="77777777" w:rsidTr="00A96C07">
        <w:trPr>
          <w:trHeight w:val="350"/>
        </w:trPr>
        <w:tc>
          <w:tcPr>
            <w:tcW w:w="4101" w:type="dxa"/>
            <w:tcBorders>
              <w:top w:val="nil"/>
              <w:left w:val="nil"/>
              <w:bottom w:val="nil"/>
              <w:right w:val="nil"/>
            </w:tcBorders>
            <w:shd w:val="clear" w:color="auto" w:fill="auto"/>
            <w:vAlign w:val="center"/>
          </w:tcPr>
          <w:p w14:paraId="30143761" w14:textId="77777777" w:rsidR="0040205D" w:rsidRPr="00635562" w:rsidRDefault="0040205D" w:rsidP="00A96C07">
            <w:pPr>
              <w:pStyle w:val="SingleTxtG"/>
              <w:numPr>
                <w:ilvl w:val="0"/>
                <w:numId w:val="16"/>
              </w:numPr>
              <w:spacing w:after="60"/>
              <w:ind w:left="357" w:hanging="357"/>
              <w:rPr>
                <w:lang w:eastAsia="ja-JP"/>
              </w:rPr>
            </w:pPr>
            <w:r w:rsidRPr="00635562">
              <w:rPr>
                <w:lang w:eastAsia="ja-JP"/>
              </w:rPr>
              <w:t>Substance to be tested</w:t>
            </w:r>
          </w:p>
        </w:tc>
        <w:tc>
          <w:tcPr>
            <w:tcW w:w="4262" w:type="dxa"/>
            <w:tcBorders>
              <w:top w:val="nil"/>
              <w:left w:val="nil"/>
              <w:bottom w:val="nil"/>
              <w:right w:val="nil"/>
            </w:tcBorders>
            <w:shd w:val="clear" w:color="auto" w:fill="auto"/>
            <w:vAlign w:val="center"/>
          </w:tcPr>
          <w:p w14:paraId="129D4488" w14:textId="77777777" w:rsidR="0040205D" w:rsidRPr="00635562" w:rsidRDefault="0040205D" w:rsidP="00A96C07">
            <w:pPr>
              <w:pStyle w:val="SingleTxtG"/>
              <w:numPr>
                <w:ilvl w:val="0"/>
                <w:numId w:val="16"/>
              </w:numPr>
              <w:spacing w:after="60"/>
              <w:ind w:left="357" w:right="142" w:hanging="357"/>
              <w:rPr>
                <w:lang w:eastAsia="ja-JP"/>
              </w:rPr>
            </w:pPr>
            <w:r w:rsidRPr="00635562">
              <w:rPr>
                <w:lang w:eastAsia="ja-JP"/>
              </w:rPr>
              <w:t xml:space="preserve">Cardboard or paperboard disk, cap or plug </w:t>
            </w:r>
          </w:p>
        </w:tc>
      </w:tr>
      <w:tr w:rsidR="0040205D" w:rsidRPr="00635562" w14:paraId="7BE94832" w14:textId="77777777" w:rsidTr="00A96C07">
        <w:trPr>
          <w:trHeight w:val="269"/>
        </w:trPr>
        <w:tc>
          <w:tcPr>
            <w:tcW w:w="4101" w:type="dxa"/>
            <w:tcBorders>
              <w:top w:val="nil"/>
              <w:left w:val="nil"/>
              <w:bottom w:val="single" w:sz="8" w:space="0" w:color="auto"/>
              <w:right w:val="nil"/>
            </w:tcBorders>
            <w:shd w:val="clear" w:color="auto" w:fill="auto"/>
            <w:vAlign w:val="center"/>
          </w:tcPr>
          <w:p w14:paraId="52F921DC" w14:textId="77777777" w:rsidR="0040205D" w:rsidRPr="00635562" w:rsidRDefault="0040205D" w:rsidP="00A96C07">
            <w:pPr>
              <w:pStyle w:val="SingleTxtG"/>
              <w:numPr>
                <w:ilvl w:val="0"/>
                <w:numId w:val="16"/>
              </w:numPr>
              <w:spacing w:after="60"/>
              <w:ind w:left="357" w:right="416" w:hanging="357"/>
              <w:rPr>
                <w:lang w:eastAsia="ja-JP"/>
              </w:rPr>
            </w:pPr>
            <w:r w:rsidRPr="00635562">
              <w:rPr>
                <w:lang w:eastAsia="ja-JP"/>
              </w:rPr>
              <w:t>Groove in sleeve for igniter wires</w:t>
            </w:r>
          </w:p>
        </w:tc>
        <w:tc>
          <w:tcPr>
            <w:tcW w:w="4262" w:type="dxa"/>
            <w:tcBorders>
              <w:top w:val="nil"/>
              <w:left w:val="nil"/>
              <w:bottom w:val="single" w:sz="8" w:space="0" w:color="auto"/>
              <w:right w:val="nil"/>
            </w:tcBorders>
            <w:shd w:val="clear" w:color="auto" w:fill="auto"/>
            <w:vAlign w:val="center"/>
          </w:tcPr>
          <w:p w14:paraId="3A94DCD9" w14:textId="77777777" w:rsidR="0040205D" w:rsidRPr="00635562" w:rsidRDefault="0040205D" w:rsidP="00A96C07">
            <w:pPr>
              <w:pStyle w:val="SingleTxtG"/>
              <w:numPr>
                <w:ilvl w:val="0"/>
                <w:numId w:val="16"/>
              </w:numPr>
              <w:spacing w:after="60"/>
              <w:ind w:left="357" w:right="142" w:hanging="357"/>
              <w:rPr>
                <w:lang w:eastAsia="ja-JP"/>
              </w:rPr>
            </w:pPr>
            <w:r w:rsidRPr="00635562">
              <w:rPr>
                <w:lang w:eastAsia="ja-JP"/>
              </w:rPr>
              <w:t>Handle welded on (optional)</w:t>
            </w:r>
          </w:p>
        </w:tc>
      </w:tr>
    </w:tbl>
    <w:p w14:paraId="3F839E6D" w14:textId="77777777" w:rsidR="0040205D" w:rsidRPr="004F0757" w:rsidRDefault="0040205D" w:rsidP="0040205D">
      <w:pPr>
        <w:pStyle w:val="SingleTxtG"/>
        <w:spacing w:before="240"/>
        <w:jc w:val="center"/>
        <w:rPr>
          <w:b/>
          <w:lang w:eastAsia="ja-JP"/>
        </w:rPr>
      </w:pPr>
      <w:r w:rsidRPr="00635562">
        <w:rPr>
          <w:b/>
        </w:rPr>
        <w:t>Figure A7.10</w:t>
      </w:r>
      <w:r w:rsidRPr="00635562">
        <w:rPr>
          <w:b/>
          <w:lang w:eastAsia="ja-JP"/>
        </w:rPr>
        <w:t>”.</w:t>
      </w:r>
    </w:p>
    <w:p w14:paraId="05E01FD6" w14:textId="2933BC20" w:rsidR="009F0F06" w:rsidRPr="00453FE4" w:rsidRDefault="00453FE4" w:rsidP="00453FE4">
      <w:pPr>
        <w:spacing w:before="240"/>
        <w:ind w:left="1134" w:right="1134"/>
        <w:jc w:val="center"/>
        <w:rPr>
          <w:u w:val="single"/>
        </w:rPr>
      </w:pPr>
      <w:r>
        <w:rPr>
          <w:u w:val="single"/>
        </w:rPr>
        <w:tab/>
      </w:r>
      <w:r>
        <w:rPr>
          <w:u w:val="single"/>
        </w:rPr>
        <w:tab/>
      </w:r>
      <w:r>
        <w:rPr>
          <w:u w:val="single"/>
        </w:rPr>
        <w:tab/>
      </w:r>
      <w:bookmarkStart w:id="0" w:name="_GoBack"/>
      <w:bookmarkEnd w:id="0"/>
    </w:p>
    <w:sectPr w:rsidR="009F0F06" w:rsidRPr="00453FE4" w:rsidSect="0040205D">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A581" w14:textId="77777777" w:rsidR="00060F3C" w:rsidRDefault="00060F3C"/>
  </w:endnote>
  <w:endnote w:type="continuationSeparator" w:id="0">
    <w:p w14:paraId="309D2D1A" w14:textId="77777777" w:rsidR="00060F3C" w:rsidRDefault="00060F3C"/>
  </w:endnote>
  <w:endnote w:type="continuationNotice" w:id="1">
    <w:p w14:paraId="33D54974" w14:textId="77777777" w:rsidR="00060F3C" w:rsidRDefault="0006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FD78" w14:textId="79A2A8FE" w:rsidR="00060F3C" w:rsidRPr="0040205D" w:rsidRDefault="00060F3C" w:rsidP="0040205D">
    <w:pPr>
      <w:pStyle w:val="Footer"/>
      <w:tabs>
        <w:tab w:val="right" w:pos="9638"/>
      </w:tabs>
      <w:rPr>
        <w:sz w:val="18"/>
      </w:rPr>
    </w:pPr>
    <w:r w:rsidRPr="0040205D">
      <w:rPr>
        <w:b/>
        <w:sz w:val="18"/>
      </w:rPr>
      <w:fldChar w:fldCharType="begin"/>
    </w:r>
    <w:r w:rsidRPr="0040205D">
      <w:rPr>
        <w:b/>
        <w:sz w:val="18"/>
      </w:rPr>
      <w:instrText xml:space="preserve"> PAGE  \* MERGEFORMAT </w:instrText>
    </w:r>
    <w:r w:rsidRPr="0040205D">
      <w:rPr>
        <w:b/>
        <w:sz w:val="18"/>
      </w:rPr>
      <w:fldChar w:fldCharType="separate"/>
    </w:r>
    <w:r w:rsidR="00C46E4A">
      <w:rPr>
        <w:b/>
        <w:noProof/>
        <w:sz w:val="18"/>
      </w:rPr>
      <w:t>20</w:t>
    </w:r>
    <w:r w:rsidRPr="0040205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4839" w14:textId="08D28B30" w:rsidR="00060F3C" w:rsidRPr="0040205D" w:rsidRDefault="00060F3C" w:rsidP="0040205D">
    <w:pPr>
      <w:pStyle w:val="Footer"/>
      <w:tabs>
        <w:tab w:val="right" w:pos="9638"/>
      </w:tabs>
      <w:rPr>
        <w:b/>
        <w:sz w:val="18"/>
      </w:rPr>
    </w:pPr>
    <w:r>
      <w:tab/>
    </w:r>
    <w:r w:rsidRPr="0040205D">
      <w:rPr>
        <w:b/>
        <w:sz w:val="18"/>
      </w:rPr>
      <w:fldChar w:fldCharType="begin"/>
    </w:r>
    <w:r w:rsidRPr="0040205D">
      <w:rPr>
        <w:b/>
        <w:sz w:val="18"/>
      </w:rPr>
      <w:instrText xml:space="preserve"> PAGE  \* MERGEFORMAT </w:instrText>
    </w:r>
    <w:r w:rsidRPr="0040205D">
      <w:rPr>
        <w:b/>
        <w:sz w:val="18"/>
      </w:rPr>
      <w:fldChar w:fldCharType="separate"/>
    </w:r>
    <w:r w:rsidR="00C46E4A">
      <w:rPr>
        <w:b/>
        <w:noProof/>
        <w:sz w:val="18"/>
      </w:rPr>
      <w:t>19</w:t>
    </w:r>
    <w:r w:rsidRPr="0040205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7C62" w14:textId="77777777" w:rsidR="00060F3C" w:rsidRPr="000B175B" w:rsidRDefault="00060F3C" w:rsidP="000B175B">
      <w:pPr>
        <w:tabs>
          <w:tab w:val="right" w:pos="2155"/>
        </w:tabs>
        <w:spacing w:after="80"/>
        <w:ind w:left="680"/>
        <w:rPr>
          <w:u w:val="single"/>
        </w:rPr>
      </w:pPr>
      <w:r>
        <w:rPr>
          <w:u w:val="single"/>
        </w:rPr>
        <w:tab/>
      </w:r>
    </w:p>
  </w:footnote>
  <w:footnote w:type="continuationSeparator" w:id="0">
    <w:p w14:paraId="3011F035" w14:textId="77777777" w:rsidR="00060F3C" w:rsidRPr="00FC68B7" w:rsidRDefault="00060F3C" w:rsidP="00FC68B7">
      <w:pPr>
        <w:tabs>
          <w:tab w:val="left" w:pos="2155"/>
        </w:tabs>
        <w:spacing w:after="80"/>
        <w:ind w:left="680"/>
        <w:rPr>
          <w:u w:val="single"/>
        </w:rPr>
      </w:pPr>
      <w:r>
        <w:rPr>
          <w:u w:val="single"/>
        </w:rPr>
        <w:tab/>
      </w:r>
    </w:p>
  </w:footnote>
  <w:footnote w:type="continuationNotice" w:id="1">
    <w:p w14:paraId="142817D7" w14:textId="77777777" w:rsidR="00060F3C" w:rsidRDefault="00060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C51A" w14:textId="77777777" w:rsidR="00060F3C" w:rsidRPr="0040205D" w:rsidRDefault="00060F3C" w:rsidP="006E1272">
    <w:pPr>
      <w:pStyle w:val="Header"/>
    </w:pPr>
    <w:r>
      <w:t>ST/SG/AC.10/44/Add.2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35A1" w14:textId="77777777" w:rsidR="00060F3C" w:rsidRPr="0040205D" w:rsidRDefault="00060F3C" w:rsidP="0040205D">
    <w:pPr>
      <w:pStyle w:val="Header"/>
      <w:jc w:val="right"/>
    </w:pPr>
    <w:r>
      <w:t>ST/SG/AC.10/44/Add.2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0B241F"/>
    <w:multiLevelType w:val="hybridMultilevel"/>
    <w:tmpl w:val="4BDCC6BE"/>
    <w:lvl w:ilvl="0" w:tplc="90EE7448">
      <w:start w:val="5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8"/>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5D"/>
    <w:rsid w:val="00007AAB"/>
    <w:rsid w:val="000234EA"/>
    <w:rsid w:val="00045A30"/>
    <w:rsid w:val="00050F6B"/>
    <w:rsid w:val="00052DC3"/>
    <w:rsid w:val="000536D1"/>
    <w:rsid w:val="00055227"/>
    <w:rsid w:val="00057FD8"/>
    <w:rsid w:val="00060F3C"/>
    <w:rsid w:val="00061ADE"/>
    <w:rsid w:val="00072C8C"/>
    <w:rsid w:val="00091419"/>
    <w:rsid w:val="0009154E"/>
    <w:rsid w:val="000931C0"/>
    <w:rsid w:val="000959E2"/>
    <w:rsid w:val="000A5B1D"/>
    <w:rsid w:val="000A5E8D"/>
    <w:rsid w:val="000A68F4"/>
    <w:rsid w:val="000B175B"/>
    <w:rsid w:val="000B3A0F"/>
    <w:rsid w:val="000C68ED"/>
    <w:rsid w:val="000C7EA8"/>
    <w:rsid w:val="000D2FFA"/>
    <w:rsid w:val="000E0415"/>
    <w:rsid w:val="000E41E4"/>
    <w:rsid w:val="000F7EB8"/>
    <w:rsid w:val="00100E21"/>
    <w:rsid w:val="0010167D"/>
    <w:rsid w:val="0011582C"/>
    <w:rsid w:val="00117787"/>
    <w:rsid w:val="0012241C"/>
    <w:rsid w:val="00131D42"/>
    <w:rsid w:val="00143C79"/>
    <w:rsid w:val="00151169"/>
    <w:rsid w:val="001520BD"/>
    <w:rsid w:val="0016100E"/>
    <w:rsid w:val="001633FB"/>
    <w:rsid w:val="00163E04"/>
    <w:rsid w:val="001707B0"/>
    <w:rsid w:val="001B4B04"/>
    <w:rsid w:val="001C6663"/>
    <w:rsid w:val="001C7895"/>
    <w:rsid w:val="001D26DF"/>
    <w:rsid w:val="001D2FDC"/>
    <w:rsid w:val="00211E0B"/>
    <w:rsid w:val="002309A7"/>
    <w:rsid w:val="00237785"/>
    <w:rsid w:val="00241466"/>
    <w:rsid w:val="00250C23"/>
    <w:rsid w:val="00271AC6"/>
    <w:rsid w:val="002725CA"/>
    <w:rsid w:val="00280EB7"/>
    <w:rsid w:val="002925B1"/>
    <w:rsid w:val="00293E48"/>
    <w:rsid w:val="002945FE"/>
    <w:rsid w:val="002B1CDA"/>
    <w:rsid w:val="002C2037"/>
    <w:rsid w:val="002F1882"/>
    <w:rsid w:val="002F1976"/>
    <w:rsid w:val="003107FA"/>
    <w:rsid w:val="003229D8"/>
    <w:rsid w:val="0032340D"/>
    <w:rsid w:val="0034041B"/>
    <w:rsid w:val="00344B87"/>
    <w:rsid w:val="00344E13"/>
    <w:rsid w:val="003811AF"/>
    <w:rsid w:val="0039277A"/>
    <w:rsid w:val="003972E0"/>
    <w:rsid w:val="003A3795"/>
    <w:rsid w:val="003A66D4"/>
    <w:rsid w:val="003C2CC4"/>
    <w:rsid w:val="003C5209"/>
    <w:rsid w:val="003D1413"/>
    <w:rsid w:val="003D4B23"/>
    <w:rsid w:val="003E3808"/>
    <w:rsid w:val="003E5BEF"/>
    <w:rsid w:val="003E7176"/>
    <w:rsid w:val="003F48BD"/>
    <w:rsid w:val="003F560A"/>
    <w:rsid w:val="003F650C"/>
    <w:rsid w:val="003F786B"/>
    <w:rsid w:val="0040205D"/>
    <w:rsid w:val="00406BA9"/>
    <w:rsid w:val="00407690"/>
    <w:rsid w:val="00426C5D"/>
    <w:rsid w:val="004325CB"/>
    <w:rsid w:val="00437F3F"/>
    <w:rsid w:val="00446DE4"/>
    <w:rsid w:val="00451CD4"/>
    <w:rsid w:val="00453FE4"/>
    <w:rsid w:val="004553FE"/>
    <w:rsid w:val="00461199"/>
    <w:rsid w:val="004663C5"/>
    <w:rsid w:val="004704BD"/>
    <w:rsid w:val="00471A60"/>
    <w:rsid w:val="004726A6"/>
    <w:rsid w:val="004753B8"/>
    <w:rsid w:val="00482F30"/>
    <w:rsid w:val="00485C61"/>
    <w:rsid w:val="004A525C"/>
    <w:rsid w:val="004A56F1"/>
    <w:rsid w:val="004A5F39"/>
    <w:rsid w:val="004B2C9D"/>
    <w:rsid w:val="004B2E2A"/>
    <w:rsid w:val="004B4052"/>
    <w:rsid w:val="004C09DD"/>
    <w:rsid w:val="004C71AE"/>
    <w:rsid w:val="004F0757"/>
    <w:rsid w:val="0052448E"/>
    <w:rsid w:val="00527910"/>
    <w:rsid w:val="005420F2"/>
    <w:rsid w:val="00545344"/>
    <w:rsid w:val="00545962"/>
    <w:rsid w:val="005565B8"/>
    <w:rsid w:val="00573EE1"/>
    <w:rsid w:val="005777CE"/>
    <w:rsid w:val="00585721"/>
    <w:rsid w:val="00590144"/>
    <w:rsid w:val="0059312F"/>
    <w:rsid w:val="005B0700"/>
    <w:rsid w:val="005B2186"/>
    <w:rsid w:val="005B3DB3"/>
    <w:rsid w:val="005F382F"/>
    <w:rsid w:val="005F6520"/>
    <w:rsid w:val="0060219E"/>
    <w:rsid w:val="0060635D"/>
    <w:rsid w:val="00607A79"/>
    <w:rsid w:val="00611FC4"/>
    <w:rsid w:val="006152BB"/>
    <w:rsid w:val="006176FB"/>
    <w:rsid w:val="00622C1E"/>
    <w:rsid w:val="0063419C"/>
    <w:rsid w:val="00635562"/>
    <w:rsid w:val="00640B26"/>
    <w:rsid w:val="00690633"/>
    <w:rsid w:val="006A7392"/>
    <w:rsid w:val="006C0D34"/>
    <w:rsid w:val="006C2401"/>
    <w:rsid w:val="006C3ED0"/>
    <w:rsid w:val="006D61C8"/>
    <w:rsid w:val="006E1272"/>
    <w:rsid w:val="006E1FA3"/>
    <w:rsid w:val="006E564B"/>
    <w:rsid w:val="00701D70"/>
    <w:rsid w:val="007224D6"/>
    <w:rsid w:val="0072632A"/>
    <w:rsid w:val="007476DA"/>
    <w:rsid w:val="00756BA4"/>
    <w:rsid w:val="0076166F"/>
    <w:rsid w:val="00762B3E"/>
    <w:rsid w:val="00765547"/>
    <w:rsid w:val="007905E0"/>
    <w:rsid w:val="00790791"/>
    <w:rsid w:val="007B6BA5"/>
    <w:rsid w:val="007B76DA"/>
    <w:rsid w:val="007C3390"/>
    <w:rsid w:val="007C4F4B"/>
    <w:rsid w:val="007F6611"/>
    <w:rsid w:val="0080256C"/>
    <w:rsid w:val="00802F85"/>
    <w:rsid w:val="008175E9"/>
    <w:rsid w:val="008222B6"/>
    <w:rsid w:val="008242D7"/>
    <w:rsid w:val="0082471C"/>
    <w:rsid w:val="00833B9C"/>
    <w:rsid w:val="0083608A"/>
    <w:rsid w:val="0083624B"/>
    <w:rsid w:val="00844184"/>
    <w:rsid w:val="008450F9"/>
    <w:rsid w:val="008507F5"/>
    <w:rsid w:val="00871FD5"/>
    <w:rsid w:val="008967AC"/>
    <w:rsid w:val="008979B1"/>
    <w:rsid w:val="008A079A"/>
    <w:rsid w:val="008A6B25"/>
    <w:rsid w:val="008A6C4F"/>
    <w:rsid w:val="008C3616"/>
    <w:rsid w:val="008C5245"/>
    <w:rsid w:val="008E0E46"/>
    <w:rsid w:val="008F1011"/>
    <w:rsid w:val="0091583E"/>
    <w:rsid w:val="0092070A"/>
    <w:rsid w:val="00927AED"/>
    <w:rsid w:val="009366FD"/>
    <w:rsid w:val="00945A5D"/>
    <w:rsid w:val="00947186"/>
    <w:rsid w:val="00963CBA"/>
    <w:rsid w:val="00977675"/>
    <w:rsid w:val="009835FF"/>
    <w:rsid w:val="00984050"/>
    <w:rsid w:val="0099124E"/>
    <w:rsid w:val="00991261"/>
    <w:rsid w:val="0099386C"/>
    <w:rsid w:val="009F0F06"/>
    <w:rsid w:val="00A1427D"/>
    <w:rsid w:val="00A45506"/>
    <w:rsid w:val="00A56BA9"/>
    <w:rsid w:val="00A60435"/>
    <w:rsid w:val="00A72F22"/>
    <w:rsid w:val="00A748A6"/>
    <w:rsid w:val="00A75EC9"/>
    <w:rsid w:val="00A81FD3"/>
    <w:rsid w:val="00A842D4"/>
    <w:rsid w:val="00A84C9E"/>
    <w:rsid w:val="00A85D6F"/>
    <w:rsid w:val="00A875A1"/>
    <w:rsid w:val="00A879A4"/>
    <w:rsid w:val="00A96C07"/>
    <w:rsid w:val="00AA7D7F"/>
    <w:rsid w:val="00AB2A94"/>
    <w:rsid w:val="00AB65DB"/>
    <w:rsid w:val="00AC5121"/>
    <w:rsid w:val="00AD7DF2"/>
    <w:rsid w:val="00B00903"/>
    <w:rsid w:val="00B03C88"/>
    <w:rsid w:val="00B11B3B"/>
    <w:rsid w:val="00B16FBA"/>
    <w:rsid w:val="00B30179"/>
    <w:rsid w:val="00B3317B"/>
    <w:rsid w:val="00B50266"/>
    <w:rsid w:val="00B50AE3"/>
    <w:rsid w:val="00B5787B"/>
    <w:rsid w:val="00B73243"/>
    <w:rsid w:val="00B76875"/>
    <w:rsid w:val="00B81E12"/>
    <w:rsid w:val="00B93068"/>
    <w:rsid w:val="00B9700A"/>
    <w:rsid w:val="00BA4B0C"/>
    <w:rsid w:val="00BA6FD2"/>
    <w:rsid w:val="00BB4A41"/>
    <w:rsid w:val="00BB4F0D"/>
    <w:rsid w:val="00BB51A6"/>
    <w:rsid w:val="00BB713C"/>
    <w:rsid w:val="00BC74E9"/>
    <w:rsid w:val="00BD1213"/>
    <w:rsid w:val="00BE4375"/>
    <w:rsid w:val="00BE618E"/>
    <w:rsid w:val="00BF1F58"/>
    <w:rsid w:val="00C25097"/>
    <w:rsid w:val="00C463DD"/>
    <w:rsid w:val="00C46E4A"/>
    <w:rsid w:val="00C62F76"/>
    <w:rsid w:val="00C71793"/>
    <w:rsid w:val="00C745C3"/>
    <w:rsid w:val="00C8743C"/>
    <w:rsid w:val="00CB59EA"/>
    <w:rsid w:val="00CE4A8F"/>
    <w:rsid w:val="00CE59E3"/>
    <w:rsid w:val="00CF5DB3"/>
    <w:rsid w:val="00D05DBC"/>
    <w:rsid w:val="00D06FD1"/>
    <w:rsid w:val="00D11AB9"/>
    <w:rsid w:val="00D17200"/>
    <w:rsid w:val="00D2031B"/>
    <w:rsid w:val="00D23A88"/>
    <w:rsid w:val="00D25FE2"/>
    <w:rsid w:val="00D43252"/>
    <w:rsid w:val="00D4340F"/>
    <w:rsid w:val="00D547A8"/>
    <w:rsid w:val="00D679D2"/>
    <w:rsid w:val="00D7063E"/>
    <w:rsid w:val="00D753D8"/>
    <w:rsid w:val="00D82B0C"/>
    <w:rsid w:val="00D83A1B"/>
    <w:rsid w:val="00D92EF7"/>
    <w:rsid w:val="00D96CC5"/>
    <w:rsid w:val="00D978C6"/>
    <w:rsid w:val="00DA086C"/>
    <w:rsid w:val="00DA0DD6"/>
    <w:rsid w:val="00DA67AD"/>
    <w:rsid w:val="00DC663F"/>
    <w:rsid w:val="00DD6B24"/>
    <w:rsid w:val="00DE6FCD"/>
    <w:rsid w:val="00E061DD"/>
    <w:rsid w:val="00E130AB"/>
    <w:rsid w:val="00E13CE5"/>
    <w:rsid w:val="00E26963"/>
    <w:rsid w:val="00E41CD3"/>
    <w:rsid w:val="00E5644E"/>
    <w:rsid w:val="00E576ED"/>
    <w:rsid w:val="00E57FAB"/>
    <w:rsid w:val="00E7260F"/>
    <w:rsid w:val="00E74876"/>
    <w:rsid w:val="00E74BCC"/>
    <w:rsid w:val="00E824E6"/>
    <w:rsid w:val="00E838EB"/>
    <w:rsid w:val="00E8535A"/>
    <w:rsid w:val="00E96630"/>
    <w:rsid w:val="00EA772F"/>
    <w:rsid w:val="00EB2329"/>
    <w:rsid w:val="00EB6832"/>
    <w:rsid w:val="00ED7A2A"/>
    <w:rsid w:val="00EF1D7F"/>
    <w:rsid w:val="00F075D7"/>
    <w:rsid w:val="00F208D5"/>
    <w:rsid w:val="00F40E75"/>
    <w:rsid w:val="00F4570E"/>
    <w:rsid w:val="00F54674"/>
    <w:rsid w:val="00F80952"/>
    <w:rsid w:val="00F83147"/>
    <w:rsid w:val="00F9055B"/>
    <w:rsid w:val="00F91239"/>
    <w:rsid w:val="00F94FC5"/>
    <w:rsid w:val="00FA11C4"/>
    <w:rsid w:val="00FA33A2"/>
    <w:rsid w:val="00FA46E6"/>
    <w:rsid w:val="00FB3350"/>
    <w:rsid w:val="00FC5EFD"/>
    <w:rsid w:val="00FC68B7"/>
    <w:rsid w:val="00FD2F08"/>
    <w:rsid w:val="00FD6B2B"/>
    <w:rsid w:val="00FE5CBD"/>
    <w:rsid w:val="00FF03BB"/>
    <w:rsid w:val="00FF0F25"/>
    <w:rsid w:val="00FF12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9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locked/>
    <w:rsid w:val="0040205D"/>
    <w:rPr>
      <w:b/>
      <w:sz w:val="28"/>
      <w:lang w:eastAsia="en-US"/>
    </w:rPr>
  </w:style>
  <w:style w:type="character" w:customStyle="1" w:styleId="H1GChar">
    <w:name w:val="_ H_1_G Char"/>
    <w:link w:val="H1G"/>
    <w:rsid w:val="0040205D"/>
    <w:rPr>
      <w:b/>
      <w:sz w:val="24"/>
      <w:lang w:eastAsia="en-US"/>
    </w:rPr>
  </w:style>
  <w:style w:type="character" w:customStyle="1" w:styleId="SingleTxtGZchnZchn">
    <w:name w:val="_ Single Txt_G Zchn Zchn"/>
    <w:link w:val="SingleTxtG"/>
    <w:rsid w:val="0040205D"/>
    <w:rPr>
      <w:lang w:eastAsia="en-US"/>
    </w:rPr>
  </w:style>
  <w:style w:type="character" w:customStyle="1" w:styleId="H23GChar">
    <w:name w:val="_ H_2/3_G Char"/>
    <w:link w:val="H23G"/>
    <w:rsid w:val="0040205D"/>
    <w:rPr>
      <w:b/>
      <w:lang w:eastAsia="en-US"/>
    </w:rPr>
  </w:style>
  <w:style w:type="character" w:customStyle="1" w:styleId="SingleTxtGCar">
    <w:name w:val="_ Single Txt_G Car"/>
    <w:rsid w:val="0040205D"/>
    <w:rPr>
      <w:lang w:val="en-GB" w:eastAsia="en-US" w:bidi="ar-SA"/>
    </w:rPr>
  </w:style>
  <w:style w:type="paragraph" w:styleId="ListParagraph">
    <w:name w:val="List Paragraph"/>
    <w:basedOn w:val="Normal"/>
    <w:uiPriority w:val="34"/>
    <w:qFormat/>
    <w:rsid w:val="0040205D"/>
    <w:pPr>
      <w:ind w:left="720"/>
      <w:contextualSpacing/>
    </w:pPr>
  </w:style>
  <w:style w:type="paragraph" w:styleId="CommentSubject">
    <w:name w:val="annotation subject"/>
    <w:basedOn w:val="CommentText"/>
    <w:next w:val="CommentText"/>
    <w:link w:val="CommentSubjectChar"/>
    <w:rsid w:val="00A45506"/>
    <w:pPr>
      <w:spacing w:line="240" w:lineRule="auto"/>
    </w:pPr>
    <w:rPr>
      <w:b/>
      <w:bCs/>
    </w:rPr>
  </w:style>
  <w:style w:type="character" w:customStyle="1" w:styleId="CommentTextChar">
    <w:name w:val="Comment Text Char"/>
    <w:basedOn w:val="DefaultParagraphFont"/>
    <w:link w:val="CommentText"/>
    <w:semiHidden/>
    <w:rsid w:val="00A45506"/>
    <w:rPr>
      <w:lang w:eastAsia="en-US"/>
    </w:rPr>
  </w:style>
  <w:style w:type="character" w:customStyle="1" w:styleId="CommentSubjectChar">
    <w:name w:val="Comment Subject Char"/>
    <w:basedOn w:val="CommentTextChar"/>
    <w:link w:val="CommentSubject"/>
    <w:rsid w:val="00A45506"/>
    <w:rPr>
      <w:b/>
      <w:bCs/>
      <w:lang w:eastAsia="en-US"/>
    </w:rPr>
  </w:style>
  <w:style w:type="paragraph" w:styleId="Revision">
    <w:name w:val="Revision"/>
    <w:hidden/>
    <w:uiPriority w:val="99"/>
    <w:semiHidden/>
    <w:rsid w:val="00A45506"/>
    <w:rPr>
      <w:lang w:eastAsia="en-US"/>
    </w:rPr>
  </w:style>
  <w:style w:type="paragraph" w:styleId="BalloonText">
    <w:name w:val="Balloon Text"/>
    <w:basedOn w:val="Normal"/>
    <w:link w:val="BalloonTextChar"/>
    <w:rsid w:val="00A455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5506"/>
    <w:rPr>
      <w:rFonts w:ascii="Tahoma" w:hAnsi="Tahoma" w:cs="Tahoma"/>
      <w:sz w:val="16"/>
      <w:szCs w:val="16"/>
      <w:lang w:eastAsia="en-US"/>
    </w:rPr>
  </w:style>
  <w:style w:type="character" w:customStyle="1" w:styleId="SingleTxtGChar">
    <w:name w:val="_ Single Txt_G Char"/>
    <w:qFormat/>
    <w:rsid w:val="00A45506"/>
    <w:rPr>
      <w:lang w:eastAsia="en-US"/>
    </w:rPr>
  </w:style>
  <w:style w:type="character" w:customStyle="1" w:styleId="FootnoteTextChar">
    <w:name w:val="Footnote Text Char"/>
    <w:aliases w:val="5_G Char"/>
    <w:link w:val="FootnoteText"/>
    <w:locked/>
    <w:rsid w:val="0076554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locked/>
    <w:rsid w:val="0040205D"/>
    <w:rPr>
      <w:b/>
      <w:sz w:val="28"/>
      <w:lang w:eastAsia="en-US"/>
    </w:rPr>
  </w:style>
  <w:style w:type="character" w:customStyle="1" w:styleId="H1GChar">
    <w:name w:val="_ H_1_G Char"/>
    <w:link w:val="H1G"/>
    <w:rsid w:val="0040205D"/>
    <w:rPr>
      <w:b/>
      <w:sz w:val="24"/>
      <w:lang w:eastAsia="en-US"/>
    </w:rPr>
  </w:style>
  <w:style w:type="character" w:customStyle="1" w:styleId="SingleTxtGZchnZchn">
    <w:name w:val="_ Single Txt_G Zchn Zchn"/>
    <w:link w:val="SingleTxtG"/>
    <w:rsid w:val="0040205D"/>
    <w:rPr>
      <w:lang w:eastAsia="en-US"/>
    </w:rPr>
  </w:style>
  <w:style w:type="character" w:customStyle="1" w:styleId="H23GChar">
    <w:name w:val="_ H_2/3_G Char"/>
    <w:link w:val="H23G"/>
    <w:rsid w:val="0040205D"/>
    <w:rPr>
      <w:b/>
      <w:lang w:eastAsia="en-US"/>
    </w:rPr>
  </w:style>
  <w:style w:type="character" w:customStyle="1" w:styleId="SingleTxtGCar">
    <w:name w:val="_ Single Txt_G Car"/>
    <w:rsid w:val="0040205D"/>
    <w:rPr>
      <w:lang w:val="en-GB" w:eastAsia="en-US" w:bidi="ar-SA"/>
    </w:rPr>
  </w:style>
  <w:style w:type="paragraph" w:styleId="ListParagraph">
    <w:name w:val="List Paragraph"/>
    <w:basedOn w:val="Normal"/>
    <w:uiPriority w:val="34"/>
    <w:qFormat/>
    <w:rsid w:val="0040205D"/>
    <w:pPr>
      <w:ind w:left="720"/>
      <w:contextualSpacing/>
    </w:pPr>
  </w:style>
  <w:style w:type="paragraph" w:styleId="CommentSubject">
    <w:name w:val="annotation subject"/>
    <w:basedOn w:val="CommentText"/>
    <w:next w:val="CommentText"/>
    <w:link w:val="CommentSubjectChar"/>
    <w:rsid w:val="00A45506"/>
    <w:pPr>
      <w:spacing w:line="240" w:lineRule="auto"/>
    </w:pPr>
    <w:rPr>
      <w:b/>
      <w:bCs/>
    </w:rPr>
  </w:style>
  <w:style w:type="character" w:customStyle="1" w:styleId="CommentTextChar">
    <w:name w:val="Comment Text Char"/>
    <w:basedOn w:val="DefaultParagraphFont"/>
    <w:link w:val="CommentText"/>
    <w:semiHidden/>
    <w:rsid w:val="00A45506"/>
    <w:rPr>
      <w:lang w:eastAsia="en-US"/>
    </w:rPr>
  </w:style>
  <w:style w:type="character" w:customStyle="1" w:styleId="CommentSubjectChar">
    <w:name w:val="Comment Subject Char"/>
    <w:basedOn w:val="CommentTextChar"/>
    <w:link w:val="CommentSubject"/>
    <w:rsid w:val="00A45506"/>
    <w:rPr>
      <w:b/>
      <w:bCs/>
      <w:lang w:eastAsia="en-US"/>
    </w:rPr>
  </w:style>
  <w:style w:type="paragraph" w:styleId="Revision">
    <w:name w:val="Revision"/>
    <w:hidden/>
    <w:uiPriority w:val="99"/>
    <w:semiHidden/>
    <w:rsid w:val="00A45506"/>
    <w:rPr>
      <w:lang w:eastAsia="en-US"/>
    </w:rPr>
  </w:style>
  <w:style w:type="paragraph" w:styleId="BalloonText">
    <w:name w:val="Balloon Text"/>
    <w:basedOn w:val="Normal"/>
    <w:link w:val="BalloonTextChar"/>
    <w:rsid w:val="00A455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5506"/>
    <w:rPr>
      <w:rFonts w:ascii="Tahoma" w:hAnsi="Tahoma" w:cs="Tahoma"/>
      <w:sz w:val="16"/>
      <w:szCs w:val="16"/>
      <w:lang w:eastAsia="en-US"/>
    </w:rPr>
  </w:style>
  <w:style w:type="character" w:customStyle="1" w:styleId="SingleTxtGChar">
    <w:name w:val="_ Single Txt_G Char"/>
    <w:qFormat/>
    <w:rsid w:val="00A45506"/>
    <w:rPr>
      <w:lang w:eastAsia="en-US"/>
    </w:rPr>
  </w:style>
  <w:style w:type="character" w:customStyle="1" w:styleId="FootnoteTextChar">
    <w:name w:val="Footnote Text Char"/>
    <w:aliases w:val="5_G Char"/>
    <w:link w:val="FootnoteText"/>
    <w:locked/>
    <w:rsid w:val="0076554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3.vsd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2.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customXml" Target="ink/ink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package" Target="embeddings/Microsoft_Visio_Drawing1.vsd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4_E.dotm" TargetMode="External"/></Relationships>
</file>

<file path=word/ink/ink1.xml><?xml version="1.0" encoding="utf-8"?>
<inkml:ink xmlns:inkml="http://www.w3.org/2003/InkML">
  <inkml:definitions>
    <inkml:context xml:id="ctx0">
      <inkml:inkSource xml:id="inkSrc0">
        <inkml:traceFormat>
          <inkml:channel name="X" type="integer" max="3200" units="cm"/>
          <inkml:channel name="Y" type="integer" max="1800" units="cm"/>
          <inkml:channel name="T" type="integer" max="2.14748E9" units="dev"/>
        </inkml:traceFormat>
        <inkml:channelProperties>
          <inkml:channelProperty channel="X" name="resolution" value="108.84354" units="1/cm"/>
          <inkml:channelProperty channel="Y" name="resolution" value="109.09091" units="1/cm"/>
          <inkml:channelProperty channel="T" name="resolution" value="1" units="1/dev"/>
        </inkml:channelProperties>
      </inkml:inkSource>
      <inkml:timestamp xml:id="ts0" timeString="2016-08-22T09:45:27.56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93E0-29A2-4DE1-8AC2-66F38B53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10</TotalTime>
  <Pages>20</Pages>
  <Words>5665</Words>
  <Characters>30724</Characters>
  <Application>Microsoft Office Word</Application>
  <DocSecurity>0</DocSecurity>
  <Lines>1054</Lines>
  <Paragraphs>529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50th session UNSCETDG</dc:creator>
  <cp:lastModifiedBy>Laurence Berthet</cp:lastModifiedBy>
  <cp:revision>5</cp:revision>
  <cp:lastPrinted>2017-03-23T14:07:00Z</cp:lastPrinted>
  <dcterms:created xsi:type="dcterms:W3CDTF">2017-03-23T13:15:00Z</dcterms:created>
  <dcterms:modified xsi:type="dcterms:W3CDTF">2017-03-23T14:07:00Z</dcterms:modified>
</cp:coreProperties>
</file>