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A2F" w:rsidRPr="00324CAD" w:rsidRDefault="00F16A2F" w:rsidP="00F16A2F">
      <w:pPr>
        <w:spacing w:line="240" w:lineRule="auto"/>
        <w:rPr>
          <w:sz w:val="2"/>
          <w:lang w:val="fr-CH"/>
        </w:rPr>
        <w:sectPr w:rsidR="00F16A2F" w:rsidRPr="00324CAD" w:rsidSect="00F16A2F">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r w:rsidRPr="00324CAD">
        <w:rPr>
          <w:rStyle w:val="CommentReference"/>
          <w:lang w:val="fr-CH"/>
        </w:rPr>
        <w:commentReference w:id="1"/>
      </w:r>
    </w:p>
    <w:p w:rsidR="008D5E1B" w:rsidRPr="00324CAD" w:rsidRDefault="008D5E1B" w:rsidP="008D5E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8"/>
          <w:szCs w:val="28"/>
          <w:lang w:val="fr-CH"/>
        </w:rPr>
      </w:pPr>
      <w:r w:rsidRPr="00324CAD">
        <w:rPr>
          <w:sz w:val="28"/>
          <w:szCs w:val="28"/>
          <w:lang w:val="fr-CH"/>
        </w:rPr>
        <w:lastRenderedPageBreak/>
        <w:t>Commission économique pour l’Europe</w:t>
      </w:r>
    </w:p>
    <w:p w:rsidR="008D5E1B" w:rsidRPr="00324CAD" w:rsidRDefault="008D5E1B" w:rsidP="008D5E1B">
      <w:pPr>
        <w:pStyle w:val="SingleTxt"/>
        <w:spacing w:after="0" w:line="120" w:lineRule="exact"/>
        <w:ind w:left="0"/>
        <w:rPr>
          <w:sz w:val="10"/>
          <w:szCs w:val="10"/>
          <w:lang w:val="fr-CH"/>
        </w:rPr>
      </w:pPr>
    </w:p>
    <w:p w:rsidR="008D5E1B" w:rsidRPr="00324CAD" w:rsidRDefault="008D5E1B" w:rsidP="008D5E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8"/>
          <w:szCs w:val="28"/>
          <w:lang w:val="fr-CH"/>
        </w:rPr>
      </w:pPr>
      <w:r w:rsidRPr="00324CAD">
        <w:rPr>
          <w:b w:val="0"/>
          <w:sz w:val="28"/>
          <w:szCs w:val="28"/>
          <w:lang w:val="fr-CH"/>
        </w:rPr>
        <w:t>Comité des transports intérieurs</w:t>
      </w:r>
      <w:bookmarkStart w:id="2" w:name="insstart"/>
      <w:bookmarkEnd w:id="2"/>
    </w:p>
    <w:p w:rsidR="008D5E1B" w:rsidRPr="00324CAD" w:rsidRDefault="008D5E1B" w:rsidP="008D5E1B">
      <w:pPr>
        <w:pStyle w:val="SingleTxt"/>
        <w:spacing w:after="0" w:line="120" w:lineRule="exact"/>
        <w:ind w:left="0"/>
        <w:rPr>
          <w:sz w:val="10"/>
          <w:lang w:val="fr-CH"/>
        </w:rPr>
      </w:pPr>
    </w:p>
    <w:p w:rsidR="008D5E1B" w:rsidRPr="00324CAD" w:rsidRDefault="008D5E1B" w:rsidP="008D5E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CH"/>
        </w:rPr>
      </w:pPr>
      <w:r w:rsidRPr="00324CAD">
        <w:rPr>
          <w:lang w:val="fr-CH"/>
        </w:rPr>
        <w:t xml:space="preserve">Groupe de travail chargé d’examiner les tendances </w:t>
      </w:r>
      <w:r w:rsidRPr="00324CAD">
        <w:rPr>
          <w:lang w:val="fr-CH"/>
        </w:rPr>
        <w:br/>
        <w:t>et l’économie des transports</w:t>
      </w:r>
    </w:p>
    <w:p w:rsidR="008D5E1B" w:rsidRPr="00324CAD" w:rsidRDefault="008D5E1B" w:rsidP="008D5E1B">
      <w:pPr>
        <w:pStyle w:val="SingleTxt"/>
        <w:spacing w:after="0" w:line="120" w:lineRule="exact"/>
        <w:ind w:left="0"/>
        <w:rPr>
          <w:b/>
          <w:bCs/>
          <w:sz w:val="10"/>
          <w:lang w:val="fr-CH"/>
        </w:rPr>
      </w:pPr>
    </w:p>
    <w:p w:rsidR="008D5E1B" w:rsidRPr="00324CAD" w:rsidRDefault="008D5E1B" w:rsidP="008D5E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24CAD">
        <w:rPr>
          <w:lang w:val="fr-CH"/>
        </w:rPr>
        <w:t>Vingt-huitième session</w:t>
      </w:r>
    </w:p>
    <w:p w:rsidR="008D5E1B" w:rsidRPr="00324CAD" w:rsidRDefault="008D5E1B" w:rsidP="008D5E1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324CAD">
        <w:rPr>
          <w:lang w:val="fr-CH"/>
        </w:rPr>
        <w:t xml:space="preserve">Genève, 7-9 septembre 2015 </w:t>
      </w:r>
    </w:p>
    <w:p w:rsidR="008D5E1B" w:rsidRPr="00324CAD" w:rsidRDefault="008D5E1B" w:rsidP="008D5E1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324CAD">
        <w:rPr>
          <w:lang w:val="fr-CH"/>
        </w:rPr>
        <w:t>Point 4 de l’ordre du jour provisoire</w:t>
      </w:r>
    </w:p>
    <w:p w:rsidR="008D5E1B" w:rsidRPr="00324CAD" w:rsidRDefault="008D5E1B" w:rsidP="008D5E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24CAD">
        <w:rPr>
          <w:lang w:val="fr-CH"/>
        </w:rPr>
        <w:t>Liaisons entre ports maritimes et arrière-pays</w:t>
      </w:r>
    </w:p>
    <w:p w:rsidR="008D5E1B" w:rsidRPr="00324CAD" w:rsidRDefault="008D5E1B" w:rsidP="008D5E1B">
      <w:pPr>
        <w:pStyle w:val="SingleTxt"/>
        <w:spacing w:after="0" w:line="120" w:lineRule="exact"/>
        <w:ind w:left="0"/>
        <w:rPr>
          <w:sz w:val="10"/>
          <w:lang w:val="fr-CH"/>
        </w:rPr>
      </w:pPr>
    </w:p>
    <w:p w:rsidR="008D5E1B" w:rsidRPr="00324CAD" w:rsidRDefault="008D5E1B" w:rsidP="008D5E1B">
      <w:pPr>
        <w:pStyle w:val="SingleTxt"/>
        <w:spacing w:after="0" w:line="120" w:lineRule="exact"/>
        <w:ind w:left="0"/>
        <w:rPr>
          <w:sz w:val="10"/>
          <w:lang w:val="fr-CH"/>
        </w:rPr>
      </w:pPr>
    </w:p>
    <w:p w:rsidR="008D5E1B" w:rsidRPr="00324CAD" w:rsidRDefault="008D5E1B" w:rsidP="008D5E1B">
      <w:pPr>
        <w:pStyle w:val="SingleTxt"/>
        <w:spacing w:after="0" w:line="120" w:lineRule="exact"/>
        <w:ind w:left="0"/>
        <w:rPr>
          <w:sz w:val="10"/>
          <w:lang w:val="fr-CH"/>
        </w:rPr>
      </w:pPr>
    </w:p>
    <w:p w:rsidR="008D5E1B" w:rsidRPr="00324CAD" w:rsidRDefault="008D5E1B" w:rsidP="00324CA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24CAD">
        <w:rPr>
          <w:lang w:val="fr-CH"/>
        </w:rPr>
        <w:tab/>
      </w:r>
      <w:r w:rsidRPr="00324CAD">
        <w:rPr>
          <w:lang w:val="fr-CH"/>
        </w:rPr>
        <w:tab/>
        <w:t xml:space="preserve">Observatoire du projet MEDNET sur les liaisons </w:t>
      </w:r>
      <w:r w:rsidR="00324CAD" w:rsidRPr="00324CAD">
        <w:rPr>
          <w:lang w:val="fr-CH"/>
        </w:rPr>
        <w:br/>
      </w:r>
      <w:r w:rsidRPr="00324CAD">
        <w:rPr>
          <w:lang w:val="fr-CH"/>
        </w:rPr>
        <w:t>entre ports maritimes et arrière-pays</w:t>
      </w:r>
      <w:r w:rsidRPr="00903290">
        <w:rPr>
          <w:rStyle w:val="FootnoteReference"/>
          <w:b w:val="0"/>
          <w:color w:val="auto"/>
          <w:sz w:val="20"/>
          <w:szCs w:val="20"/>
          <w:vertAlign w:val="baseline"/>
          <w:lang w:val="fr-CH"/>
        </w:rPr>
        <w:footnoteReference w:customMarkFollows="1" w:id="1"/>
        <w:t>*</w:t>
      </w:r>
    </w:p>
    <w:p w:rsidR="00324CAD" w:rsidRPr="00324CAD" w:rsidRDefault="00324CAD" w:rsidP="00324CAD">
      <w:pPr>
        <w:pStyle w:val="SingleTxt"/>
        <w:spacing w:after="0" w:line="120" w:lineRule="exact"/>
        <w:rPr>
          <w:b/>
          <w:sz w:val="10"/>
          <w:lang w:val="fr-CH"/>
        </w:rPr>
      </w:pPr>
    </w:p>
    <w:p w:rsidR="00324CAD" w:rsidRPr="00324CAD" w:rsidRDefault="00324CAD" w:rsidP="00324CAD">
      <w:pPr>
        <w:pStyle w:val="SingleTxt"/>
        <w:spacing w:after="0" w:line="120" w:lineRule="exact"/>
        <w:rPr>
          <w:b/>
          <w:sz w:val="10"/>
          <w:lang w:val="fr-CH"/>
        </w:rPr>
      </w:pPr>
    </w:p>
    <w:p w:rsidR="008D5E1B" w:rsidRPr="00324CAD" w:rsidRDefault="008D5E1B" w:rsidP="00324C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24CAD">
        <w:rPr>
          <w:lang w:val="fr-CH"/>
        </w:rPr>
        <w:tab/>
      </w:r>
      <w:r w:rsidRPr="00324CAD">
        <w:rPr>
          <w:lang w:val="fr-CH"/>
        </w:rPr>
        <w:tab/>
        <w:t>Communication du secrétariat</w:t>
      </w:r>
    </w:p>
    <w:p w:rsidR="00324CAD" w:rsidRPr="00324CAD" w:rsidRDefault="00324CAD" w:rsidP="00324CAD">
      <w:pPr>
        <w:pStyle w:val="SingleTxt"/>
        <w:spacing w:after="0" w:line="120" w:lineRule="exact"/>
        <w:rPr>
          <w:b/>
          <w:sz w:val="10"/>
          <w:lang w:val="fr-CH"/>
        </w:rPr>
      </w:pPr>
    </w:p>
    <w:p w:rsidR="00324CAD" w:rsidRPr="00324CAD" w:rsidRDefault="00324CAD" w:rsidP="00324CAD">
      <w:pPr>
        <w:pStyle w:val="SingleTxt"/>
        <w:spacing w:after="0" w:line="120" w:lineRule="exact"/>
        <w:rPr>
          <w:b/>
          <w:sz w:val="10"/>
          <w:lang w:val="fr-CH"/>
        </w:rPr>
      </w:pPr>
    </w:p>
    <w:p w:rsidR="008D5E1B" w:rsidRPr="00324CAD" w:rsidRDefault="008D5E1B" w:rsidP="00324CA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24CAD">
        <w:rPr>
          <w:lang w:val="fr-CH"/>
        </w:rPr>
        <w:tab/>
        <w:t>I.</w:t>
      </w:r>
      <w:r w:rsidRPr="00324CAD">
        <w:rPr>
          <w:lang w:val="fr-CH"/>
        </w:rPr>
        <w:tab/>
        <w:t>Introduction</w:t>
      </w:r>
    </w:p>
    <w:p w:rsidR="00324CAD" w:rsidRPr="00324CAD" w:rsidRDefault="00324CAD" w:rsidP="00324CAD">
      <w:pPr>
        <w:pStyle w:val="SingleTxt"/>
        <w:spacing w:after="0" w:line="120" w:lineRule="exact"/>
        <w:rPr>
          <w:sz w:val="10"/>
          <w:lang w:val="fr-CH"/>
        </w:rPr>
      </w:pPr>
    </w:p>
    <w:p w:rsidR="00324CAD" w:rsidRPr="00324CAD" w:rsidRDefault="00324CAD" w:rsidP="00324CAD">
      <w:pPr>
        <w:pStyle w:val="SingleTxt"/>
        <w:spacing w:after="0" w:line="120" w:lineRule="exact"/>
        <w:rPr>
          <w:sz w:val="10"/>
          <w:lang w:val="fr-CH"/>
        </w:rPr>
      </w:pPr>
    </w:p>
    <w:p w:rsidR="008D5E1B" w:rsidRPr="00324CAD" w:rsidRDefault="008D5E1B" w:rsidP="00E61C69">
      <w:pPr>
        <w:pStyle w:val="SingleTxt"/>
        <w:numPr>
          <w:ilvl w:val="0"/>
          <w:numId w:val="16"/>
        </w:numPr>
        <w:tabs>
          <w:tab w:val="clear" w:pos="475"/>
          <w:tab w:val="num" w:pos="1742"/>
        </w:tabs>
        <w:ind w:left="1267"/>
        <w:rPr>
          <w:lang w:val="fr-CH"/>
        </w:rPr>
      </w:pPr>
      <w:r w:rsidRPr="00324CAD">
        <w:rPr>
          <w:lang w:val="fr-CH"/>
        </w:rPr>
        <w:t>Le projet MEDNET est un projet européen cofinancé dans le cadre du programme MED, qui a pour but de simplifier et d’uniformiser les procédures maritimes et portuaires dans la région de la Méditerranée. L’achèvement de ce projet, en mai 2015, s’est traduit par la recommandation d’initiatives et de mesures visant à faciliter les échanges maritimes, accélérer les procédures logistiques et réduire les coûts logistiques. En outre, la mise en place de liaisons maritimes plus fiables a commencé à contribuer à un transfert modal depuis le réseau routier européen, actuellement saturé, tout en réduisant les effets néfastes du transport routier sur l’environnement et en renforçant la cohésion sociale et économique entre les peuples de l’Europe et de la Méditerranée.</w:t>
      </w:r>
    </w:p>
    <w:p w:rsidR="008D5E1B" w:rsidRPr="00324CAD" w:rsidRDefault="008D5E1B" w:rsidP="00E61C69">
      <w:pPr>
        <w:pStyle w:val="SingleTxt"/>
        <w:numPr>
          <w:ilvl w:val="0"/>
          <w:numId w:val="16"/>
        </w:numPr>
        <w:tabs>
          <w:tab w:val="clear" w:pos="475"/>
          <w:tab w:val="num" w:pos="1742"/>
        </w:tabs>
        <w:ind w:left="1267"/>
        <w:rPr>
          <w:lang w:val="fr-CH"/>
        </w:rPr>
      </w:pPr>
      <w:r w:rsidRPr="00324CAD">
        <w:rPr>
          <w:lang w:val="fr-CH"/>
        </w:rPr>
        <w:t>Dans le cadre de ce projet, 20 initiatives pilotes, mises à l’essai dans les ports partenaires et avec les administrations compétentes ou les autorités douanières dans les pays participants, ont permis de mettre en évidence les possibilités de simplification et d’uniformisation des procédures. En parallèle, des activités de suivi et de collecte de données ont permis de constituer une base de données servant d’</w:t>
      </w:r>
      <w:r w:rsidR="00903290">
        <w:rPr>
          <w:lang w:val="fr-CH"/>
        </w:rPr>
        <w:t>« </w:t>
      </w:r>
      <w:r w:rsidRPr="00324CAD">
        <w:rPr>
          <w:lang w:val="fr-CH"/>
        </w:rPr>
        <w:t>Observatoire des opérations portuaires en Méditerranée</w:t>
      </w:r>
      <w:r w:rsidR="00903290">
        <w:rPr>
          <w:lang w:val="fr-CH"/>
        </w:rPr>
        <w:t> »</w:t>
      </w:r>
      <w:r w:rsidRPr="00324CAD">
        <w:rPr>
          <w:lang w:val="fr-CH"/>
        </w:rPr>
        <w:t xml:space="preserve">, qui est mise à la disposition des partenaires et de toutes les parties prenantes du secteur maritime. </w:t>
      </w:r>
    </w:p>
    <w:p w:rsidR="00E61C69" w:rsidRPr="00E61C69" w:rsidRDefault="00E61C69" w:rsidP="00E61C69">
      <w:pPr>
        <w:pStyle w:val="SingleTxt"/>
        <w:spacing w:after="0" w:line="120" w:lineRule="exact"/>
        <w:rPr>
          <w:b/>
          <w:sz w:val="10"/>
          <w:lang w:val="fr-CH"/>
        </w:rPr>
      </w:pPr>
    </w:p>
    <w:p w:rsidR="00E61C69" w:rsidRPr="00E61C69" w:rsidRDefault="00E61C69" w:rsidP="00E61C69">
      <w:pPr>
        <w:pStyle w:val="SingleTxt"/>
        <w:spacing w:after="0" w:line="120" w:lineRule="exact"/>
        <w:rPr>
          <w:b/>
          <w:sz w:val="10"/>
          <w:lang w:val="fr-CH"/>
        </w:rPr>
      </w:pPr>
    </w:p>
    <w:p w:rsidR="008D5E1B" w:rsidRDefault="008D5E1B" w:rsidP="00E61C6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24CAD">
        <w:rPr>
          <w:lang w:val="fr-CH"/>
        </w:rPr>
        <w:lastRenderedPageBreak/>
        <w:tab/>
        <w:t xml:space="preserve">II. </w:t>
      </w:r>
      <w:r w:rsidRPr="00324CAD">
        <w:rPr>
          <w:lang w:val="fr-CH"/>
        </w:rPr>
        <w:tab/>
        <w:t>L’Observatoire des opérations portuaires en Méditerranée</w:t>
      </w:r>
    </w:p>
    <w:p w:rsidR="00E61C69" w:rsidRPr="00E61C69" w:rsidRDefault="00E61C69" w:rsidP="00E61C69">
      <w:pPr>
        <w:pStyle w:val="SingleTxt"/>
        <w:keepNext/>
        <w:spacing w:after="0" w:line="120" w:lineRule="exact"/>
        <w:rPr>
          <w:b/>
          <w:sz w:val="10"/>
          <w:lang w:val="fr-CH"/>
        </w:rPr>
      </w:pPr>
    </w:p>
    <w:p w:rsidR="00E61C69" w:rsidRPr="00E61C69" w:rsidRDefault="00E61C69" w:rsidP="00E61C69">
      <w:pPr>
        <w:pStyle w:val="SingleTxt"/>
        <w:keepNext/>
        <w:spacing w:after="0" w:line="120" w:lineRule="exact"/>
        <w:rPr>
          <w:b/>
          <w:sz w:val="10"/>
          <w:lang w:val="fr-CH"/>
        </w:rPr>
      </w:pPr>
    </w:p>
    <w:p w:rsidR="00E61C69" w:rsidRDefault="008D5E1B" w:rsidP="008D5E1B">
      <w:pPr>
        <w:pStyle w:val="SingleTxt"/>
        <w:numPr>
          <w:ilvl w:val="0"/>
          <w:numId w:val="16"/>
        </w:numPr>
        <w:tabs>
          <w:tab w:val="clear" w:pos="475"/>
          <w:tab w:val="num" w:pos="1742"/>
        </w:tabs>
        <w:ind w:left="1267"/>
        <w:rPr>
          <w:lang w:val="fr-CH"/>
        </w:rPr>
      </w:pPr>
      <w:r w:rsidRPr="00324CAD">
        <w:rPr>
          <w:lang w:val="fr-CH"/>
        </w:rPr>
        <w:t>L’Observatoire des opérations portuaires en Méditerranée est une base de connaissances et un centre d’information exhaustifs sur les exigences administratives, les procédures logistiques, les opérations portuaires et les formalités douanières. Il permet de consigner et de disséminer les meilleures pratiques et de comprendre les paramètres techniques liés à l’efficacité des opérations portuaires, en s’appuyant sur une base de données spécialisée, mais aussi de mettre en lumière les points forts et les points faibles de chaque port. En outre, il offre une plate-forme de communication aux niveaux européen, national et régional, grâce à un groupe de discussion ouvert. L’Observatoire permet aussi aux représentants des autorités portuaires de l’espace MED d’effectuer une évaluation en ligne de leur propre port.</w:t>
      </w:r>
    </w:p>
    <w:p w:rsidR="008D5E1B" w:rsidRPr="00E61C69" w:rsidRDefault="008D5E1B" w:rsidP="008D5E1B">
      <w:pPr>
        <w:pStyle w:val="SingleTxt"/>
        <w:numPr>
          <w:ilvl w:val="0"/>
          <w:numId w:val="16"/>
        </w:numPr>
        <w:tabs>
          <w:tab w:val="clear" w:pos="475"/>
          <w:tab w:val="num" w:pos="1742"/>
        </w:tabs>
        <w:ind w:left="1267"/>
        <w:rPr>
          <w:lang w:val="fr-CH"/>
        </w:rPr>
      </w:pPr>
      <w:r w:rsidRPr="00E61C69">
        <w:rPr>
          <w:lang w:val="fr-CH"/>
        </w:rPr>
        <w:t>L’Observatoire offre un ensemble de services essentiels aux acteurs du secteur portuaire.</w:t>
      </w:r>
    </w:p>
    <w:p w:rsidR="00110ACD" w:rsidRPr="00903290" w:rsidRDefault="00110ACD" w:rsidP="00110ACD">
      <w:pPr>
        <w:pStyle w:val="SingleTxt"/>
        <w:spacing w:after="0" w:line="120" w:lineRule="exact"/>
        <w:rPr>
          <w:sz w:val="10"/>
          <w:lang w:val="fr-CH"/>
        </w:rPr>
      </w:pPr>
    </w:p>
    <w:tbl>
      <w:tblPr>
        <w:tblW w:w="10050" w:type="dxa"/>
        <w:tblLayout w:type="fixed"/>
        <w:tblCellMar>
          <w:left w:w="0" w:type="dxa"/>
          <w:right w:w="0" w:type="dxa"/>
        </w:tblCellMar>
        <w:tblLook w:val="0000" w:firstRow="0" w:lastRow="0" w:firstColumn="0" w:lastColumn="0" w:noHBand="0" w:noVBand="0"/>
      </w:tblPr>
      <w:tblGrid>
        <w:gridCol w:w="1800"/>
        <w:gridCol w:w="1550"/>
        <w:gridCol w:w="1675"/>
        <w:gridCol w:w="1675"/>
        <w:gridCol w:w="1675"/>
        <w:gridCol w:w="1675"/>
      </w:tblGrid>
      <w:tr w:rsidR="00903290" w:rsidRPr="00903290" w:rsidTr="002B3473">
        <w:trPr>
          <w:tblHeader/>
        </w:trPr>
        <w:tc>
          <w:tcPr>
            <w:tcW w:w="10050" w:type="dxa"/>
            <w:gridSpan w:val="6"/>
            <w:tcBorders>
              <w:top w:val="single" w:sz="4" w:space="0" w:color="auto"/>
              <w:bottom w:val="single" w:sz="4" w:space="0" w:color="auto"/>
            </w:tcBorders>
            <w:shd w:val="clear" w:color="auto" w:fill="auto"/>
            <w:vAlign w:val="bottom"/>
          </w:tcPr>
          <w:p w:rsidR="00903290" w:rsidRPr="00903290" w:rsidRDefault="00903290" w:rsidP="00903290">
            <w:pPr>
              <w:suppressAutoHyphens/>
              <w:spacing w:before="80" w:after="80" w:line="160" w:lineRule="exact"/>
              <w:ind w:right="115"/>
              <w:jc w:val="center"/>
              <w:rPr>
                <w:i/>
                <w:sz w:val="14"/>
                <w:lang w:val="fr-CH"/>
              </w:rPr>
            </w:pPr>
            <w:r>
              <w:rPr>
                <w:i/>
                <w:sz w:val="14"/>
                <w:lang w:val="fr-CH"/>
              </w:rPr>
              <w:t>Services offerts aux acteurs du secteur portuaire</w:t>
            </w:r>
          </w:p>
        </w:tc>
      </w:tr>
      <w:tr w:rsidR="00110ACD" w:rsidRPr="00903290" w:rsidTr="00F133BB">
        <w:trPr>
          <w:tblHeader/>
        </w:trPr>
        <w:tc>
          <w:tcPr>
            <w:tcW w:w="1800" w:type="dxa"/>
            <w:tcBorders>
              <w:top w:val="single" w:sz="4" w:space="0" w:color="auto"/>
              <w:bottom w:val="single" w:sz="12" w:space="0" w:color="auto"/>
            </w:tcBorders>
            <w:shd w:val="clear" w:color="auto" w:fill="auto"/>
            <w:vAlign w:val="bottom"/>
          </w:tcPr>
          <w:p w:rsidR="00110ACD" w:rsidRPr="00903290" w:rsidRDefault="00110ACD" w:rsidP="00EF78F4">
            <w:pPr>
              <w:suppressAutoHyphens/>
              <w:spacing w:before="80" w:after="80" w:line="160" w:lineRule="exact"/>
              <w:ind w:right="115"/>
              <w:rPr>
                <w:i/>
                <w:sz w:val="14"/>
                <w:lang w:val="fr-CH"/>
              </w:rPr>
            </w:pPr>
            <w:r w:rsidRPr="00903290">
              <w:rPr>
                <w:i/>
                <w:sz w:val="14"/>
                <w:lang w:val="fr-CH"/>
              </w:rPr>
              <w:t>Autorités portuaires</w:t>
            </w:r>
          </w:p>
        </w:tc>
        <w:tc>
          <w:tcPr>
            <w:tcW w:w="1550" w:type="dxa"/>
            <w:tcBorders>
              <w:top w:val="single" w:sz="4" w:space="0" w:color="auto"/>
              <w:bottom w:val="single" w:sz="12" w:space="0" w:color="auto"/>
            </w:tcBorders>
            <w:shd w:val="clear" w:color="auto" w:fill="auto"/>
            <w:vAlign w:val="bottom"/>
          </w:tcPr>
          <w:p w:rsidR="00110ACD" w:rsidRPr="00903290" w:rsidRDefault="00110ACD" w:rsidP="00EF78F4">
            <w:pPr>
              <w:suppressAutoHyphens/>
              <w:spacing w:before="80" w:after="80" w:line="160" w:lineRule="exact"/>
              <w:ind w:right="115"/>
              <w:rPr>
                <w:i/>
                <w:sz w:val="14"/>
                <w:lang w:val="fr-CH"/>
              </w:rPr>
            </w:pPr>
            <w:r w:rsidRPr="00903290">
              <w:rPr>
                <w:i/>
                <w:sz w:val="14"/>
                <w:lang w:val="fr-CH"/>
              </w:rPr>
              <w:t>Autorités douanières</w:t>
            </w:r>
          </w:p>
        </w:tc>
        <w:tc>
          <w:tcPr>
            <w:tcW w:w="1675" w:type="dxa"/>
            <w:tcBorders>
              <w:top w:val="single" w:sz="4" w:space="0" w:color="auto"/>
              <w:bottom w:val="single" w:sz="12" w:space="0" w:color="auto"/>
            </w:tcBorders>
            <w:shd w:val="clear" w:color="auto" w:fill="auto"/>
            <w:vAlign w:val="bottom"/>
          </w:tcPr>
          <w:p w:rsidR="00110ACD" w:rsidRPr="00903290" w:rsidRDefault="00110ACD" w:rsidP="00EF78F4">
            <w:pPr>
              <w:suppressAutoHyphens/>
              <w:spacing w:before="80" w:after="80" w:line="160" w:lineRule="exact"/>
              <w:ind w:right="115"/>
              <w:rPr>
                <w:i/>
                <w:sz w:val="14"/>
                <w:lang w:val="fr-CH"/>
              </w:rPr>
            </w:pPr>
            <w:r w:rsidRPr="00903290">
              <w:rPr>
                <w:i/>
                <w:sz w:val="14"/>
                <w:lang w:val="fr-CH"/>
              </w:rPr>
              <w:t xml:space="preserve">Sociétés </w:t>
            </w:r>
            <w:r w:rsidRPr="00903290">
              <w:rPr>
                <w:i/>
                <w:sz w:val="14"/>
                <w:lang w:val="fr-CH"/>
              </w:rPr>
              <w:br/>
              <w:t>de transport maritime</w:t>
            </w:r>
          </w:p>
        </w:tc>
        <w:tc>
          <w:tcPr>
            <w:tcW w:w="1675" w:type="dxa"/>
            <w:tcBorders>
              <w:top w:val="single" w:sz="4" w:space="0" w:color="auto"/>
              <w:bottom w:val="single" w:sz="12" w:space="0" w:color="auto"/>
            </w:tcBorders>
            <w:shd w:val="clear" w:color="auto" w:fill="auto"/>
            <w:vAlign w:val="bottom"/>
          </w:tcPr>
          <w:p w:rsidR="00110ACD" w:rsidRPr="00903290" w:rsidRDefault="00110ACD" w:rsidP="00EF78F4">
            <w:pPr>
              <w:suppressAutoHyphens/>
              <w:spacing w:before="80" w:after="80" w:line="160" w:lineRule="exact"/>
              <w:ind w:right="115"/>
              <w:rPr>
                <w:i/>
                <w:sz w:val="14"/>
                <w:lang w:val="fr-CH"/>
              </w:rPr>
            </w:pPr>
            <w:r w:rsidRPr="00903290">
              <w:rPr>
                <w:i/>
                <w:sz w:val="14"/>
                <w:lang w:val="fr-CH"/>
              </w:rPr>
              <w:t>Transitaires</w:t>
            </w:r>
          </w:p>
        </w:tc>
        <w:tc>
          <w:tcPr>
            <w:tcW w:w="1675" w:type="dxa"/>
            <w:tcBorders>
              <w:top w:val="single" w:sz="4" w:space="0" w:color="auto"/>
              <w:bottom w:val="single" w:sz="12" w:space="0" w:color="auto"/>
            </w:tcBorders>
            <w:shd w:val="clear" w:color="auto" w:fill="auto"/>
            <w:vAlign w:val="bottom"/>
          </w:tcPr>
          <w:p w:rsidR="00110ACD" w:rsidRPr="00903290" w:rsidRDefault="00110ACD" w:rsidP="00EF78F4">
            <w:pPr>
              <w:suppressAutoHyphens/>
              <w:spacing w:before="80" w:after="80" w:line="160" w:lineRule="exact"/>
              <w:ind w:right="115"/>
              <w:rPr>
                <w:i/>
                <w:sz w:val="14"/>
                <w:lang w:val="fr-CH"/>
              </w:rPr>
            </w:pPr>
            <w:r w:rsidRPr="00903290">
              <w:rPr>
                <w:i/>
                <w:sz w:val="14"/>
                <w:lang w:val="fr-CH"/>
              </w:rPr>
              <w:t>Organisations publiques</w:t>
            </w:r>
          </w:p>
        </w:tc>
        <w:tc>
          <w:tcPr>
            <w:tcW w:w="1675" w:type="dxa"/>
            <w:tcBorders>
              <w:top w:val="single" w:sz="4" w:space="0" w:color="auto"/>
              <w:bottom w:val="single" w:sz="12" w:space="0" w:color="auto"/>
            </w:tcBorders>
            <w:shd w:val="clear" w:color="auto" w:fill="auto"/>
            <w:vAlign w:val="bottom"/>
          </w:tcPr>
          <w:p w:rsidR="00110ACD" w:rsidRPr="00903290" w:rsidRDefault="00110ACD" w:rsidP="00EF78F4">
            <w:pPr>
              <w:suppressAutoHyphens/>
              <w:spacing w:before="80" w:after="80" w:line="160" w:lineRule="exact"/>
              <w:ind w:right="115"/>
              <w:rPr>
                <w:i/>
                <w:sz w:val="14"/>
                <w:lang w:val="fr-CH"/>
              </w:rPr>
            </w:pPr>
            <w:r w:rsidRPr="00903290">
              <w:rPr>
                <w:i/>
                <w:sz w:val="14"/>
                <w:lang w:val="fr-CH"/>
              </w:rPr>
              <w:t>Recherche/Universités</w:t>
            </w:r>
          </w:p>
        </w:tc>
      </w:tr>
      <w:tr w:rsidR="00110ACD" w:rsidRPr="00903290" w:rsidTr="00F133BB">
        <w:trPr>
          <w:trHeight w:hRule="exact" w:val="115"/>
          <w:tblHeader/>
        </w:trPr>
        <w:tc>
          <w:tcPr>
            <w:tcW w:w="1800" w:type="dxa"/>
            <w:tcBorders>
              <w:top w:val="single" w:sz="12" w:space="0" w:color="auto"/>
            </w:tcBorders>
            <w:shd w:val="clear" w:color="auto" w:fill="auto"/>
          </w:tcPr>
          <w:p w:rsidR="00110ACD" w:rsidRPr="00903290" w:rsidRDefault="00110ACD" w:rsidP="00EF78F4">
            <w:pPr>
              <w:suppressAutoHyphens/>
              <w:spacing w:before="40" w:after="80"/>
              <w:ind w:right="115"/>
              <w:rPr>
                <w:lang w:val="fr-CH"/>
              </w:rPr>
            </w:pPr>
          </w:p>
        </w:tc>
        <w:tc>
          <w:tcPr>
            <w:tcW w:w="1550" w:type="dxa"/>
            <w:tcBorders>
              <w:top w:val="single" w:sz="12" w:space="0" w:color="auto"/>
            </w:tcBorders>
            <w:shd w:val="clear" w:color="auto" w:fill="auto"/>
          </w:tcPr>
          <w:p w:rsidR="00110ACD" w:rsidRPr="00903290" w:rsidRDefault="00110ACD" w:rsidP="00EF78F4">
            <w:pPr>
              <w:suppressAutoHyphens/>
              <w:spacing w:before="40" w:after="80"/>
              <w:ind w:right="115"/>
              <w:rPr>
                <w:lang w:val="fr-CH"/>
              </w:rPr>
            </w:pPr>
          </w:p>
        </w:tc>
        <w:tc>
          <w:tcPr>
            <w:tcW w:w="1675" w:type="dxa"/>
            <w:tcBorders>
              <w:top w:val="single" w:sz="12" w:space="0" w:color="auto"/>
            </w:tcBorders>
            <w:shd w:val="clear" w:color="auto" w:fill="auto"/>
          </w:tcPr>
          <w:p w:rsidR="00110ACD" w:rsidRPr="00903290" w:rsidRDefault="00110ACD" w:rsidP="00EF78F4">
            <w:pPr>
              <w:suppressAutoHyphens/>
              <w:spacing w:before="40" w:after="80"/>
              <w:ind w:right="115"/>
              <w:rPr>
                <w:lang w:val="fr-CH"/>
              </w:rPr>
            </w:pPr>
          </w:p>
        </w:tc>
        <w:tc>
          <w:tcPr>
            <w:tcW w:w="1675" w:type="dxa"/>
            <w:tcBorders>
              <w:top w:val="single" w:sz="12" w:space="0" w:color="auto"/>
            </w:tcBorders>
            <w:shd w:val="clear" w:color="auto" w:fill="auto"/>
          </w:tcPr>
          <w:p w:rsidR="00110ACD" w:rsidRPr="00903290" w:rsidRDefault="00110ACD" w:rsidP="00EF78F4">
            <w:pPr>
              <w:suppressAutoHyphens/>
              <w:spacing w:before="40" w:after="80"/>
              <w:ind w:right="115"/>
              <w:rPr>
                <w:lang w:val="fr-CH"/>
              </w:rPr>
            </w:pPr>
          </w:p>
        </w:tc>
        <w:tc>
          <w:tcPr>
            <w:tcW w:w="1675" w:type="dxa"/>
            <w:tcBorders>
              <w:top w:val="single" w:sz="12" w:space="0" w:color="auto"/>
            </w:tcBorders>
            <w:shd w:val="clear" w:color="auto" w:fill="auto"/>
          </w:tcPr>
          <w:p w:rsidR="00110ACD" w:rsidRPr="00903290" w:rsidRDefault="00110ACD" w:rsidP="00EF78F4">
            <w:pPr>
              <w:suppressAutoHyphens/>
              <w:spacing w:before="40" w:after="80"/>
              <w:ind w:right="115"/>
              <w:rPr>
                <w:lang w:val="fr-CH"/>
              </w:rPr>
            </w:pPr>
          </w:p>
        </w:tc>
        <w:tc>
          <w:tcPr>
            <w:tcW w:w="1675" w:type="dxa"/>
            <w:tcBorders>
              <w:top w:val="single" w:sz="12" w:space="0" w:color="auto"/>
            </w:tcBorders>
            <w:shd w:val="clear" w:color="auto" w:fill="auto"/>
          </w:tcPr>
          <w:p w:rsidR="00110ACD" w:rsidRPr="00903290" w:rsidRDefault="00110ACD" w:rsidP="00EF78F4">
            <w:pPr>
              <w:suppressAutoHyphens/>
              <w:spacing w:before="40" w:after="80"/>
              <w:ind w:right="115"/>
              <w:rPr>
                <w:lang w:val="fr-CH"/>
              </w:rPr>
            </w:pPr>
          </w:p>
        </w:tc>
      </w:tr>
      <w:tr w:rsidR="00110ACD" w:rsidRPr="00903290" w:rsidTr="00F133BB">
        <w:tc>
          <w:tcPr>
            <w:tcW w:w="1800" w:type="dxa"/>
            <w:shd w:val="clear" w:color="auto" w:fill="auto"/>
          </w:tcPr>
          <w:p w:rsidR="00110ACD" w:rsidRPr="00903290" w:rsidRDefault="00110ACD" w:rsidP="00EF78F4">
            <w:pPr>
              <w:tabs>
                <w:tab w:val="left" w:pos="180"/>
                <w:tab w:val="left" w:pos="576"/>
                <w:tab w:val="left" w:pos="864"/>
                <w:tab w:val="left" w:pos="1152"/>
              </w:tabs>
              <w:suppressAutoHyphens/>
              <w:spacing w:before="40" w:after="80"/>
              <w:ind w:left="180" w:right="115" w:hanging="180"/>
              <w:rPr>
                <w:lang w:val="fr-CH"/>
              </w:rPr>
            </w:pPr>
            <w:r w:rsidRPr="00903290">
              <w:rPr>
                <w:lang w:val="fr-CH"/>
              </w:rPr>
              <w:t>•</w:t>
            </w:r>
            <w:r w:rsidRPr="00903290">
              <w:rPr>
                <w:lang w:val="fr-CH"/>
              </w:rPr>
              <w:tab/>
              <w:t>Évaluer ses opérations portuaires</w:t>
            </w:r>
          </w:p>
        </w:tc>
        <w:tc>
          <w:tcPr>
            <w:tcW w:w="1550" w:type="dxa"/>
            <w:shd w:val="clear" w:color="auto" w:fill="auto"/>
          </w:tcPr>
          <w:p w:rsidR="00110ACD" w:rsidRPr="00903290" w:rsidRDefault="00110ACD" w:rsidP="00EF78F4">
            <w:pPr>
              <w:tabs>
                <w:tab w:val="left" w:pos="180"/>
                <w:tab w:val="left" w:pos="576"/>
                <w:tab w:val="left" w:pos="864"/>
                <w:tab w:val="left" w:pos="1152"/>
              </w:tabs>
              <w:suppressAutoHyphens/>
              <w:spacing w:before="40" w:after="80"/>
              <w:ind w:left="180" w:right="115" w:hanging="180"/>
              <w:rPr>
                <w:lang w:val="fr-CH"/>
              </w:rPr>
            </w:pPr>
            <w:r w:rsidRPr="00903290">
              <w:rPr>
                <w:lang w:val="fr-CH"/>
              </w:rPr>
              <w:t>•</w:t>
            </w:r>
            <w:r w:rsidRPr="00903290">
              <w:rPr>
                <w:lang w:val="fr-CH"/>
              </w:rPr>
              <w:tab/>
              <w:t>Évaluer ses procédures douanières</w:t>
            </w:r>
          </w:p>
        </w:tc>
        <w:tc>
          <w:tcPr>
            <w:tcW w:w="1675" w:type="dxa"/>
            <w:shd w:val="clear" w:color="auto" w:fill="auto"/>
          </w:tcPr>
          <w:p w:rsidR="00110ACD" w:rsidRPr="00903290" w:rsidRDefault="00110ACD" w:rsidP="00EF78F4">
            <w:pPr>
              <w:tabs>
                <w:tab w:val="left" w:pos="180"/>
                <w:tab w:val="left" w:pos="576"/>
                <w:tab w:val="left" w:pos="864"/>
                <w:tab w:val="left" w:pos="1152"/>
              </w:tabs>
              <w:suppressAutoHyphens/>
              <w:spacing w:before="40" w:after="80"/>
              <w:ind w:left="180" w:right="115" w:hanging="180"/>
              <w:rPr>
                <w:lang w:val="fr-CH"/>
              </w:rPr>
            </w:pPr>
            <w:r w:rsidRPr="00903290">
              <w:rPr>
                <w:lang w:val="fr-CH"/>
              </w:rPr>
              <w:t>•</w:t>
            </w:r>
            <w:r w:rsidRPr="00903290">
              <w:rPr>
                <w:lang w:val="fr-CH"/>
              </w:rPr>
              <w:tab/>
              <w:t>S’informer sur les meilleures pratiques européennes</w:t>
            </w:r>
          </w:p>
        </w:tc>
        <w:tc>
          <w:tcPr>
            <w:tcW w:w="1675" w:type="dxa"/>
            <w:shd w:val="clear" w:color="auto" w:fill="auto"/>
          </w:tcPr>
          <w:p w:rsidR="00110ACD" w:rsidRPr="00903290" w:rsidRDefault="00110ACD" w:rsidP="00EF78F4">
            <w:pPr>
              <w:tabs>
                <w:tab w:val="left" w:pos="180"/>
                <w:tab w:val="left" w:pos="576"/>
                <w:tab w:val="left" w:pos="864"/>
                <w:tab w:val="left" w:pos="1152"/>
              </w:tabs>
              <w:suppressAutoHyphens/>
              <w:spacing w:before="40" w:after="80"/>
              <w:ind w:left="180" w:right="115" w:hanging="180"/>
              <w:rPr>
                <w:lang w:val="fr-CH"/>
              </w:rPr>
            </w:pPr>
            <w:r w:rsidRPr="00903290">
              <w:rPr>
                <w:lang w:val="fr-CH"/>
              </w:rPr>
              <w:t>•</w:t>
            </w:r>
            <w:r w:rsidRPr="00903290">
              <w:rPr>
                <w:lang w:val="fr-CH"/>
              </w:rPr>
              <w:tab/>
              <w:t>S’informer sur les meilleures pratiques européennes</w:t>
            </w:r>
          </w:p>
        </w:tc>
        <w:tc>
          <w:tcPr>
            <w:tcW w:w="1675" w:type="dxa"/>
            <w:shd w:val="clear" w:color="auto" w:fill="auto"/>
          </w:tcPr>
          <w:p w:rsidR="00110ACD" w:rsidRPr="00903290" w:rsidRDefault="00110ACD" w:rsidP="00EF78F4">
            <w:pPr>
              <w:tabs>
                <w:tab w:val="left" w:pos="180"/>
                <w:tab w:val="left" w:pos="576"/>
                <w:tab w:val="left" w:pos="864"/>
                <w:tab w:val="left" w:pos="1152"/>
              </w:tabs>
              <w:suppressAutoHyphens/>
              <w:spacing w:before="40" w:after="80"/>
              <w:ind w:left="180" w:right="115" w:hanging="180"/>
              <w:rPr>
                <w:lang w:val="fr-CH"/>
              </w:rPr>
            </w:pPr>
            <w:r w:rsidRPr="00903290">
              <w:rPr>
                <w:lang w:val="fr-CH"/>
              </w:rPr>
              <w:t>•</w:t>
            </w:r>
            <w:r w:rsidRPr="00903290">
              <w:rPr>
                <w:lang w:val="fr-CH"/>
              </w:rPr>
              <w:tab/>
              <w:t>S’informer sur les meilleures pratiques européennes</w:t>
            </w:r>
          </w:p>
        </w:tc>
        <w:tc>
          <w:tcPr>
            <w:tcW w:w="1675" w:type="dxa"/>
            <w:shd w:val="clear" w:color="auto" w:fill="auto"/>
          </w:tcPr>
          <w:p w:rsidR="00110ACD" w:rsidRPr="00903290" w:rsidRDefault="00110ACD" w:rsidP="00EF78F4">
            <w:pPr>
              <w:tabs>
                <w:tab w:val="left" w:pos="180"/>
                <w:tab w:val="left" w:pos="576"/>
                <w:tab w:val="left" w:pos="864"/>
                <w:tab w:val="left" w:pos="1152"/>
              </w:tabs>
              <w:suppressAutoHyphens/>
              <w:spacing w:before="40" w:after="80"/>
              <w:ind w:left="180" w:right="115" w:hanging="180"/>
              <w:rPr>
                <w:lang w:val="fr-CH"/>
              </w:rPr>
            </w:pPr>
            <w:r w:rsidRPr="00903290">
              <w:rPr>
                <w:lang w:val="fr-CH"/>
              </w:rPr>
              <w:t>•</w:t>
            </w:r>
            <w:r w:rsidRPr="00903290">
              <w:rPr>
                <w:lang w:val="fr-CH"/>
              </w:rPr>
              <w:tab/>
              <w:t>S’informer sur les meilleures pratiques européennes</w:t>
            </w:r>
          </w:p>
        </w:tc>
      </w:tr>
      <w:tr w:rsidR="00110ACD" w:rsidRPr="00903290" w:rsidTr="00F133BB">
        <w:tc>
          <w:tcPr>
            <w:tcW w:w="1800" w:type="dxa"/>
            <w:shd w:val="clear" w:color="auto" w:fill="auto"/>
          </w:tcPr>
          <w:p w:rsidR="00110ACD" w:rsidRPr="00903290" w:rsidRDefault="00110ACD" w:rsidP="00EF78F4">
            <w:pPr>
              <w:tabs>
                <w:tab w:val="left" w:pos="180"/>
                <w:tab w:val="left" w:pos="576"/>
                <w:tab w:val="left" w:pos="864"/>
                <w:tab w:val="left" w:pos="1152"/>
              </w:tabs>
              <w:suppressAutoHyphens/>
              <w:spacing w:before="40" w:after="80"/>
              <w:ind w:left="180" w:right="115" w:hanging="180"/>
              <w:rPr>
                <w:lang w:val="fr-CH"/>
              </w:rPr>
            </w:pPr>
            <w:r w:rsidRPr="00903290">
              <w:rPr>
                <w:lang w:val="fr-CH"/>
              </w:rPr>
              <w:t>•</w:t>
            </w:r>
            <w:r w:rsidRPr="00903290">
              <w:rPr>
                <w:lang w:val="fr-CH"/>
              </w:rPr>
              <w:tab/>
              <w:t>S’informer sur les meilleures pratiques européennes</w:t>
            </w:r>
          </w:p>
        </w:tc>
        <w:tc>
          <w:tcPr>
            <w:tcW w:w="1550" w:type="dxa"/>
            <w:shd w:val="clear" w:color="auto" w:fill="auto"/>
          </w:tcPr>
          <w:p w:rsidR="00110ACD" w:rsidRPr="00903290" w:rsidRDefault="00110ACD" w:rsidP="00EF78F4">
            <w:pPr>
              <w:tabs>
                <w:tab w:val="left" w:pos="180"/>
                <w:tab w:val="left" w:pos="576"/>
                <w:tab w:val="left" w:pos="864"/>
                <w:tab w:val="left" w:pos="1152"/>
              </w:tabs>
              <w:suppressAutoHyphens/>
              <w:spacing w:before="40" w:after="80"/>
              <w:ind w:left="180" w:right="115" w:hanging="180"/>
              <w:rPr>
                <w:lang w:val="fr-CH"/>
              </w:rPr>
            </w:pPr>
            <w:r w:rsidRPr="00903290">
              <w:rPr>
                <w:lang w:val="fr-CH"/>
              </w:rPr>
              <w:t>•</w:t>
            </w:r>
            <w:r w:rsidRPr="00903290">
              <w:rPr>
                <w:lang w:val="fr-CH"/>
              </w:rPr>
              <w:tab/>
              <w:t>Apprendre à connaître sa communauté portuaire</w:t>
            </w:r>
          </w:p>
        </w:tc>
        <w:tc>
          <w:tcPr>
            <w:tcW w:w="1675" w:type="dxa"/>
            <w:shd w:val="clear" w:color="auto" w:fill="auto"/>
          </w:tcPr>
          <w:p w:rsidR="00110ACD" w:rsidRPr="00903290" w:rsidRDefault="00110ACD" w:rsidP="00EF78F4">
            <w:pPr>
              <w:tabs>
                <w:tab w:val="left" w:pos="180"/>
                <w:tab w:val="left" w:pos="576"/>
                <w:tab w:val="left" w:pos="864"/>
                <w:tab w:val="left" w:pos="1152"/>
              </w:tabs>
              <w:suppressAutoHyphens/>
              <w:spacing w:before="40" w:after="80"/>
              <w:ind w:left="180" w:right="115" w:hanging="180"/>
              <w:rPr>
                <w:lang w:val="fr-CH"/>
              </w:rPr>
            </w:pPr>
            <w:r w:rsidRPr="00903290">
              <w:rPr>
                <w:lang w:val="fr-CH"/>
              </w:rPr>
              <w:t>•</w:t>
            </w:r>
            <w:r w:rsidRPr="00903290">
              <w:rPr>
                <w:lang w:val="fr-CH"/>
              </w:rPr>
              <w:tab/>
              <w:t>Apprendre à connaître sa communauté portuaire</w:t>
            </w:r>
          </w:p>
        </w:tc>
        <w:tc>
          <w:tcPr>
            <w:tcW w:w="1675" w:type="dxa"/>
            <w:shd w:val="clear" w:color="auto" w:fill="auto"/>
          </w:tcPr>
          <w:p w:rsidR="00110ACD" w:rsidRPr="00903290" w:rsidRDefault="00110ACD" w:rsidP="00EF78F4">
            <w:pPr>
              <w:tabs>
                <w:tab w:val="left" w:pos="180"/>
                <w:tab w:val="left" w:pos="576"/>
                <w:tab w:val="left" w:pos="864"/>
                <w:tab w:val="left" w:pos="1152"/>
              </w:tabs>
              <w:suppressAutoHyphens/>
              <w:spacing w:before="40" w:after="80"/>
              <w:ind w:left="180" w:right="115" w:hanging="180"/>
              <w:rPr>
                <w:lang w:val="fr-CH"/>
              </w:rPr>
            </w:pPr>
            <w:r w:rsidRPr="00903290">
              <w:rPr>
                <w:lang w:val="fr-CH"/>
              </w:rPr>
              <w:t>•</w:t>
            </w:r>
            <w:r w:rsidRPr="00903290">
              <w:rPr>
                <w:lang w:val="fr-CH"/>
              </w:rPr>
              <w:tab/>
              <w:t>Apprendre à connaître sa communauté portuaire</w:t>
            </w:r>
          </w:p>
        </w:tc>
        <w:tc>
          <w:tcPr>
            <w:tcW w:w="1675" w:type="dxa"/>
            <w:shd w:val="clear" w:color="auto" w:fill="auto"/>
          </w:tcPr>
          <w:p w:rsidR="00110ACD" w:rsidRPr="00903290" w:rsidRDefault="00110ACD" w:rsidP="00EF78F4">
            <w:pPr>
              <w:tabs>
                <w:tab w:val="left" w:pos="180"/>
                <w:tab w:val="left" w:pos="576"/>
                <w:tab w:val="left" w:pos="864"/>
                <w:tab w:val="left" w:pos="1152"/>
              </w:tabs>
              <w:suppressAutoHyphens/>
              <w:spacing w:before="40" w:after="80"/>
              <w:ind w:left="180" w:right="115" w:hanging="180"/>
              <w:rPr>
                <w:lang w:val="fr-CH"/>
              </w:rPr>
            </w:pPr>
            <w:r w:rsidRPr="00903290">
              <w:rPr>
                <w:lang w:val="fr-CH"/>
              </w:rPr>
              <w:t>•</w:t>
            </w:r>
            <w:r w:rsidRPr="00903290">
              <w:rPr>
                <w:lang w:val="fr-CH"/>
              </w:rPr>
              <w:tab/>
              <w:t>Exploiter la base de données</w:t>
            </w:r>
          </w:p>
        </w:tc>
        <w:tc>
          <w:tcPr>
            <w:tcW w:w="1675" w:type="dxa"/>
            <w:shd w:val="clear" w:color="auto" w:fill="auto"/>
          </w:tcPr>
          <w:p w:rsidR="00110ACD" w:rsidRPr="00903290" w:rsidRDefault="00110ACD" w:rsidP="00EF78F4">
            <w:pPr>
              <w:tabs>
                <w:tab w:val="left" w:pos="180"/>
                <w:tab w:val="left" w:pos="576"/>
                <w:tab w:val="left" w:pos="864"/>
                <w:tab w:val="left" w:pos="1152"/>
              </w:tabs>
              <w:suppressAutoHyphens/>
              <w:spacing w:before="40" w:after="80"/>
              <w:ind w:left="180" w:right="115" w:hanging="180"/>
              <w:rPr>
                <w:lang w:val="fr-CH"/>
              </w:rPr>
            </w:pPr>
            <w:r w:rsidRPr="00903290">
              <w:rPr>
                <w:lang w:val="fr-CH"/>
              </w:rPr>
              <w:t>•</w:t>
            </w:r>
            <w:r w:rsidRPr="00903290">
              <w:rPr>
                <w:lang w:val="fr-CH"/>
              </w:rPr>
              <w:tab/>
              <w:t>Exploiter la base de données</w:t>
            </w:r>
          </w:p>
        </w:tc>
      </w:tr>
      <w:tr w:rsidR="00110ACD" w:rsidRPr="00903290" w:rsidTr="00F133BB">
        <w:tc>
          <w:tcPr>
            <w:tcW w:w="1800" w:type="dxa"/>
            <w:shd w:val="clear" w:color="auto" w:fill="auto"/>
          </w:tcPr>
          <w:p w:rsidR="00110ACD" w:rsidRPr="00903290" w:rsidRDefault="00110ACD" w:rsidP="00EF78F4">
            <w:pPr>
              <w:tabs>
                <w:tab w:val="left" w:pos="180"/>
                <w:tab w:val="left" w:pos="576"/>
                <w:tab w:val="left" w:pos="864"/>
                <w:tab w:val="left" w:pos="1152"/>
              </w:tabs>
              <w:suppressAutoHyphens/>
              <w:spacing w:before="40" w:after="80"/>
              <w:ind w:left="180" w:right="115" w:hanging="180"/>
              <w:rPr>
                <w:lang w:val="fr-CH"/>
              </w:rPr>
            </w:pPr>
            <w:r w:rsidRPr="00903290">
              <w:rPr>
                <w:lang w:val="fr-CH"/>
              </w:rPr>
              <w:t>•</w:t>
            </w:r>
            <w:r w:rsidRPr="00903290">
              <w:rPr>
                <w:lang w:val="fr-CH"/>
              </w:rPr>
              <w:tab/>
              <w:t>Échanger des connaissances et des opinions</w:t>
            </w:r>
          </w:p>
        </w:tc>
        <w:tc>
          <w:tcPr>
            <w:tcW w:w="1550" w:type="dxa"/>
            <w:shd w:val="clear" w:color="auto" w:fill="auto"/>
          </w:tcPr>
          <w:p w:rsidR="00110ACD" w:rsidRPr="00903290" w:rsidRDefault="00110ACD" w:rsidP="00EF78F4">
            <w:pPr>
              <w:tabs>
                <w:tab w:val="left" w:pos="180"/>
                <w:tab w:val="left" w:pos="576"/>
                <w:tab w:val="left" w:pos="864"/>
                <w:tab w:val="left" w:pos="1152"/>
              </w:tabs>
              <w:suppressAutoHyphens/>
              <w:spacing w:before="40" w:after="80"/>
              <w:ind w:left="180" w:right="115" w:hanging="180"/>
              <w:rPr>
                <w:lang w:val="fr-CH"/>
              </w:rPr>
            </w:pPr>
            <w:r w:rsidRPr="00903290">
              <w:rPr>
                <w:lang w:val="fr-CH"/>
              </w:rPr>
              <w:t>•</w:t>
            </w:r>
            <w:r w:rsidRPr="00903290">
              <w:rPr>
                <w:lang w:val="fr-CH"/>
              </w:rPr>
              <w:tab/>
              <w:t>Échanger des connaissances et des opinions</w:t>
            </w:r>
          </w:p>
        </w:tc>
        <w:tc>
          <w:tcPr>
            <w:tcW w:w="1675" w:type="dxa"/>
            <w:shd w:val="clear" w:color="auto" w:fill="auto"/>
          </w:tcPr>
          <w:p w:rsidR="00110ACD" w:rsidRPr="00903290" w:rsidRDefault="00110ACD" w:rsidP="00EF78F4">
            <w:pPr>
              <w:tabs>
                <w:tab w:val="left" w:pos="180"/>
                <w:tab w:val="left" w:pos="576"/>
                <w:tab w:val="left" w:pos="864"/>
                <w:tab w:val="left" w:pos="1152"/>
              </w:tabs>
              <w:suppressAutoHyphens/>
              <w:spacing w:before="40" w:after="80"/>
              <w:ind w:left="180" w:right="115" w:hanging="180"/>
              <w:rPr>
                <w:lang w:val="fr-CH"/>
              </w:rPr>
            </w:pPr>
            <w:r w:rsidRPr="00903290">
              <w:rPr>
                <w:lang w:val="fr-CH"/>
              </w:rPr>
              <w:t>•</w:t>
            </w:r>
            <w:r w:rsidRPr="00903290">
              <w:rPr>
                <w:lang w:val="fr-CH"/>
              </w:rPr>
              <w:tab/>
              <w:t>Échanger des connaissances et des opinions</w:t>
            </w:r>
          </w:p>
        </w:tc>
        <w:tc>
          <w:tcPr>
            <w:tcW w:w="1675" w:type="dxa"/>
            <w:shd w:val="clear" w:color="auto" w:fill="auto"/>
          </w:tcPr>
          <w:p w:rsidR="00110ACD" w:rsidRPr="00903290" w:rsidRDefault="00110ACD" w:rsidP="00EF78F4">
            <w:pPr>
              <w:tabs>
                <w:tab w:val="left" w:pos="180"/>
                <w:tab w:val="left" w:pos="576"/>
                <w:tab w:val="left" w:pos="864"/>
                <w:tab w:val="left" w:pos="1152"/>
              </w:tabs>
              <w:suppressAutoHyphens/>
              <w:spacing w:before="40" w:after="80"/>
              <w:ind w:left="180" w:right="115" w:hanging="180"/>
              <w:rPr>
                <w:lang w:val="fr-CH"/>
              </w:rPr>
            </w:pPr>
            <w:r w:rsidRPr="00903290">
              <w:rPr>
                <w:lang w:val="fr-CH"/>
              </w:rPr>
              <w:t>•</w:t>
            </w:r>
            <w:r w:rsidRPr="00903290">
              <w:rPr>
                <w:lang w:val="fr-CH"/>
              </w:rPr>
              <w:tab/>
              <w:t>Échanger des connaissances et des opinions</w:t>
            </w:r>
          </w:p>
        </w:tc>
        <w:tc>
          <w:tcPr>
            <w:tcW w:w="1675" w:type="dxa"/>
            <w:shd w:val="clear" w:color="auto" w:fill="auto"/>
          </w:tcPr>
          <w:p w:rsidR="00110ACD" w:rsidRPr="00903290" w:rsidRDefault="00110ACD" w:rsidP="00EF78F4">
            <w:pPr>
              <w:tabs>
                <w:tab w:val="left" w:pos="180"/>
                <w:tab w:val="left" w:pos="576"/>
                <w:tab w:val="left" w:pos="864"/>
                <w:tab w:val="left" w:pos="1152"/>
              </w:tabs>
              <w:suppressAutoHyphens/>
              <w:spacing w:before="40" w:after="80"/>
              <w:ind w:left="180" w:right="115" w:hanging="180"/>
              <w:rPr>
                <w:lang w:val="fr-CH"/>
              </w:rPr>
            </w:pPr>
            <w:r w:rsidRPr="00903290">
              <w:rPr>
                <w:lang w:val="fr-CH"/>
              </w:rPr>
              <w:t>•</w:t>
            </w:r>
            <w:r w:rsidRPr="00903290">
              <w:rPr>
                <w:lang w:val="fr-CH"/>
              </w:rPr>
              <w:tab/>
              <w:t>Échanger des connaissances et des opinions</w:t>
            </w:r>
          </w:p>
        </w:tc>
        <w:tc>
          <w:tcPr>
            <w:tcW w:w="1675" w:type="dxa"/>
            <w:shd w:val="clear" w:color="auto" w:fill="auto"/>
          </w:tcPr>
          <w:p w:rsidR="00110ACD" w:rsidRPr="00903290" w:rsidRDefault="00110ACD" w:rsidP="00EF78F4">
            <w:pPr>
              <w:tabs>
                <w:tab w:val="left" w:pos="180"/>
                <w:tab w:val="left" w:pos="576"/>
                <w:tab w:val="left" w:pos="864"/>
                <w:tab w:val="left" w:pos="1152"/>
              </w:tabs>
              <w:suppressAutoHyphens/>
              <w:spacing w:before="40" w:after="80"/>
              <w:ind w:left="180" w:right="115" w:hanging="180"/>
              <w:rPr>
                <w:lang w:val="fr-CH"/>
              </w:rPr>
            </w:pPr>
            <w:r w:rsidRPr="00903290">
              <w:rPr>
                <w:lang w:val="fr-CH"/>
              </w:rPr>
              <w:t>•</w:t>
            </w:r>
            <w:r w:rsidRPr="00903290">
              <w:rPr>
                <w:lang w:val="fr-CH"/>
              </w:rPr>
              <w:tab/>
              <w:t>Échanger des connaissances et des opinions</w:t>
            </w:r>
          </w:p>
        </w:tc>
      </w:tr>
      <w:tr w:rsidR="00110ACD" w:rsidRPr="00903290" w:rsidTr="00F133BB">
        <w:tc>
          <w:tcPr>
            <w:tcW w:w="1800" w:type="dxa"/>
            <w:tcBorders>
              <w:bottom w:val="single" w:sz="12" w:space="0" w:color="auto"/>
            </w:tcBorders>
            <w:shd w:val="clear" w:color="auto" w:fill="auto"/>
          </w:tcPr>
          <w:p w:rsidR="00110ACD" w:rsidRPr="00903290" w:rsidRDefault="00110ACD" w:rsidP="00EF78F4">
            <w:pPr>
              <w:tabs>
                <w:tab w:val="left" w:pos="180"/>
                <w:tab w:val="left" w:pos="576"/>
                <w:tab w:val="left" w:pos="864"/>
                <w:tab w:val="left" w:pos="1152"/>
              </w:tabs>
              <w:suppressAutoHyphens/>
              <w:spacing w:before="40" w:after="80"/>
              <w:ind w:left="187" w:hanging="187"/>
              <w:rPr>
                <w:lang w:val="fr-CH"/>
              </w:rPr>
            </w:pPr>
            <w:r w:rsidRPr="00903290">
              <w:rPr>
                <w:lang w:val="fr-CH"/>
              </w:rPr>
              <w:t>•</w:t>
            </w:r>
            <w:r w:rsidRPr="00903290">
              <w:rPr>
                <w:lang w:val="fr-CH"/>
              </w:rPr>
              <w:tab/>
              <w:t>Découvrir les zones d’arrière-pays/intermodales</w:t>
            </w:r>
          </w:p>
        </w:tc>
        <w:tc>
          <w:tcPr>
            <w:tcW w:w="1550" w:type="dxa"/>
            <w:tcBorders>
              <w:bottom w:val="single" w:sz="12" w:space="0" w:color="auto"/>
            </w:tcBorders>
            <w:shd w:val="clear" w:color="auto" w:fill="auto"/>
          </w:tcPr>
          <w:p w:rsidR="00110ACD" w:rsidRPr="00903290" w:rsidRDefault="00110ACD" w:rsidP="00EF78F4">
            <w:pPr>
              <w:tabs>
                <w:tab w:val="left" w:pos="288"/>
                <w:tab w:val="left" w:pos="576"/>
                <w:tab w:val="left" w:pos="864"/>
                <w:tab w:val="left" w:pos="1152"/>
              </w:tabs>
              <w:suppressAutoHyphens/>
              <w:spacing w:before="40" w:after="80"/>
              <w:ind w:right="115"/>
              <w:rPr>
                <w:lang w:val="fr-CH"/>
              </w:rPr>
            </w:pPr>
          </w:p>
        </w:tc>
        <w:tc>
          <w:tcPr>
            <w:tcW w:w="1675" w:type="dxa"/>
            <w:tcBorders>
              <w:bottom w:val="single" w:sz="12" w:space="0" w:color="auto"/>
            </w:tcBorders>
            <w:shd w:val="clear" w:color="auto" w:fill="auto"/>
          </w:tcPr>
          <w:p w:rsidR="00110ACD" w:rsidRPr="00903290" w:rsidRDefault="00110ACD" w:rsidP="00EF78F4">
            <w:pPr>
              <w:tabs>
                <w:tab w:val="left" w:pos="288"/>
                <w:tab w:val="left" w:pos="576"/>
                <w:tab w:val="left" w:pos="864"/>
                <w:tab w:val="left" w:pos="1152"/>
              </w:tabs>
              <w:suppressAutoHyphens/>
              <w:spacing w:before="40" w:after="80"/>
              <w:ind w:right="115"/>
              <w:rPr>
                <w:lang w:val="fr-CH"/>
              </w:rPr>
            </w:pPr>
          </w:p>
        </w:tc>
        <w:tc>
          <w:tcPr>
            <w:tcW w:w="1675" w:type="dxa"/>
            <w:tcBorders>
              <w:bottom w:val="single" w:sz="12" w:space="0" w:color="auto"/>
            </w:tcBorders>
            <w:shd w:val="clear" w:color="auto" w:fill="auto"/>
          </w:tcPr>
          <w:p w:rsidR="00110ACD" w:rsidRPr="00903290" w:rsidRDefault="00110ACD" w:rsidP="00EF78F4">
            <w:pPr>
              <w:tabs>
                <w:tab w:val="left" w:pos="288"/>
                <w:tab w:val="left" w:pos="576"/>
                <w:tab w:val="left" w:pos="864"/>
                <w:tab w:val="left" w:pos="1152"/>
              </w:tabs>
              <w:suppressAutoHyphens/>
              <w:spacing w:before="40" w:after="80"/>
              <w:ind w:right="115"/>
              <w:rPr>
                <w:lang w:val="fr-CH"/>
              </w:rPr>
            </w:pPr>
          </w:p>
        </w:tc>
        <w:tc>
          <w:tcPr>
            <w:tcW w:w="1675" w:type="dxa"/>
            <w:tcBorders>
              <w:bottom w:val="single" w:sz="12" w:space="0" w:color="auto"/>
            </w:tcBorders>
            <w:shd w:val="clear" w:color="auto" w:fill="auto"/>
          </w:tcPr>
          <w:p w:rsidR="00110ACD" w:rsidRPr="00903290" w:rsidRDefault="00110ACD" w:rsidP="00EF78F4">
            <w:pPr>
              <w:tabs>
                <w:tab w:val="left" w:pos="288"/>
                <w:tab w:val="left" w:pos="576"/>
                <w:tab w:val="left" w:pos="864"/>
                <w:tab w:val="left" w:pos="1152"/>
              </w:tabs>
              <w:suppressAutoHyphens/>
              <w:spacing w:before="40" w:after="80"/>
              <w:ind w:right="115"/>
              <w:rPr>
                <w:lang w:val="fr-CH"/>
              </w:rPr>
            </w:pPr>
          </w:p>
        </w:tc>
        <w:tc>
          <w:tcPr>
            <w:tcW w:w="1675" w:type="dxa"/>
            <w:tcBorders>
              <w:bottom w:val="single" w:sz="12" w:space="0" w:color="auto"/>
            </w:tcBorders>
            <w:shd w:val="clear" w:color="auto" w:fill="auto"/>
          </w:tcPr>
          <w:p w:rsidR="00110ACD" w:rsidRPr="00903290" w:rsidRDefault="00110ACD" w:rsidP="00EF78F4">
            <w:pPr>
              <w:tabs>
                <w:tab w:val="left" w:pos="288"/>
                <w:tab w:val="left" w:pos="576"/>
                <w:tab w:val="left" w:pos="864"/>
                <w:tab w:val="left" w:pos="1152"/>
              </w:tabs>
              <w:suppressAutoHyphens/>
              <w:spacing w:before="40" w:after="80"/>
              <w:ind w:right="115"/>
              <w:rPr>
                <w:lang w:val="fr-CH"/>
              </w:rPr>
            </w:pPr>
          </w:p>
        </w:tc>
      </w:tr>
    </w:tbl>
    <w:p w:rsidR="00110ACD" w:rsidRPr="00110ACD" w:rsidRDefault="00110ACD" w:rsidP="00110ACD">
      <w:pPr>
        <w:pStyle w:val="SingleTxt"/>
        <w:spacing w:after="0" w:line="120" w:lineRule="exact"/>
        <w:rPr>
          <w:sz w:val="10"/>
          <w:lang w:val="fr-CH"/>
        </w:rPr>
      </w:pPr>
    </w:p>
    <w:p w:rsidR="00110ACD" w:rsidRPr="00110ACD" w:rsidRDefault="00110ACD" w:rsidP="00110ACD">
      <w:pPr>
        <w:pStyle w:val="SingleTxt"/>
        <w:spacing w:after="0" w:line="120" w:lineRule="exact"/>
        <w:rPr>
          <w:sz w:val="10"/>
          <w:lang w:val="fr-CH"/>
        </w:rPr>
      </w:pPr>
    </w:p>
    <w:p w:rsidR="008D5E1B" w:rsidRPr="00324CAD" w:rsidRDefault="008D5E1B" w:rsidP="00E61C69">
      <w:pPr>
        <w:pStyle w:val="SingleTxt"/>
        <w:numPr>
          <w:ilvl w:val="0"/>
          <w:numId w:val="16"/>
        </w:numPr>
        <w:tabs>
          <w:tab w:val="clear" w:pos="475"/>
          <w:tab w:val="num" w:pos="1742"/>
        </w:tabs>
        <w:ind w:left="1267"/>
        <w:rPr>
          <w:lang w:val="fr-CH"/>
        </w:rPr>
      </w:pPr>
      <w:r w:rsidRPr="00324CAD">
        <w:rPr>
          <w:lang w:val="fr-CH"/>
        </w:rPr>
        <w:t>Les réalisations de l’Observatoire des opérations portuaires sont les suivantes</w:t>
      </w:r>
      <w:r w:rsidR="00903290">
        <w:rPr>
          <w:lang w:val="fr-CH"/>
        </w:rPr>
        <w:t> :</w:t>
      </w:r>
    </w:p>
    <w:p w:rsidR="008D5E1B" w:rsidRPr="00324CAD" w:rsidRDefault="00E61C69" w:rsidP="008D5E1B">
      <w:pPr>
        <w:pStyle w:val="SingleTxt"/>
        <w:rPr>
          <w:lang w:val="fr-CH"/>
        </w:rPr>
      </w:pPr>
      <w:r>
        <w:rPr>
          <w:lang w:val="fr-CH"/>
        </w:rPr>
        <w:tab/>
      </w:r>
      <w:r w:rsidR="008D5E1B" w:rsidRPr="00324CAD">
        <w:rPr>
          <w:lang w:val="fr-CH"/>
        </w:rPr>
        <w:t>a)</w:t>
      </w:r>
      <w:r w:rsidR="008D5E1B" w:rsidRPr="00324CAD">
        <w:rPr>
          <w:lang w:val="fr-CH"/>
        </w:rPr>
        <w:tab/>
        <w:t>Un mécanisme d’information et de suivi fondé sur les indicateurs de performance de chaque port, modernisé grâce à la mise au point d’un agent intelligent (logiciel chargé de trouver et de filtrer des informations sur Internet);</w:t>
      </w:r>
    </w:p>
    <w:p w:rsidR="008D5E1B" w:rsidRPr="00324CAD" w:rsidRDefault="00E61C69" w:rsidP="008D5E1B">
      <w:pPr>
        <w:pStyle w:val="SingleTxt"/>
        <w:rPr>
          <w:lang w:val="fr-CH"/>
        </w:rPr>
      </w:pPr>
      <w:r>
        <w:rPr>
          <w:lang w:val="fr-CH"/>
        </w:rPr>
        <w:tab/>
      </w:r>
      <w:r w:rsidR="008D5E1B" w:rsidRPr="00324CAD">
        <w:rPr>
          <w:lang w:val="fr-CH"/>
        </w:rPr>
        <w:t>b)</w:t>
      </w:r>
      <w:r w:rsidR="008D5E1B" w:rsidRPr="00324CAD">
        <w:rPr>
          <w:lang w:val="fr-CH"/>
        </w:rPr>
        <w:tab/>
        <w:t>Une base de données sur les opérations portuaires, les mouvements de marchandises, les liaisons maritimes, la classification des ports, l’état des projets d’expansion, la structure et les flux de circulation des dessertes terrestres de l’arrière-pays, etc., pour tous les ports participants;</w:t>
      </w:r>
    </w:p>
    <w:p w:rsidR="008D5E1B" w:rsidRPr="00324CAD" w:rsidRDefault="00E61C69" w:rsidP="008D5E1B">
      <w:pPr>
        <w:pStyle w:val="SingleTxt"/>
        <w:rPr>
          <w:lang w:val="fr-CH"/>
        </w:rPr>
      </w:pPr>
      <w:r>
        <w:rPr>
          <w:lang w:val="fr-CH"/>
        </w:rPr>
        <w:tab/>
      </w:r>
      <w:r w:rsidR="008D5E1B" w:rsidRPr="00324CAD">
        <w:rPr>
          <w:lang w:val="fr-CH"/>
        </w:rPr>
        <w:t>c)</w:t>
      </w:r>
      <w:r w:rsidR="008D5E1B" w:rsidRPr="00324CAD">
        <w:rPr>
          <w:lang w:val="fr-CH"/>
        </w:rPr>
        <w:tab/>
        <w:t>Une plate-forme de communication permettant de créer de nouvelles interactions et de favoriser la coopération entre les autorités portuaires et les parties prenantes aux niveaux régional, national et européen;</w:t>
      </w:r>
    </w:p>
    <w:p w:rsidR="008D5E1B" w:rsidRPr="00324CAD" w:rsidRDefault="00E61C69" w:rsidP="008D5E1B">
      <w:pPr>
        <w:pStyle w:val="SingleTxt"/>
        <w:rPr>
          <w:lang w:val="fr-CH"/>
        </w:rPr>
      </w:pPr>
      <w:r>
        <w:rPr>
          <w:lang w:val="fr-CH"/>
        </w:rPr>
        <w:tab/>
      </w:r>
      <w:r w:rsidR="008D5E1B" w:rsidRPr="00324CAD">
        <w:rPr>
          <w:lang w:val="fr-CH"/>
        </w:rPr>
        <w:t>d)</w:t>
      </w:r>
      <w:r w:rsidR="008D5E1B" w:rsidRPr="00324CAD">
        <w:rPr>
          <w:lang w:val="fr-CH"/>
        </w:rPr>
        <w:tab/>
        <w:t xml:space="preserve">Une bibliothèque de référence, qui contient a) des lois, des directives, des projets et des études portant sur les opérations portuaires, les procédures douanières, les formalités portuaires, les questions de sûreté et de sécurité, etc.; b) des recommandations et des exemples de pratiques optimales; c) des statistiques sur le </w:t>
      </w:r>
      <w:r w:rsidR="008D5E1B" w:rsidRPr="00324CAD">
        <w:rPr>
          <w:lang w:val="fr-CH"/>
        </w:rPr>
        <w:lastRenderedPageBreak/>
        <w:t>commerce et les transports, via des liens vers des sites Web (World Port Source, World Port Index) et des fournisseurs de données (par exemple, données Eurostat sur le fret et les modes de transport</w:t>
      </w:r>
      <w:r w:rsidR="001022FA">
        <w:rPr>
          <w:lang w:val="fr-CH"/>
        </w:rPr>
        <w:t>);</w:t>
      </w:r>
    </w:p>
    <w:p w:rsidR="008D5E1B" w:rsidRPr="00324CAD" w:rsidRDefault="00E61C69" w:rsidP="008D5E1B">
      <w:pPr>
        <w:pStyle w:val="SingleTxt"/>
        <w:rPr>
          <w:lang w:val="fr-CH"/>
        </w:rPr>
      </w:pPr>
      <w:r>
        <w:rPr>
          <w:lang w:val="fr-CH"/>
        </w:rPr>
        <w:tab/>
      </w:r>
      <w:r w:rsidR="008D5E1B" w:rsidRPr="00324CAD">
        <w:rPr>
          <w:lang w:val="fr-CH"/>
        </w:rPr>
        <w:t>e)</w:t>
      </w:r>
      <w:r w:rsidR="008D5E1B" w:rsidRPr="00324CAD">
        <w:rPr>
          <w:lang w:val="fr-CH"/>
        </w:rPr>
        <w:tab/>
        <w:t xml:space="preserve">L’ampleur des améliorations nécessaires pour qu’un port donné soit conforme aux meilleures pratiques est déterminée grâce à l’analyse de modèles statistiques. Les incidences des mesures préconisées sont également prises en compte. L’application des meilleures pratiques pour tous les éléments considérés permet de définir un </w:t>
      </w:r>
      <w:r w:rsidR="00903290">
        <w:rPr>
          <w:lang w:val="fr-CH"/>
        </w:rPr>
        <w:t>« </w:t>
      </w:r>
      <w:r w:rsidR="008D5E1B" w:rsidRPr="00324CAD">
        <w:rPr>
          <w:lang w:val="fr-CH"/>
        </w:rPr>
        <w:t>port idéal</w:t>
      </w:r>
      <w:r w:rsidR="00903290">
        <w:rPr>
          <w:lang w:val="fr-CH"/>
        </w:rPr>
        <w:t> »</w:t>
      </w:r>
      <w:r w:rsidR="008D5E1B" w:rsidRPr="00324CAD">
        <w:rPr>
          <w:lang w:val="fr-CH"/>
        </w:rPr>
        <w:t xml:space="preserve"> (virtuel).</w:t>
      </w:r>
    </w:p>
    <w:p w:rsidR="00E61C69" w:rsidRPr="00E61C69" w:rsidRDefault="00E61C69" w:rsidP="00E61C69">
      <w:pPr>
        <w:pStyle w:val="SingleTxt"/>
        <w:spacing w:after="0" w:line="120" w:lineRule="exact"/>
        <w:rPr>
          <w:b/>
          <w:sz w:val="10"/>
          <w:lang w:val="fr-CH"/>
        </w:rPr>
      </w:pPr>
    </w:p>
    <w:p w:rsidR="00E61C69" w:rsidRPr="00E61C69" w:rsidRDefault="00E61C69" w:rsidP="00E61C69">
      <w:pPr>
        <w:pStyle w:val="SingleTxt"/>
        <w:spacing w:after="0" w:line="120" w:lineRule="exact"/>
        <w:rPr>
          <w:b/>
          <w:sz w:val="10"/>
          <w:lang w:val="fr-CH"/>
        </w:rPr>
      </w:pPr>
    </w:p>
    <w:p w:rsidR="008D5E1B" w:rsidRDefault="008D5E1B" w:rsidP="00E61C6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24CAD">
        <w:rPr>
          <w:lang w:val="fr-CH"/>
        </w:rPr>
        <w:tab/>
        <w:t>III.</w:t>
      </w:r>
      <w:r w:rsidRPr="00324CAD">
        <w:rPr>
          <w:lang w:val="fr-CH"/>
        </w:rPr>
        <w:tab/>
        <w:t>Orientations attendues du Groupe de travail</w:t>
      </w:r>
    </w:p>
    <w:p w:rsidR="00E61C69" w:rsidRPr="00E61C69" w:rsidRDefault="00E61C69" w:rsidP="00E61C69">
      <w:pPr>
        <w:pStyle w:val="SingleTxt"/>
        <w:spacing w:after="0" w:line="120" w:lineRule="exact"/>
        <w:rPr>
          <w:b/>
          <w:sz w:val="10"/>
          <w:lang w:val="fr-CH"/>
        </w:rPr>
      </w:pPr>
    </w:p>
    <w:p w:rsidR="00E61C69" w:rsidRPr="00E61C69" w:rsidRDefault="00E61C69" w:rsidP="00E61C69">
      <w:pPr>
        <w:pStyle w:val="SingleTxt"/>
        <w:spacing w:after="0" w:line="120" w:lineRule="exact"/>
        <w:rPr>
          <w:b/>
          <w:sz w:val="10"/>
          <w:lang w:val="fr-CH"/>
        </w:rPr>
      </w:pPr>
    </w:p>
    <w:p w:rsidR="00F16A2F" w:rsidRDefault="008D5E1B" w:rsidP="00E61C69">
      <w:pPr>
        <w:pStyle w:val="SingleTxt"/>
        <w:numPr>
          <w:ilvl w:val="0"/>
          <w:numId w:val="16"/>
        </w:numPr>
        <w:tabs>
          <w:tab w:val="clear" w:pos="475"/>
          <w:tab w:val="num" w:pos="1742"/>
        </w:tabs>
        <w:ind w:left="1267"/>
        <w:rPr>
          <w:lang w:val="fr-CH"/>
        </w:rPr>
      </w:pPr>
      <w:r w:rsidRPr="00324CAD">
        <w:rPr>
          <w:lang w:val="fr-CH"/>
        </w:rPr>
        <w:t>À sa session précédente, le Groupe de travail a pris note de l’observatoire des connexions entre les ports et l’arrière-pays établi par programme MEDNET. Il a prié le secrétariat de se pencher sur la façon dont le groupe de travail pourrait coopérer plus activement avec le programme MEDNET et son observatoire et de présenter les résultats de cet examen à la prochaine session. Le Groupe de travail souhaitera peut-être examiner les informations ci-dessus concernant la structure de l’Observatoire et les services proposés par celui-ci et donner des orientations au secrétariat quant aux nouvelles mesures à prendre dans ce domaine.</w:t>
      </w:r>
    </w:p>
    <w:p w:rsidR="00110ACD" w:rsidRPr="00324CAD" w:rsidRDefault="00110ACD" w:rsidP="00110ACD">
      <w:pPr>
        <w:pStyle w:val="SingleTxt"/>
        <w:spacing w:after="0" w:line="240" w:lineRule="auto"/>
        <w:rPr>
          <w:lang w:val="fr-CH"/>
        </w:rPr>
      </w:pPr>
      <w:r>
        <w:rPr>
          <w:noProof/>
          <w:w w:val="100"/>
          <w:lang w:val="en-GB" w:eastAsia="en-GB"/>
        </w:rPr>
        <mc:AlternateContent>
          <mc:Choice Requires="wps">
            <w:drawing>
              <wp:anchor distT="0" distB="0" distL="114300" distR="114300" simplePos="0" relativeHeight="251659264" behindDoc="0" locked="0" layoutInCell="1" allowOverlap="1" wp14:anchorId="61C5F635" wp14:editId="02832CFF">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110ACD" w:rsidRPr="00324CAD" w:rsidSect="00F16A2F">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5-07-15T14:16:00Z" w:initials="Start">
    <w:p w:rsidR="00F16A2F" w:rsidRDefault="00F16A2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NO&gt;&gt;N1513762F&lt;&lt;ODS JOB NO&gt;&gt;</w:t>
      </w:r>
    </w:p>
    <w:p w:rsidR="00F16A2F" w:rsidRDefault="00F16A2F">
      <w:pPr>
        <w:pStyle w:val="CommentText"/>
      </w:pPr>
      <w:r>
        <w:t>&lt;&lt;ODS DOC SYMBOL1&gt;&gt;ECE/TRANS/WP.5/2015/3&lt;&lt;ODS DOC SYMBOL1&gt;&gt;</w:t>
      </w:r>
    </w:p>
    <w:p w:rsidR="00F16A2F" w:rsidRDefault="00F16A2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5F2" w:rsidRDefault="004625F2" w:rsidP="00F3330B">
      <w:pPr>
        <w:spacing w:line="240" w:lineRule="auto"/>
      </w:pPr>
      <w:r>
        <w:separator/>
      </w:r>
    </w:p>
  </w:endnote>
  <w:endnote w:type="continuationSeparator" w:id="0">
    <w:p w:rsidR="004625F2" w:rsidRDefault="004625F2"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16A2F" w:rsidTr="00F16A2F">
      <w:trPr>
        <w:jc w:val="center"/>
      </w:trPr>
      <w:tc>
        <w:tcPr>
          <w:tcW w:w="5126" w:type="dxa"/>
          <w:shd w:val="clear" w:color="auto" w:fill="auto"/>
        </w:tcPr>
        <w:p w:rsidR="00F16A2F" w:rsidRPr="00F16A2F" w:rsidRDefault="00F16A2F" w:rsidP="00F16A2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10286">
            <w:rPr>
              <w:b w:val="0"/>
              <w:w w:val="103"/>
              <w:sz w:val="14"/>
            </w:rPr>
            <w:t>GE.15-10767</w:t>
          </w:r>
          <w:r>
            <w:rPr>
              <w:b w:val="0"/>
              <w:w w:val="103"/>
              <w:sz w:val="14"/>
            </w:rPr>
            <w:fldChar w:fldCharType="end"/>
          </w:r>
        </w:p>
      </w:tc>
      <w:tc>
        <w:tcPr>
          <w:tcW w:w="5127" w:type="dxa"/>
          <w:shd w:val="clear" w:color="auto" w:fill="auto"/>
        </w:tcPr>
        <w:p w:rsidR="00F16A2F" w:rsidRPr="00F16A2F" w:rsidRDefault="00F16A2F" w:rsidP="00F16A2F">
          <w:pPr>
            <w:pStyle w:val="Footer"/>
            <w:rPr>
              <w:w w:val="103"/>
            </w:rPr>
          </w:pPr>
          <w:r>
            <w:rPr>
              <w:w w:val="103"/>
            </w:rPr>
            <w:fldChar w:fldCharType="begin"/>
          </w:r>
          <w:r>
            <w:rPr>
              <w:w w:val="103"/>
            </w:rPr>
            <w:instrText xml:space="preserve"> PAGE  \* Arabic  \* MERGEFORMAT </w:instrText>
          </w:r>
          <w:r>
            <w:rPr>
              <w:w w:val="103"/>
            </w:rPr>
            <w:fldChar w:fldCharType="separate"/>
          </w:r>
          <w:r w:rsidR="00AB382C">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B382C">
            <w:rPr>
              <w:noProof/>
              <w:w w:val="103"/>
            </w:rPr>
            <w:t>2</w:t>
          </w:r>
          <w:r>
            <w:rPr>
              <w:w w:val="103"/>
            </w:rPr>
            <w:fldChar w:fldCharType="end"/>
          </w:r>
        </w:p>
      </w:tc>
    </w:tr>
  </w:tbl>
  <w:p w:rsidR="00F16A2F" w:rsidRPr="00F16A2F" w:rsidRDefault="00F16A2F" w:rsidP="00F16A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16A2F" w:rsidTr="00F16A2F">
      <w:trPr>
        <w:jc w:val="center"/>
      </w:trPr>
      <w:tc>
        <w:tcPr>
          <w:tcW w:w="5126" w:type="dxa"/>
          <w:shd w:val="clear" w:color="auto" w:fill="auto"/>
        </w:tcPr>
        <w:p w:rsidR="00F16A2F" w:rsidRPr="00F16A2F" w:rsidRDefault="00F16A2F" w:rsidP="00F16A2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B382C">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B382C">
            <w:rPr>
              <w:noProof/>
              <w:w w:val="103"/>
            </w:rPr>
            <w:t>3</w:t>
          </w:r>
          <w:r>
            <w:rPr>
              <w:w w:val="103"/>
            </w:rPr>
            <w:fldChar w:fldCharType="end"/>
          </w:r>
        </w:p>
      </w:tc>
      <w:tc>
        <w:tcPr>
          <w:tcW w:w="5127" w:type="dxa"/>
          <w:shd w:val="clear" w:color="auto" w:fill="auto"/>
        </w:tcPr>
        <w:p w:rsidR="00F16A2F" w:rsidRPr="00F16A2F" w:rsidRDefault="00F16A2F" w:rsidP="00F16A2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10286">
            <w:rPr>
              <w:b w:val="0"/>
              <w:w w:val="103"/>
              <w:sz w:val="14"/>
            </w:rPr>
            <w:t>GE.15-10767</w:t>
          </w:r>
          <w:r>
            <w:rPr>
              <w:b w:val="0"/>
              <w:w w:val="103"/>
              <w:sz w:val="14"/>
            </w:rPr>
            <w:fldChar w:fldCharType="end"/>
          </w:r>
        </w:p>
      </w:tc>
    </w:tr>
  </w:tbl>
  <w:p w:rsidR="00F16A2F" w:rsidRPr="00F16A2F" w:rsidRDefault="00F16A2F" w:rsidP="00F16A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A2F" w:rsidRDefault="00F16A2F">
    <w:pPr>
      <w:pStyle w:val="Footer"/>
    </w:pPr>
    <w:r>
      <w:rPr>
        <w:noProof/>
        <w:lang w:val="en-GB" w:eastAsia="en-GB"/>
      </w:rPr>
      <w:drawing>
        <wp:anchor distT="0" distB="0" distL="114300" distR="114300" simplePos="0" relativeHeight="251658240" behindDoc="0" locked="0" layoutInCell="1" allowOverlap="1" wp14:anchorId="47D8611E" wp14:editId="53128B06">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 ECE/TRANS/WP.5/2015/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 ECE/TRANS/WP.5/2015/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F16A2F" w:rsidTr="00F16A2F">
      <w:tc>
        <w:tcPr>
          <w:tcW w:w="3859" w:type="dxa"/>
        </w:tcPr>
        <w:p w:rsidR="00F16A2F" w:rsidRDefault="00F16A2F" w:rsidP="00F16A2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B10286">
            <w:rPr>
              <w:b w:val="0"/>
              <w:sz w:val="20"/>
            </w:rPr>
            <w:t>GE.15-10767 (F)</w:t>
          </w:r>
          <w:r>
            <w:rPr>
              <w:b w:val="0"/>
              <w:sz w:val="20"/>
            </w:rPr>
            <w:fldChar w:fldCharType="end"/>
          </w:r>
          <w:r>
            <w:rPr>
              <w:b w:val="0"/>
              <w:sz w:val="20"/>
            </w:rPr>
            <w:t xml:space="preserve">    150715    </w:t>
          </w:r>
          <w:r w:rsidR="00324CAD">
            <w:rPr>
              <w:b w:val="0"/>
              <w:sz w:val="20"/>
            </w:rPr>
            <w:t>27</w:t>
          </w:r>
          <w:r>
            <w:rPr>
              <w:b w:val="0"/>
              <w:sz w:val="20"/>
            </w:rPr>
            <w:t>0715</w:t>
          </w:r>
        </w:p>
        <w:p w:rsidR="00F16A2F" w:rsidRPr="00F16A2F" w:rsidRDefault="00F16A2F" w:rsidP="00F16A2F">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B10286">
            <w:rPr>
              <w:rFonts w:ascii="Barcode 3 of 9 by request" w:hAnsi="Barcode 3 of 9 by request"/>
              <w:b w:val="0"/>
              <w:spacing w:val="0"/>
              <w:w w:val="100"/>
              <w:sz w:val="24"/>
            </w:rPr>
            <w:t>*1510767*</w:t>
          </w:r>
          <w:r>
            <w:rPr>
              <w:rFonts w:ascii="Barcode 3 of 9 by request" w:hAnsi="Barcode 3 of 9 by request"/>
              <w:b w:val="0"/>
              <w:spacing w:val="0"/>
              <w:w w:val="100"/>
              <w:sz w:val="24"/>
            </w:rPr>
            <w:fldChar w:fldCharType="end"/>
          </w:r>
        </w:p>
      </w:tc>
      <w:tc>
        <w:tcPr>
          <w:tcW w:w="5127" w:type="dxa"/>
        </w:tcPr>
        <w:p w:rsidR="00F16A2F" w:rsidRDefault="00F16A2F" w:rsidP="00F16A2F">
          <w:pPr>
            <w:pStyle w:val="Footer"/>
            <w:spacing w:line="240" w:lineRule="atLeast"/>
            <w:jc w:val="right"/>
            <w:rPr>
              <w:b w:val="0"/>
              <w:sz w:val="20"/>
            </w:rPr>
          </w:pPr>
          <w:r>
            <w:rPr>
              <w:b w:val="0"/>
              <w:noProof/>
              <w:sz w:val="20"/>
              <w:lang w:val="en-GB" w:eastAsia="en-GB"/>
            </w:rPr>
            <w:drawing>
              <wp:inline distT="0" distB="0" distL="0" distR="0" wp14:anchorId="096C37D4" wp14:editId="17A680E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F16A2F" w:rsidRPr="00F16A2F" w:rsidRDefault="00F16A2F" w:rsidP="00F16A2F">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5F2" w:rsidRPr="00903290" w:rsidRDefault="00903290" w:rsidP="00903290">
      <w:pPr>
        <w:pStyle w:val="Footer"/>
        <w:spacing w:after="80"/>
        <w:ind w:left="792"/>
        <w:rPr>
          <w:sz w:val="16"/>
        </w:rPr>
      </w:pPr>
      <w:r w:rsidRPr="00903290">
        <w:rPr>
          <w:sz w:val="16"/>
        </w:rPr>
        <w:t>__________________</w:t>
      </w:r>
    </w:p>
  </w:footnote>
  <w:footnote w:type="continuationSeparator" w:id="0">
    <w:p w:rsidR="004625F2" w:rsidRPr="00903290" w:rsidRDefault="00903290" w:rsidP="00903290">
      <w:pPr>
        <w:pStyle w:val="Footer"/>
        <w:spacing w:after="80"/>
        <w:ind w:left="792"/>
        <w:rPr>
          <w:sz w:val="16"/>
        </w:rPr>
      </w:pPr>
      <w:r w:rsidRPr="00903290">
        <w:rPr>
          <w:sz w:val="16"/>
        </w:rPr>
        <w:t>__________________</w:t>
      </w:r>
    </w:p>
  </w:footnote>
  <w:footnote w:id="1">
    <w:p w:rsidR="008D5E1B" w:rsidRPr="00903290" w:rsidRDefault="008D5E1B" w:rsidP="00903290">
      <w:pPr>
        <w:pStyle w:val="FootnoteText"/>
        <w:tabs>
          <w:tab w:val="right" w:pos="1195"/>
          <w:tab w:val="left" w:pos="1267"/>
          <w:tab w:val="left" w:pos="1742"/>
          <w:tab w:val="left" w:pos="2218"/>
          <w:tab w:val="left" w:pos="2693"/>
        </w:tabs>
        <w:ind w:left="1267" w:right="1260" w:hanging="432"/>
        <w:rPr>
          <w:szCs w:val="17"/>
          <w:lang w:val="fr-CH"/>
        </w:rPr>
      </w:pPr>
      <w:r w:rsidRPr="00324CAD">
        <w:rPr>
          <w:rStyle w:val="FootnoteReference"/>
          <w:color w:val="auto"/>
          <w:lang w:val="fr-CH"/>
        </w:rPr>
        <w:tab/>
      </w:r>
      <w:r w:rsidRPr="00903290">
        <w:rPr>
          <w:rStyle w:val="FootnoteReference"/>
          <w:color w:val="auto"/>
          <w:szCs w:val="17"/>
          <w:vertAlign w:val="baseline"/>
          <w:lang w:val="fr-CH"/>
        </w:rPr>
        <w:t>*</w:t>
      </w:r>
      <w:r w:rsidRPr="00903290">
        <w:rPr>
          <w:rStyle w:val="FootnoteReference"/>
          <w:color w:val="auto"/>
          <w:szCs w:val="17"/>
          <w:lang w:val="fr-CH"/>
        </w:rPr>
        <w:tab/>
      </w:r>
      <w:r w:rsidRPr="00903290">
        <w:rPr>
          <w:szCs w:val="17"/>
          <w:lang w:val="fr-CH"/>
        </w:rPr>
        <w:t>Le présent document n'a pas été revu par les services d’édition avant d’être envoyé aux services de traduction.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F16A2F" w:rsidTr="00F16A2F">
      <w:trPr>
        <w:trHeight w:hRule="exact" w:val="864"/>
        <w:jc w:val="center"/>
      </w:trPr>
      <w:tc>
        <w:tcPr>
          <w:tcW w:w="4882" w:type="dxa"/>
          <w:shd w:val="clear" w:color="auto" w:fill="auto"/>
          <w:vAlign w:val="bottom"/>
        </w:tcPr>
        <w:p w:rsidR="00F16A2F" w:rsidRPr="00F16A2F" w:rsidRDefault="00F16A2F" w:rsidP="00F16A2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10286">
            <w:rPr>
              <w:b/>
              <w:color w:val="000000"/>
            </w:rPr>
            <w:t xml:space="preserve"> ECE/TRANS/WP.5/2015/3</w:t>
          </w:r>
          <w:r>
            <w:rPr>
              <w:b/>
              <w:color w:val="000000"/>
            </w:rPr>
            <w:fldChar w:fldCharType="end"/>
          </w:r>
        </w:p>
      </w:tc>
      <w:tc>
        <w:tcPr>
          <w:tcW w:w="5127" w:type="dxa"/>
          <w:shd w:val="clear" w:color="auto" w:fill="auto"/>
          <w:vAlign w:val="bottom"/>
        </w:tcPr>
        <w:p w:rsidR="00F16A2F" w:rsidRDefault="00F16A2F" w:rsidP="00F16A2F">
          <w:pPr>
            <w:pStyle w:val="Header"/>
          </w:pPr>
        </w:p>
      </w:tc>
    </w:tr>
  </w:tbl>
  <w:p w:rsidR="00F16A2F" w:rsidRPr="00F16A2F" w:rsidRDefault="00F16A2F" w:rsidP="00F16A2F">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F16A2F" w:rsidTr="00F16A2F">
      <w:trPr>
        <w:trHeight w:hRule="exact" w:val="864"/>
        <w:jc w:val="center"/>
      </w:trPr>
      <w:tc>
        <w:tcPr>
          <w:tcW w:w="4882" w:type="dxa"/>
          <w:shd w:val="clear" w:color="auto" w:fill="auto"/>
          <w:vAlign w:val="bottom"/>
        </w:tcPr>
        <w:p w:rsidR="00F16A2F" w:rsidRDefault="00F16A2F" w:rsidP="00F16A2F">
          <w:pPr>
            <w:pStyle w:val="Header"/>
          </w:pPr>
        </w:p>
      </w:tc>
      <w:tc>
        <w:tcPr>
          <w:tcW w:w="5127" w:type="dxa"/>
          <w:shd w:val="clear" w:color="auto" w:fill="auto"/>
          <w:vAlign w:val="bottom"/>
        </w:tcPr>
        <w:p w:rsidR="00F16A2F" w:rsidRPr="00F16A2F" w:rsidRDefault="00F16A2F" w:rsidP="00F16A2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10286">
            <w:rPr>
              <w:b/>
              <w:color w:val="000000"/>
            </w:rPr>
            <w:t xml:space="preserve"> ECE/TRANS/WP.5/2015/3</w:t>
          </w:r>
          <w:r>
            <w:rPr>
              <w:b/>
              <w:color w:val="000000"/>
            </w:rPr>
            <w:fldChar w:fldCharType="end"/>
          </w:r>
        </w:p>
      </w:tc>
    </w:tr>
  </w:tbl>
  <w:p w:rsidR="00F16A2F" w:rsidRPr="00F16A2F" w:rsidRDefault="00F16A2F" w:rsidP="00F16A2F">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F16A2F" w:rsidTr="00F16A2F">
      <w:trPr>
        <w:trHeight w:hRule="exact" w:val="864"/>
      </w:trPr>
      <w:tc>
        <w:tcPr>
          <w:tcW w:w="1267" w:type="dxa"/>
          <w:tcBorders>
            <w:bottom w:val="single" w:sz="4" w:space="0" w:color="auto"/>
          </w:tcBorders>
          <w:shd w:val="clear" w:color="auto" w:fill="auto"/>
          <w:vAlign w:val="bottom"/>
        </w:tcPr>
        <w:p w:rsidR="00F16A2F" w:rsidRDefault="00F16A2F" w:rsidP="00F16A2F">
          <w:pPr>
            <w:pStyle w:val="Header"/>
            <w:spacing w:after="120"/>
          </w:pPr>
        </w:p>
      </w:tc>
      <w:tc>
        <w:tcPr>
          <w:tcW w:w="2059" w:type="dxa"/>
          <w:tcBorders>
            <w:bottom w:val="single" w:sz="4" w:space="0" w:color="auto"/>
          </w:tcBorders>
          <w:shd w:val="clear" w:color="auto" w:fill="auto"/>
          <w:vAlign w:val="bottom"/>
        </w:tcPr>
        <w:p w:rsidR="00F16A2F" w:rsidRPr="00F16A2F" w:rsidRDefault="00F16A2F" w:rsidP="00F16A2F">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F16A2F" w:rsidRDefault="00F16A2F" w:rsidP="00F16A2F">
          <w:pPr>
            <w:pStyle w:val="Header"/>
            <w:spacing w:after="120"/>
          </w:pPr>
        </w:p>
      </w:tc>
      <w:tc>
        <w:tcPr>
          <w:tcW w:w="6653" w:type="dxa"/>
          <w:gridSpan w:val="4"/>
          <w:tcBorders>
            <w:bottom w:val="single" w:sz="4" w:space="0" w:color="auto"/>
          </w:tcBorders>
          <w:shd w:val="clear" w:color="auto" w:fill="auto"/>
          <w:vAlign w:val="bottom"/>
        </w:tcPr>
        <w:p w:rsidR="00F16A2F" w:rsidRPr="00F16A2F" w:rsidRDefault="00F16A2F" w:rsidP="00F16A2F">
          <w:pPr>
            <w:spacing w:after="80" w:line="240" w:lineRule="auto"/>
            <w:jc w:val="right"/>
            <w:rPr>
              <w:position w:val="-4"/>
            </w:rPr>
          </w:pPr>
          <w:r>
            <w:rPr>
              <w:position w:val="-4"/>
              <w:sz w:val="40"/>
            </w:rPr>
            <w:t xml:space="preserve"> ECE</w:t>
          </w:r>
          <w:r>
            <w:rPr>
              <w:position w:val="-4"/>
            </w:rPr>
            <w:t>/TRANS/WP.5/2015/3</w:t>
          </w:r>
        </w:p>
      </w:tc>
    </w:tr>
    <w:tr w:rsidR="00F16A2F" w:rsidRPr="00F16A2F" w:rsidTr="00F16A2F">
      <w:trPr>
        <w:gridAfter w:val="1"/>
        <w:wAfter w:w="18" w:type="dxa"/>
        <w:trHeight w:hRule="exact" w:val="2880"/>
      </w:trPr>
      <w:tc>
        <w:tcPr>
          <w:tcW w:w="1267" w:type="dxa"/>
          <w:tcBorders>
            <w:top w:val="single" w:sz="4" w:space="0" w:color="auto"/>
            <w:bottom w:val="single" w:sz="12" w:space="0" w:color="auto"/>
          </w:tcBorders>
          <w:shd w:val="clear" w:color="auto" w:fill="auto"/>
        </w:tcPr>
        <w:p w:rsidR="00F16A2F" w:rsidRPr="00F16A2F" w:rsidRDefault="00F16A2F" w:rsidP="00F16A2F">
          <w:pPr>
            <w:pStyle w:val="Header"/>
            <w:spacing w:before="120" w:line="240" w:lineRule="auto"/>
            <w:ind w:left="-72"/>
            <w:jc w:val="center"/>
          </w:pPr>
          <w:r>
            <w:t xml:space="preserve">  </w:t>
          </w:r>
          <w:r>
            <w:rPr>
              <w:noProof/>
              <w:lang w:val="en-GB" w:eastAsia="en-GB"/>
            </w:rPr>
            <w:drawing>
              <wp:inline distT="0" distB="0" distL="0" distR="0" wp14:anchorId="506F1AD8" wp14:editId="5165C23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16A2F" w:rsidRPr="00F16A2F" w:rsidRDefault="005F6BC4" w:rsidP="00F16A2F">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F16A2F" w:rsidRPr="00F16A2F" w:rsidRDefault="00F16A2F" w:rsidP="00F16A2F">
          <w:pPr>
            <w:pStyle w:val="Header"/>
            <w:spacing w:before="109"/>
          </w:pPr>
        </w:p>
      </w:tc>
      <w:tc>
        <w:tcPr>
          <w:tcW w:w="3280" w:type="dxa"/>
          <w:tcBorders>
            <w:top w:val="single" w:sz="4" w:space="0" w:color="auto"/>
            <w:bottom w:val="single" w:sz="12" w:space="0" w:color="auto"/>
          </w:tcBorders>
          <w:shd w:val="clear" w:color="auto" w:fill="auto"/>
        </w:tcPr>
        <w:p w:rsidR="00F16A2F" w:rsidRDefault="00F16A2F" w:rsidP="00F16A2F">
          <w:pPr>
            <w:pStyle w:val="Distribution"/>
            <w:rPr>
              <w:color w:val="000000"/>
            </w:rPr>
          </w:pPr>
          <w:r>
            <w:rPr>
              <w:color w:val="000000"/>
            </w:rPr>
            <w:t>Distr. générale</w:t>
          </w:r>
        </w:p>
        <w:p w:rsidR="00F16A2F" w:rsidRDefault="00F16A2F" w:rsidP="00F16A2F">
          <w:pPr>
            <w:pStyle w:val="Publication"/>
            <w:rPr>
              <w:color w:val="000000"/>
            </w:rPr>
          </w:pPr>
          <w:r>
            <w:rPr>
              <w:color w:val="000000"/>
            </w:rPr>
            <w:t>29 juin 2015</w:t>
          </w:r>
        </w:p>
        <w:p w:rsidR="00F16A2F" w:rsidRDefault="00F16A2F" w:rsidP="00F16A2F">
          <w:r>
            <w:t>Français</w:t>
          </w:r>
        </w:p>
        <w:p w:rsidR="00F16A2F" w:rsidRPr="00F16A2F" w:rsidRDefault="00F16A2F" w:rsidP="00F16A2F">
          <w:pPr>
            <w:pStyle w:val="Original"/>
            <w:rPr>
              <w:color w:val="000000"/>
            </w:rPr>
          </w:pPr>
          <w:r>
            <w:rPr>
              <w:color w:val="000000"/>
            </w:rPr>
            <w:t>Original : anglais</w:t>
          </w:r>
        </w:p>
      </w:tc>
    </w:tr>
  </w:tbl>
  <w:p w:rsidR="00F16A2F" w:rsidRPr="00F16A2F" w:rsidRDefault="00F16A2F" w:rsidP="00F16A2F">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D23C2A"/>
    <w:lvl w:ilvl="0">
      <w:start w:val="1"/>
      <w:numFmt w:val="decimal"/>
      <w:lvlText w:val="%1."/>
      <w:lvlJc w:val="left"/>
      <w:pPr>
        <w:tabs>
          <w:tab w:val="num" w:pos="1800"/>
        </w:tabs>
        <w:ind w:left="1800" w:hanging="360"/>
      </w:pPr>
    </w:lvl>
  </w:abstractNum>
  <w:abstractNum w:abstractNumId="1">
    <w:nsid w:val="FFFFFF7D"/>
    <w:multiLevelType w:val="singleLevel"/>
    <w:tmpl w:val="5E32F736"/>
    <w:lvl w:ilvl="0">
      <w:start w:val="1"/>
      <w:numFmt w:val="decimal"/>
      <w:lvlText w:val="%1."/>
      <w:lvlJc w:val="left"/>
      <w:pPr>
        <w:tabs>
          <w:tab w:val="num" w:pos="1440"/>
        </w:tabs>
        <w:ind w:left="1440" w:hanging="360"/>
      </w:pPr>
    </w:lvl>
  </w:abstractNum>
  <w:abstractNum w:abstractNumId="2">
    <w:nsid w:val="FFFFFF7E"/>
    <w:multiLevelType w:val="singleLevel"/>
    <w:tmpl w:val="AB0EC830"/>
    <w:lvl w:ilvl="0">
      <w:start w:val="1"/>
      <w:numFmt w:val="decimal"/>
      <w:lvlText w:val="%1."/>
      <w:lvlJc w:val="left"/>
      <w:pPr>
        <w:tabs>
          <w:tab w:val="num" w:pos="1080"/>
        </w:tabs>
        <w:ind w:left="1080" w:hanging="360"/>
      </w:pPr>
    </w:lvl>
  </w:abstractNum>
  <w:abstractNum w:abstractNumId="3">
    <w:nsid w:val="FFFFFF7F"/>
    <w:multiLevelType w:val="singleLevel"/>
    <w:tmpl w:val="08283E48"/>
    <w:lvl w:ilvl="0">
      <w:start w:val="1"/>
      <w:numFmt w:val="decimal"/>
      <w:lvlText w:val="%1."/>
      <w:lvlJc w:val="left"/>
      <w:pPr>
        <w:tabs>
          <w:tab w:val="num" w:pos="720"/>
        </w:tabs>
        <w:ind w:left="720" w:hanging="360"/>
      </w:pPr>
    </w:lvl>
  </w:abstractNum>
  <w:abstractNum w:abstractNumId="4">
    <w:nsid w:val="FFFFFF80"/>
    <w:multiLevelType w:val="singleLevel"/>
    <w:tmpl w:val="4B7AF2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46061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394EC0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212F5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0381A58"/>
    <w:lvl w:ilvl="0">
      <w:start w:val="1"/>
      <w:numFmt w:val="decimal"/>
      <w:lvlText w:val="%1."/>
      <w:lvlJc w:val="left"/>
      <w:pPr>
        <w:tabs>
          <w:tab w:val="num" w:pos="360"/>
        </w:tabs>
        <w:ind w:left="360" w:hanging="360"/>
      </w:pPr>
    </w:lvl>
  </w:abstractNum>
  <w:abstractNum w:abstractNumId="9">
    <w:nsid w:val="FFFFFF89"/>
    <w:multiLevelType w:val="singleLevel"/>
    <w:tmpl w:val="86E6A6F6"/>
    <w:lvl w:ilvl="0">
      <w:start w:val="1"/>
      <w:numFmt w:val="bullet"/>
      <w:lvlText w:val=""/>
      <w:lvlJc w:val="left"/>
      <w:pPr>
        <w:tabs>
          <w:tab w:val="num" w:pos="360"/>
        </w:tabs>
        <w:ind w:left="360" w:hanging="360"/>
      </w:pPr>
      <w:rPr>
        <w:rFonts w:ascii="Symbol" w:hAnsi="Symbol" w:hint="default"/>
      </w:rPr>
    </w:lvl>
  </w:abstractNum>
  <w:abstractNum w:abstractNumId="10">
    <w:nsid w:val="02035417"/>
    <w:multiLevelType w:val="hybridMultilevel"/>
    <w:tmpl w:val="58C6233C"/>
    <w:lvl w:ilvl="0" w:tplc="FAE4B37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EE4490"/>
    <w:multiLevelType w:val="singleLevel"/>
    <w:tmpl w:val="16E8108A"/>
    <w:lvl w:ilvl="0">
      <w:start w:val="1"/>
      <w:numFmt w:val="decimal"/>
      <w:lvlRestart w:val="0"/>
      <w:lvlText w:val="%1."/>
      <w:lvlJc w:val="left"/>
      <w:pPr>
        <w:tabs>
          <w:tab w:val="num" w:pos="475"/>
        </w:tabs>
        <w:ind w:left="0" w:firstLine="0"/>
      </w:pPr>
      <w:rPr>
        <w:w w:val="100"/>
      </w:rPr>
    </w:lvl>
  </w:abstractNum>
  <w:abstractNum w:abstractNumId="1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4"/>
    <w:lvlOverride w:ilvl="0">
      <w:lvl w:ilvl="0">
        <w:start w:val="1"/>
        <w:numFmt w:val="decimal"/>
        <w:lvlRestart w:val="0"/>
        <w:lvlText w:val="%1."/>
        <w:lvlJc w:val="left"/>
        <w:pPr>
          <w:tabs>
            <w:tab w:val="num" w:pos="475"/>
          </w:tabs>
          <w:ind w:left="0" w:firstLine="0"/>
        </w:pPr>
        <w:rPr>
          <w:w w:val="100"/>
        </w:rPr>
      </w:lvl>
    </w:lvlOverride>
  </w:num>
  <w:num w:numId="18">
    <w:abstractNumId w:val="14"/>
    <w:lvlOverride w:ilvl="0">
      <w:lvl w:ilvl="0">
        <w:start w:val="1"/>
        <w:numFmt w:val="decimal"/>
        <w:lvlRestart w:val="0"/>
        <w:lvlText w:val="%1."/>
        <w:lvlJc w:val="left"/>
        <w:pPr>
          <w:tabs>
            <w:tab w:val="num" w:pos="475"/>
          </w:tabs>
          <w:ind w:left="0" w:firstLine="0"/>
        </w:pPr>
        <w:rPr>
          <w:w w:val="100"/>
        </w:rPr>
      </w:lvl>
    </w:lvlOverride>
  </w:num>
  <w:num w:numId="19">
    <w:abstractNumId w:val="14"/>
    <w:lvlOverride w:ilvl="0">
      <w:lvl w:ilvl="0">
        <w:start w:val="1"/>
        <w:numFmt w:val="decimal"/>
        <w:lvlRestart w:val="0"/>
        <w:lvlText w:val="%1."/>
        <w:lvlJc w:val="left"/>
        <w:pPr>
          <w:tabs>
            <w:tab w:val="num" w:pos="475"/>
          </w:tabs>
          <w:ind w:left="0" w:firstLine="0"/>
        </w:pPr>
        <w:rPr>
          <w:w w:val="100"/>
        </w:rPr>
      </w:lvl>
    </w:lvlOverride>
  </w:num>
  <w:num w:numId="20">
    <w:abstractNumId w:val="14"/>
    <w:lvlOverride w:ilvl="0">
      <w:lvl w:ilvl="0">
        <w:start w:val="1"/>
        <w:numFmt w:val="decimal"/>
        <w:lvlRestart w:val="0"/>
        <w:lvlText w:val="%1."/>
        <w:lvlJc w:val="left"/>
        <w:pPr>
          <w:tabs>
            <w:tab w:val="num" w:pos="475"/>
          </w:tabs>
          <w:ind w:left="0" w:firstLine="0"/>
        </w:pPr>
        <w:rPr>
          <w:w w:val="100"/>
        </w:rPr>
      </w:lvl>
    </w:lvlOverride>
  </w:num>
  <w:num w:numId="21">
    <w:abstractNumId w:val="14"/>
    <w:lvlOverride w:ilvl="0">
      <w:lvl w:ilvl="0">
        <w:start w:val="1"/>
        <w:numFmt w:val="decimal"/>
        <w:lvlRestart w:val="0"/>
        <w:lvlText w:val="%1."/>
        <w:lvlJc w:val="left"/>
        <w:pPr>
          <w:tabs>
            <w:tab w:val="num" w:pos="475"/>
          </w:tabs>
          <w:ind w:left="0" w:firstLine="0"/>
        </w:pPr>
        <w:rPr>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3"/>
  <w:revisionView w:markup="0"/>
  <w:defaultTabStop w:val="47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0767*"/>
    <w:docVar w:name="CreationDt" w:val="7/15/2015 2:16: PM"/>
    <w:docVar w:name="DocCategory" w:val="Doc"/>
    <w:docVar w:name="DocType" w:val="Final"/>
    <w:docVar w:name="DutyStation" w:val="Geneva"/>
    <w:docVar w:name="FooterJN" w:val="GE.15-10767"/>
    <w:docVar w:name="jobn" w:val="GE.15-10767 (F)"/>
    <w:docVar w:name="jobnDT" w:val="GE.15-10767 (F)   150715"/>
    <w:docVar w:name="jobnDTDT" w:val="GE.15-10767 (F)   150715   150715"/>
    <w:docVar w:name="JobNo" w:val="GE.1510767F"/>
    <w:docVar w:name="JobNo2" w:val="GE.1513762F"/>
    <w:docVar w:name="LocalDrive" w:val="0"/>
    <w:docVar w:name="OandT" w:val="Nath V."/>
    <w:docVar w:name="PaperSize" w:val="A4"/>
    <w:docVar w:name="sss1" w:val=" ECE/TRANS/WP.5/2015/3"/>
    <w:docVar w:name="sss2" w:val="-"/>
    <w:docVar w:name="Symbol1" w:val=" ECE/TRANS/WP.5/2015/3"/>
    <w:docVar w:name="Symbol2" w:val="-"/>
  </w:docVars>
  <w:rsids>
    <w:rsidRoot w:val="004625F2"/>
    <w:rsid w:val="000015B8"/>
    <w:rsid w:val="000046A5"/>
    <w:rsid w:val="00004B37"/>
    <w:rsid w:val="000055FB"/>
    <w:rsid w:val="00016483"/>
    <w:rsid w:val="00022173"/>
    <w:rsid w:val="0002226F"/>
    <w:rsid w:val="00022B4A"/>
    <w:rsid w:val="000249FF"/>
    <w:rsid w:val="00025DE5"/>
    <w:rsid w:val="000274C2"/>
    <w:rsid w:val="00033DC9"/>
    <w:rsid w:val="000378DE"/>
    <w:rsid w:val="00040497"/>
    <w:rsid w:val="00046145"/>
    <w:rsid w:val="00050D9C"/>
    <w:rsid w:val="00054482"/>
    <w:rsid w:val="0005669A"/>
    <w:rsid w:val="00057151"/>
    <w:rsid w:val="000571B5"/>
    <w:rsid w:val="000616D7"/>
    <w:rsid w:val="000636D2"/>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3AB1"/>
    <w:rsid w:val="000A4A47"/>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ABE"/>
    <w:rsid w:val="000F04A8"/>
    <w:rsid w:val="000F1B8A"/>
    <w:rsid w:val="000F299A"/>
    <w:rsid w:val="000F36A0"/>
    <w:rsid w:val="000F53E9"/>
    <w:rsid w:val="000F6A05"/>
    <w:rsid w:val="000F6E7D"/>
    <w:rsid w:val="001022FA"/>
    <w:rsid w:val="0010575E"/>
    <w:rsid w:val="00106549"/>
    <w:rsid w:val="00107710"/>
    <w:rsid w:val="00107C97"/>
    <w:rsid w:val="00110ACD"/>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30C7"/>
    <w:rsid w:val="0027435B"/>
    <w:rsid w:val="00276E85"/>
    <w:rsid w:val="00280143"/>
    <w:rsid w:val="002810F0"/>
    <w:rsid w:val="00281BC7"/>
    <w:rsid w:val="00285DC4"/>
    <w:rsid w:val="00286531"/>
    <w:rsid w:val="002867C7"/>
    <w:rsid w:val="0029018C"/>
    <w:rsid w:val="002A07EF"/>
    <w:rsid w:val="002A27E5"/>
    <w:rsid w:val="002A69DB"/>
    <w:rsid w:val="002B037D"/>
    <w:rsid w:val="002B1D15"/>
    <w:rsid w:val="002B4A7F"/>
    <w:rsid w:val="002B5928"/>
    <w:rsid w:val="002C3640"/>
    <w:rsid w:val="002C3FD3"/>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788D"/>
    <w:rsid w:val="00316628"/>
    <w:rsid w:val="00316B58"/>
    <w:rsid w:val="003235C7"/>
    <w:rsid w:val="00324CAD"/>
    <w:rsid w:val="00326270"/>
    <w:rsid w:val="00332A87"/>
    <w:rsid w:val="003342DF"/>
    <w:rsid w:val="00337015"/>
    <w:rsid w:val="003406CA"/>
    <w:rsid w:val="00340736"/>
    <w:rsid w:val="00343F8A"/>
    <w:rsid w:val="003441A5"/>
    <w:rsid w:val="003506F1"/>
    <w:rsid w:val="003555DE"/>
    <w:rsid w:val="00355810"/>
    <w:rsid w:val="003559A7"/>
    <w:rsid w:val="00356B67"/>
    <w:rsid w:val="00362737"/>
    <w:rsid w:val="00362F57"/>
    <w:rsid w:val="00365932"/>
    <w:rsid w:val="003738C0"/>
    <w:rsid w:val="003810FF"/>
    <w:rsid w:val="003824F9"/>
    <w:rsid w:val="00384511"/>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222D"/>
    <w:rsid w:val="003C252F"/>
    <w:rsid w:val="003C6DDA"/>
    <w:rsid w:val="003C7D21"/>
    <w:rsid w:val="003D15A3"/>
    <w:rsid w:val="003D35C1"/>
    <w:rsid w:val="003D635C"/>
    <w:rsid w:val="003D7BC4"/>
    <w:rsid w:val="003E1642"/>
    <w:rsid w:val="003E3E2D"/>
    <w:rsid w:val="003E3E48"/>
    <w:rsid w:val="003E47D8"/>
    <w:rsid w:val="003E4E03"/>
    <w:rsid w:val="003F108A"/>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4609"/>
    <w:rsid w:val="004448E6"/>
    <w:rsid w:val="00450D24"/>
    <w:rsid w:val="00452DA5"/>
    <w:rsid w:val="00453DAB"/>
    <w:rsid w:val="0045423E"/>
    <w:rsid w:val="004548AC"/>
    <w:rsid w:val="00455176"/>
    <w:rsid w:val="00455E42"/>
    <w:rsid w:val="00457D04"/>
    <w:rsid w:val="00460112"/>
    <w:rsid w:val="004625F2"/>
    <w:rsid w:val="004627F7"/>
    <w:rsid w:val="004638A8"/>
    <w:rsid w:val="00464787"/>
    <w:rsid w:val="004669E9"/>
    <w:rsid w:val="00471B55"/>
    <w:rsid w:val="00472794"/>
    <w:rsid w:val="00475F9F"/>
    <w:rsid w:val="00476698"/>
    <w:rsid w:val="00477592"/>
    <w:rsid w:val="004814BB"/>
    <w:rsid w:val="00481634"/>
    <w:rsid w:val="00487428"/>
    <w:rsid w:val="00491CD5"/>
    <w:rsid w:val="00492DC3"/>
    <w:rsid w:val="004973EC"/>
    <w:rsid w:val="004A0AA6"/>
    <w:rsid w:val="004A186E"/>
    <w:rsid w:val="004A2319"/>
    <w:rsid w:val="004A2455"/>
    <w:rsid w:val="004A698E"/>
    <w:rsid w:val="004A7606"/>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D6"/>
    <w:rsid w:val="005A7976"/>
    <w:rsid w:val="005B33A4"/>
    <w:rsid w:val="005B5D99"/>
    <w:rsid w:val="005B74B8"/>
    <w:rsid w:val="005C1353"/>
    <w:rsid w:val="005C3A63"/>
    <w:rsid w:val="005C65C2"/>
    <w:rsid w:val="005D7CA9"/>
    <w:rsid w:val="005E3829"/>
    <w:rsid w:val="005F12E0"/>
    <w:rsid w:val="005F2726"/>
    <w:rsid w:val="005F2A30"/>
    <w:rsid w:val="005F2FA6"/>
    <w:rsid w:val="005F35C5"/>
    <w:rsid w:val="005F6A9F"/>
    <w:rsid w:val="005F6BC4"/>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35F3A"/>
    <w:rsid w:val="00735FB1"/>
    <w:rsid w:val="007367E1"/>
    <w:rsid w:val="007379A0"/>
    <w:rsid w:val="00743131"/>
    <w:rsid w:val="0074339E"/>
    <w:rsid w:val="00744D58"/>
    <w:rsid w:val="00745376"/>
    <w:rsid w:val="0074587F"/>
    <w:rsid w:val="00750C8F"/>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7D7F"/>
    <w:rsid w:val="007D33BA"/>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33A79"/>
    <w:rsid w:val="00833BFF"/>
    <w:rsid w:val="0083677A"/>
    <w:rsid w:val="00837284"/>
    <w:rsid w:val="0083731D"/>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5A5F"/>
    <w:rsid w:val="00867F04"/>
    <w:rsid w:val="008703DB"/>
    <w:rsid w:val="008710A1"/>
    <w:rsid w:val="0087489F"/>
    <w:rsid w:val="00875E49"/>
    <w:rsid w:val="0088158E"/>
    <w:rsid w:val="0088258D"/>
    <w:rsid w:val="008829F3"/>
    <w:rsid w:val="00882D4B"/>
    <w:rsid w:val="00887256"/>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5E1B"/>
    <w:rsid w:val="008D613D"/>
    <w:rsid w:val="008D756B"/>
    <w:rsid w:val="008E4FFA"/>
    <w:rsid w:val="008E5CC1"/>
    <w:rsid w:val="008E6532"/>
    <w:rsid w:val="008E7FF5"/>
    <w:rsid w:val="008F125F"/>
    <w:rsid w:val="008F3DAE"/>
    <w:rsid w:val="008F6630"/>
    <w:rsid w:val="008F7622"/>
    <w:rsid w:val="0090311E"/>
    <w:rsid w:val="00903290"/>
    <w:rsid w:val="0090438E"/>
    <w:rsid w:val="0090704E"/>
    <w:rsid w:val="009133F5"/>
    <w:rsid w:val="00914786"/>
    <w:rsid w:val="00915680"/>
    <w:rsid w:val="0091610E"/>
    <w:rsid w:val="00916373"/>
    <w:rsid w:val="00916548"/>
    <w:rsid w:val="00916A77"/>
    <w:rsid w:val="00921BE8"/>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76D3"/>
    <w:rsid w:val="00971E24"/>
    <w:rsid w:val="0098128C"/>
    <w:rsid w:val="009813FE"/>
    <w:rsid w:val="00983DD0"/>
    <w:rsid w:val="00986E56"/>
    <w:rsid w:val="00991387"/>
    <w:rsid w:val="00993B88"/>
    <w:rsid w:val="00993D02"/>
    <w:rsid w:val="009943AB"/>
    <w:rsid w:val="00994740"/>
    <w:rsid w:val="009966F8"/>
    <w:rsid w:val="009A142A"/>
    <w:rsid w:val="009A17F4"/>
    <w:rsid w:val="009A325B"/>
    <w:rsid w:val="009A4787"/>
    <w:rsid w:val="009A7DEC"/>
    <w:rsid w:val="009B0AF7"/>
    <w:rsid w:val="009B0BFB"/>
    <w:rsid w:val="009B4398"/>
    <w:rsid w:val="009B4EEC"/>
    <w:rsid w:val="009C1815"/>
    <w:rsid w:val="009C70D0"/>
    <w:rsid w:val="009D5A2E"/>
    <w:rsid w:val="009E0573"/>
    <w:rsid w:val="009E06DE"/>
    <w:rsid w:val="009E246F"/>
    <w:rsid w:val="009E76A1"/>
    <w:rsid w:val="009F004A"/>
    <w:rsid w:val="009F235E"/>
    <w:rsid w:val="009F29EB"/>
    <w:rsid w:val="009F3C78"/>
    <w:rsid w:val="009F5ACE"/>
    <w:rsid w:val="009F5D99"/>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43CAC"/>
    <w:rsid w:val="00A45E20"/>
    <w:rsid w:val="00A46DB8"/>
    <w:rsid w:val="00A52DF2"/>
    <w:rsid w:val="00A55810"/>
    <w:rsid w:val="00A56E3B"/>
    <w:rsid w:val="00A57C5A"/>
    <w:rsid w:val="00A64AD2"/>
    <w:rsid w:val="00A72C1F"/>
    <w:rsid w:val="00A83E5E"/>
    <w:rsid w:val="00A84C12"/>
    <w:rsid w:val="00A85CA4"/>
    <w:rsid w:val="00A85D04"/>
    <w:rsid w:val="00A85DB4"/>
    <w:rsid w:val="00A86044"/>
    <w:rsid w:val="00A96709"/>
    <w:rsid w:val="00A97EBD"/>
    <w:rsid w:val="00AA260F"/>
    <w:rsid w:val="00AA5F19"/>
    <w:rsid w:val="00AA750A"/>
    <w:rsid w:val="00AB001C"/>
    <w:rsid w:val="00AB37EB"/>
    <w:rsid w:val="00AB382C"/>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6C4C"/>
    <w:rsid w:val="00B10286"/>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503F3"/>
    <w:rsid w:val="00B504C9"/>
    <w:rsid w:val="00B52A47"/>
    <w:rsid w:val="00B53FB4"/>
    <w:rsid w:val="00B541C6"/>
    <w:rsid w:val="00B556DD"/>
    <w:rsid w:val="00B5798F"/>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6A5E"/>
    <w:rsid w:val="00C865D9"/>
    <w:rsid w:val="00C8707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1BBE"/>
    <w:rsid w:val="00DC23FE"/>
    <w:rsid w:val="00DC38B9"/>
    <w:rsid w:val="00DC5B37"/>
    <w:rsid w:val="00DC5DDD"/>
    <w:rsid w:val="00DD309E"/>
    <w:rsid w:val="00DE01B6"/>
    <w:rsid w:val="00DE1304"/>
    <w:rsid w:val="00DE1FBD"/>
    <w:rsid w:val="00DE4677"/>
    <w:rsid w:val="00DE64ED"/>
    <w:rsid w:val="00DF064D"/>
    <w:rsid w:val="00DF0CBF"/>
    <w:rsid w:val="00E003D9"/>
    <w:rsid w:val="00E028F6"/>
    <w:rsid w:val="00E0753F"/>
    <w:rsid w:val="00E10BF1"/>
    <w:rsid w:val="00E11B5C"/>
    <w:rsid w:val="00E13E2B"/>
    <w:rsid w:val="00E22DB7"/>
    <w:rsid w:val="00E23C1B"/>
    <w:rsid w:val="00E24D2B"/>
    <w:rsid w:val="00E25DDC"/>
    <w:rsid w:val="00E345BF"/>
    <w:rsid w:val="00E34D59"/>
    <w:rsid w:val="00E405EA"/>
    <w:rsid w:val="00E40877"/>
    <w:rsid w:val="00E51F8B"/>
    <w:rsid w:val="00E51FCF"/>
    <w:rsid w:val="00E529D4"/>
    <w:rsid w:val="00E53839"/>
    <w:rsid w:val="00E53C18"/>
    <w:rsid w:val="00E53F41"/>
    <w:rsid w:val="00E54488"/>
    <w:rsid w:val="00E56D2F"/>
    <w:rsid w:val="00E61C69"/>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4EB6"/>
    <w:rsid w:val="00EB535D"/>
    <w:rsid w:val="00EC34E0"/>
    <w:rsid w:val="00EC5385"/>
    <w:rsid w:val="00EC5430"/>
    <w:rsid w:val="00EC60B6"/>
    <w:rsid w:val="00EC6373"/>
    <w:rsid w:val="00EC7853"/>
    <w:rsid w:val="00ED047D"/>
    <w:rsid w:val="00ED0A59"/>
    <w:rsid w:val="00ED297E"/>
    <w:rsid w:val="00ED4626"/>
    <w:rsid w:val="00ED732D"/>
    <w:rsid w:val="00ED7BC4"/>
    <w:rsid w:val="00EE104D"/>
    <w:rsid w:val="00EE5F6D"/>
    <w:rsid w:val="00EF0701"/>
    <w:rsid w:val="00EF11F2"/>
    <w:rsid w:val="00EF236F"/>
    <w:rsid w:val="00EF3067"/>
    <w:rsid w:val="00F03AFB"/>
    <w:rsid w:val="00F133BB"/>
    <w:rsid w:val="00F13DC7"/>
    <w:rsid w:val="00F14729"/>
    <w:rsid w:val="00F14ED7"/>
    <w:rsid w:val="00F150D6"/>
    <w:rsid w:val="00F16A2F"/>
    <w:rsid w:val="00F17670"/>
    <w:rsid w:val="00F17A90"/>
    <w:rsid w:val="00F2031D"/>
    <w:rsid w:val="00F23EE4"/>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F16A2F"/>
    <w:rPr>
      <w:sz w:val="16"/>
      <w:szCs w:val="16"/>
    </w:rPr>
  </w:style>
  <w:style w:type="paragraph" w:styleId="CommentText">
    <w:name w:val="annotation text"/>
    <w:basedOn w:val="Normal"/>
    <w:link w:val="CommentTextChar"/>
    <w:uiPriority w:val="99"/>
    <w:semiHidden/>
    <w:unhideWhenUsed/>
    <w:rsid w:val="00F16A2F"/>
    <w:pPr>
      <w:spacing w:line="240" w:lineRule="auto"/>
    </w:pPr>
    <w:rPr>
      <w:szCs w:val="20"/>
    </w:rPr>
  </w:style>
  <w:style w:type="character" w:customStyle="1" w:styleId="CommentTextChar">
    <w:name w:val="Comment Text Char"/>
    <w:basedOn w:val="DefaultParagraphFont"/>
    <w:link w:val="CommentText"/>
    <w:uiPriority w:val="99"/>
    <w:semiHidden/>
    <w:rsid w:val="00F16A2F"/>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F16A2F"/>
    <w:rPr>
      <w:b/>
      <w:bCs/>
    </w:rPr>
  </w:style>
  <w:style w:type="character" w:customStyle="1" w:styleId="CommentSubjectChar">
    <w:name w:val="Comment Subject Char"/>
    <w:basedOn w:val="CommentTextChar"/>
    <w:link w:val="CommentSubject"/>
    <w:uiPriority w:val="99"/>
    <w:semiHidden/>
    <w:rsid w:val="00F16A2F"/>
    <w:rPr>
      <w:rFonts w:ascii="Times New Roman" w:hAnsi="Times New Roman"/>
      <w:b/>
      <w:bCs/>
      <w:spacing w:val="4"/>
      <w:w w:val="103"/>
      <w:kern w:val="14"/>
    </w:rPr>
  </w:style>
  <w:style w:type="table" w:styleId="TableGrid">
    <w:name w:val="Table Grid"/>
    <w:basedOn w:val="TableNormal"/>
    <w:uiPriority w:val="59"/>
    <w:rsid w:val="008D5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6BC4"/>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F16A2F"/>
    <w:rPr>
      <w:sz w:val="16"/>
      <w:szCs w:val="16"/>
    </w:rPr>
  </w:style>
  <w:style w:type="paragraph" w:styleId="CommentText">
    <w:name w:val="annotation text"/>
    <w:basedOn w:val="Normal"/>
    <w:link w:val="CommentTextChar"/>
    <w:uiPriority w:val="99"/>
    <w:semiHidden/>
    <w:unhideWhenUsed/>
    <w:rsid w:val="00F16A2F"/>
    <w:pPr>
      <w:spacing w:line="240" w:lineRule="auto"/>
    </w:pPr>
    <w:rPr>
      <w:szCs w:val="20"/>
    </w:rPr>
  </w:style>
  <w:style w:type="character" w:customStyle="1" w:styleId="CommentTextChar">
    <w:name w:val="Comment Text Char"/>
    <w:basedOn w:val="DefaultParagraphFont"/>
    <w:link w:val="CommentText"/>
    <w:uiPriority w:val="99"/>
    <w:semiHidden/>
    <w:rsid w:val="00F16A2F"/>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F16A2F"/>
    <w:rPr>
      <w:b/>
      <w:bCs/>
    </w:rPr>
  </w:style>
  <w:style w:type="character" w:customStyle="1" w:styleId="CommentSubjectChar">
    <w:name w:val="Comment Subject Char"/>
    <w:basedOn w:val="CommentTextChar"/>
    <w:link w:val="CommentSubject"/>
    <w:uiPriority w:val="99"/>
    <w:semiHidden/>
    <w:rsid w:val="00F16A2F"/>
    <w:rPr>
      <w:rFonts w:ascii="Times New Roman" w:hAnsi="Times New Roman"/>
      <w:b/>
      <w:bCs/>
      <w:spacing w:val="4"/>
      <w:w w:val="103"/>
      <w:kern w:val="14"/>
    </w:rPr>
  </w:style>
  <w:style w:type="table" w:styleId="TableGrid">
    <w:name w:val="Table Grid"/>
    <w:basedOn w:val="TableNormal"/>
    <w:uiPriority w:val="59"/>
    <w:rsid w:val="008D5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6BC4"/>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8CFF9-776D-4E4A-911B-2D4DEDCE2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929</Words>
  <Characters>5297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Nath V.</dc:creator>
  <cp:lastModifiedBy>Maria Mostovets</cp:lastModifiedBy>
  <cp:revision>2</cp:revision>
  <cp:lastPrinted>2015-07-15T13:24:00Z</cp:lastPrinted>
  <dcterms:created xsi:type="dcterms:W3CDTF">2015-08-14T13:42:00Z</dcterms:created>
  <dcterms:modified xsi:type="dcterms:W3CDTF">2015-08-14T13:42:00Z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1510767F</vt:lpwstr>
  </property>
  <property fmtid="{D5CDD505-2E9C-101B-9397-08002B2CF9AE}" pid="3" name="ODSRefJobNo">
    <vt:lpwstr>1513762F</vt:lpwstr>
  </property>
  <property fmtid="{D5CDD505-2E9C-101B-9397-08002B2CF9AE}" pid="4" name="Symbol1">
    <vt:lpwstr> ECE/TRANS/WP.5/2015/3</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29 juin 2015</vt:lpwstr>
  </property>
  <property fmtid="{D5CDD505-2E9C-101B-9397-08002B2CF9AE}" pid="9" name="Original">
    <vt:lpwstr>anglais</vt:lpwstr>
  </property>
  <property fmtid="{D5CDD505-2E9C-101B-9397-08002B2CF9AE}" pid="10" name="Release Date">
    <vt:lpwstr>150715</vt:lpwstr>
  </property>
  <property fmtid="{D5CDD505-2E9C-101B-9397-08002B2CF9AE}" pid="11" name="Comment">
    <vt:lpwstr/>
  </property>
  <property fmtid="{D5CDD505-2E9C-101B-9397-08002B2CF9AE}" pid="12" name="DraftPages">
    <vt:lpwstr> </vt:lpwstr>
  </property>
  <property fmtid="{D5CDD505-2E9C-101B-9397-08002B2CF9AE}" pid="13" name="Operator">
    <vt:lpwstr>Nath V.</vt:lpwstr>
  </property>
</Properties>
</file>