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A75B8" w:rsidP="00FD037B">
            <w:pPr>
              <w:jc w:val="right"/>
            </w:pPr>
            <w:r w:rsidRPr="00DA75B8">
              <w:rPr>
                <w:sz w:val="40"/>
              </w:rPr>
              <w:t>ECE</w:t>
            </w:r>
            <w:r>
              <w:t>/TRANS/WP.5/201</w:t>
            </w:r>
            <w:r w:rsidR="00FB52D8">
              <w:t>5</w:t>
            </w:r>
            <w:r>
              <w:t>/</w:t>
            </w:r>
            <w:r w:rsidR="00FD037B">
              <w:t>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E2F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A75B8" w:rsidP="00DA75B8">
            <w:pPr>
              <w:spacing w:before="240" w:line="240" w:lineRule="exact"/>
            </w:pPr>
            <w:r>
              <w:t>Distr.: General</w:t>
            </w:r>
          </w:p>
          <w:p w:rsidR="00DA75B8" w:rsidRDefault="00FB52D8" w:rsidP="00DA75B8">
            <w:pPr>
              <w:spacing w:line="240" w:lineRule="exact"/>
            </w:pPr>
            <w:r>
              <w:t>29</w:t>
            </w:r>
            <w:r w:rsidR="00DA75B8">
              <w:t xml:space="preserve"> June 201</w:t>
            </w:r>
            <w:r>
              <w:t>5</w:t>
            </w:r>
          </w:p>
          <w:p w:rsidR="00DA75B8" w:rsidRDefault="00DA75B8" w:rsidP="00DA75B8">
            <w:pPr>
              <w:spacing w:line="240" w:lineRule="exact"/>
            </w:pPr>
          </w:p>
          <w:p w:rsidR="00DA75B8" w:rsidRDefault="00DA75B8" w:rsidP="00DA75B8">
            <w:pPr>
              <w:spacing w:line="240" w:lineRule="exact"/>
            </w:pPr>
            <w:r>
              <w:t>Original: English</w:t>
            </w:r>
          </w:p>
        </w:tc>
      </w:tr>
    </w:tbl>
    <w:p w:rsidR="00DA75B8" w:rsidRPr="007D68EB" w:rsidRDefault="00DA75B8" w:rsidP="00DA75B8">
      <w:pPr>
        <w:spacing w:before="120"/>
        <w:rPr>
          <w:b/>
          <w:bCs/>
          <w:sz w:val="28"/>
          <w:szCs w:val="28"/>
        </w:rPr>
      </w:pPr>
      <w:r w:rsidRPr="007D68EB">
        <w:rPr>
          <w:b/>
          <w:bCs/>
          <w:sz w:val="28"/>
          <w:szCs w:val="28"/>
        </w:rPr>
        <w:t>Economic Commission for Europe</w:t>
      </w:r>
    </w:p>
    <w:p w:rsidR="00DA75B8" w:rsidRDefault="00DA75B8" w:rsidP="00DA75B8">
      <w:pPr>
        <w:spacing w:before="120"/>
        <w:rPr>
          <w:sz w:val="28"/>
          <w:szCs w:val="28"/>
        </w:rPr>
      </w:pPr>
      <w:r w:rsidRPr="007D68EB">
        <w:rPr>
          <w:sz w:val="28"/>
          <w:szCs w:val="28"/>
        </w:rPr>
        <w:t>Inland Transport Committee</w:t>
      </w:r>
    </w:p>
    <w:p w:rsidR="00612AB1" w:rsidRPr="004A2945" w:rsidRDefault="00612AB1" w:rsidP="00612AB1">
      <w:pPr>
        <w:spacing w:before="120"/>
        <w:rPr>
          <w:b/>
          <w:sz w:val="24"/>
          <w:szCs w:val="24"/>
        </w:rPr>
      </w:pPr>
      <w:r w:rsidRPr="004A2945">
        <w:rPr>
          <w:b/>
          <w:sz w:val="24"/>
          <w:szCs w:val="24"/>
        </w:rPr>
        <w:t>Working Party on Transport Trends and Economics</w:t>
      </w:r>
    </w:p>
    <w:p w:rsidR="00DA75B8" w:rsidRDefault="00DA75B8" w:rsidP="008206AF">
      <w:pPr>
        <w:spacing w:before="120"/>
        <w:rPr>
          <w:b/>
          <w:bCs/>
          <w:lang w:val="en-US"/>
        </w:rPr>
      </w:pPr>
      <w:r w:rsidRPr="003E5540">
        <w:rPr>
          <w:b/>
          <w:bCs/>
          <w:lang w:val="en-US"/>
        </w:rPr>
        <w:t>Twenty-</w:t>
      </w:r>
      <w:r w:rsidR="00FB52D8">
        <w:rPr>
          <w:b/>
          <w:bCs/>
          <w:lang w:val="en-US"/>
        </w:rPr>
        <w:t>eighth</w:t>
      </w:r>
      <w:r w:rsidRPr="003E5540">
        <w:rPr>
          <w:b/>
          <w:bCs/>
          <w:lang w:val="en-US"/>
        </w:rPr>
        <w:t xml:space="preserve"> session</w:t>
      </w:r>
    </w:p>
    <w:p w:rsidR="00DA75B8" w:rsidRDefault="00DA75B8" w:rsidP="00DA75B8">
      <w:r w:rsidRPr="0094298A">
        <w:t xml:space="preserve">Geneva, </w:t>
      </w:r>
      <w:r w:rsidR="00FB52D8">
        <w:t>7</w:t>
      </w:r>
      <w:r w:rsidRPr="0094298A">
        <w:t>–</w:t>
      </w:r>
      <w:r w:rsidR="00FB52D8">
        <w:t>9</w:t>
      </w:r>
      <w:r>
        <w:t xml:space="preserve"> September</w:t>
      </w:r>
      <w:r w:rsidRPr="0094298A">
        <w:t xml:space="preserve"> 201</w:t>
      </w:r>
      <w:r w:rsidR="00FB52D8">
        <w:t>5</w:t>
      </w:r>
      <w:r>
        <w:t xml:space="preserve"> </w:t>
      </w:r>
    </w:p>
    <w:p w:rsidR="00DA75B8" w:rsidRDefault="00DA75B8" w:rsidP="00DA75B8">
      <w:r w:rsidRPr="003E5540">
        <w:t xml:space="preserve">Item </w:t>
      </w:r>
      <w:r w:rsidR="00FD037B">
        <w:t>4</w:t>
      </w:r>
      <w:r w:rsidRPr="003E5540">
        <w:t xml:space="preserve"> of the provisional agenda</w:t>
      </w:r>
    </w:p>
    <w:p w:rsidR="00DA75B8" w:rsidRDefault="00FD037B" w:rsidP="00DA75B8">
      <w:pPr>
        <w:rPr>
          <w:b/>
          <w:bCs/>
        </w:rPr>
      </w:pPr>
      <w:r w:rsidRPr="00FD037B">
        <w:rPr>
          <w:b/>
          <w:bCs/>
        </w:rPr>
        <w:t xml:space="preserve">Ports Hinterland connections </w:t>
      </w:r>
    </w:p>
    <w:p w:rsidR="00DA75B8" w:rsidRPr="008206AF" w:rsidRDefault="00DA75B8" w:rsidP="008206AF">
      <w:pPr>
        <w:pStyle w:val="HChG"/>
      </w:pPr>
      <w:r w:rsidRPr="008206AF">
        <w:tab/>
      </w:r>
      <w:r w:rsidRPr="008206AF">
        <w:tab/>
      </w:r>
      <w:proofErr w:type="spellStart"/>
      <w:r w:rsidR="00FD037B" w:rsidRPr="008206AF">
        <w:t>Mednet</w:t>
      </w:r>
      <w:proofErr w:type="spellEnd"/>
      <w:r w:rsidR="00FD037B" w:rsidRPr="008206AF">
        <w:t xml:space="preserve"> Observatory </w:t>
      </w:r>
      <w:r w:rsidR="00E0016C">
        <w:t>on Ports Hinterland connections</w:t>
      </w:r>
      <w:r w:rsidR="00E0016C" w:rsidRPr="00E0016C">
        <w:rPr>
          <w:rStyle w:val="FootnoteReference"/>
          <w:sz w:val="20"/>
          <w:vertAlign w:val="baseline"/>
        </w:rPr>
        <w:footnoteReference w:customMarkFollows="1" w:id="2"/>
        <w:t>*</w:t>
      </w:r>
    </w:p>
    <w:p w:rsidR="00DA75B8" w:rsidRPr="00DA75B8" w:rsidRDefault="00DA75B8" w:rsidP="00DA75B8">
      <w:pPr>
        <w:pStyle w:val="H1G"/>
      </w:pPr>
      <w:r>
        <w:tab/>
      </w:r>
      <w:r>
        <w:tab/>
      </w:r>
      <w:r w:rsidRPr="00DA75B8">
        <w:t xml:space="preserve">Submitted by the </w:t>
      </w:r>
      <w:r w:rsidR="00D859A2">
        <w:t>Secretariat</w:t>
      </w:r>
    </w:p>
    <w:p w:rsidR="004D760B" w:rsidRPr="00BD734F" w:rsidRDefault="00F50DB6" w:rsidP="004D760B">
      <w:pPr>
        <w:pStyle w:val="HChG"/>
      </w:pPr>
      <w:r>
        <w:rPr>
          <w:lang w:eastAsia="en-GB"/>
        </w:rPr>
        <w:tab/>
      </w:r>
      <w:r w:rsidR="004D760B" w:rsidRPr="00BD734F">
        <w:t>I.</w:t>
      </w:r>
      <w:r w:rsidR="004D760B" w:rsidRPr="00BD734F">
        <w:tab/>
      </w:r>
      <w:r w:rsidR="00FD037B">
        <w:t>Introduction</w:t>
      </w:r>
    </w:p>
    <w:p w:rsidR="0025278E" w:rsidRPr="008206AF" w:rsidRDefault="004D760B" w:rsidP="008206AF">
      <w:pPr>
        <w:pStyle w:val="SingleTxtG"/>
      </w:pPr>
      <w:r w:rsidRPr="008206AF">
        <w:t>1.</w:t>
      </w:r>
      <w:r w:rsidRPr="008206AF">
        <w:tab/>
      </w:r>
      <w:proofErr w:type="spellStart"/>
      <w:r w:rsidR="0025278E" w:rsidRPr="008206AF">
        <w:t>MEDNET</w:t>
      </w:r>
      <w:proofErr w:type="spellEnd"/>
      <w:r w:rsidR="0025278E" w:rsidRPr="008206AF">
        <w:t xml:space="preserve"> is a European project, co-financed by the MED Programme, aimed at simplifying and harmonizing maritime and port procedures within the Mediterranean region. At the end of its lifetime in May 2015, the project recommended actions and measures for facilitating maritime freight exchange, speeding up logistic procedures, and reducing logistics costs. Moreover, more efficient operating maritime routes started contributing in increasing modal shift from the currently congested European road network while reducing at the same time adverse environmental impacts and enhancing social and economic cohesion of the European and Mediterranean populations.</w:t>
      </w:r>
    </w:p>
    <w:p w:rsidR="00002A4C" w:rsidRPr="008206AF" w:rsidRDefault="0025278E" w:rsidP="008206AF">
      <w:pPr>
        <w:pStyle w:val="SingleTxtG"/>
      </w:pPr>
      <w:r w:rsidRPr="008206AF">
        <w:t xml:space="preserve">2. </w:t>
      </w:r>
      <w:r w:rsidRPr="008206AF">
        <w:tab/>
        <w:t>The project developed 20 pilot actions, tested in partner ports and at administrative or customs institutions in participating partner countries, which enabled the identification of opportunities for simplifying and harmonizing procedures. In parallel, monitoring and data collection studies fed information into the database “Observatory of Port Operations in the Mediterranean” available to partners and all maritime sector stakeholders.</w:t>
      </w:r>
      <w:r w:rsidR="00002A4C" w:rsidRPr="008206AF">
        <w:t xml:space="preserve"> </w:t>
      </w:r>
    </w:p>
    <w:p w:rsidR="0025278E" w:rsidRPr="00362E8B" w:rsidRDefault="00362E8B" w:rsidP="00362E8B">
      <w:pPr>
        <w:pStyle w:val="HChG"/>
        <w:rPr>
          <w:lang w:eastAsia="en-GB"/>
        </w:rPr>
      </w:pPr>
      <w:r>
        <w:rPr>
          <w:lang w:eastAsia="en-GB"/>
        </w:rPr>
        <w:tab/>
      </w:r>
      <w:r w:rsidRPr="00362E8B">
        <w:rPr>
          <w:lang w:eastAsia="en-GB"/>
        </w:rPr>
        <w:t xml:space="preserve">II. </w:t>
      </w:r>
      <w:r>
        <w:rPr>
          <w:lang w:eastAsia="en-GB"/>
        </w:rPr>
        <w:tab/>
      </w:r>
      <w:r w:rsidRPr="00362E8B">
        <w:rPr>
          <w:lang w:eastAsia="en-GB"/>
        </w:rPr>
        <w:t>The Observatory of Port Operations in the Mediterranean</w:t>
      </w:r>
    </w:p>
    <w:p w:rsidR="0025278E" w:rsidRPr="008206AF" w:rsidRDefault="00362E8B" w:rsidP="008206AF">
      <w:pPr>
        <w:pStyle w:val="SingleTxtG"/>
      </w:pPr>
      <w:r w:rsidRPr="008206AF">
        <w:t>3.</w:t>
      </w:r>
      <w:r w:rsidRPr="008206AF">
        <w:tab/>
      </w:r>
      <w:r w:rsidR="00442860" w:rsidRPr="008206AF">
        <w:t xml:space="preserve">The Observatory of Port Operations in the Mediterranean Sea is an all-inclusive information centre and knowledge base on port administrative requirements, logistics </w:t>
      </w:r>
      <w:r w:rsidR="00442860" w:rsidRPr="008206AF">
        <w:lastRenderedPageBreak/>
        <w:t>procedures, port operations and customs formalities.</w:t>
      </w:r>
      <w:r w:rsidR="005E795D" w:rsidRPr="008206AF">
        <w:t xml:space="preserve"> </w:t>
      </w:r>
      <w:r w:rsidR="00442860" w:rsidRPr="008206AF">
        <w:t>It allows for recording and disseminating best practices, as well as for understanding the technical parameters</w:t>
      </w:r>
      <w:r w:rsidR="005E795D" w:rsidRPr="008206AF">
        <w:t xml:space="preserve"> </w:t>
      </w:r>
      <w:r w:rsidR="00442860" w:rsidRPr="008206AF">
        <w:t>related to port operations’ performance, through the use of a specialized database, while highlighting at the same</w:t>
      </w:r>
      <w:r w:rsidR="005E795D" w:rsidRPr="008206AF">
        <w:t xml:space="preserve"> </w:t>
      </w:r>
      <w:r w:rsidR="00442860" w:rsidRPr="008206AF">
        <w:t>time strengths and weaknesses of port operations. Moreover, it provides a communication platform at European,</w:t>
      </w:r>
      <w:r w:rsidR="005E795D" w:rsidRPr="008206AF">
        <w:t xml:space="preserve"> </w:t>
      </w:r>
      <w:r w:rsidR="00442860" w:rsidRPr="008206AF">
        <w:t>national and regional levels, relying on an open discussion group. It also allows Port Authorities representatives</w:t>
      </w:r>
      <w:r w:rsidR="005E795D" w:rsidRPr="008206AF">
        <w:t xml:space="preserve"> </w:t>
      </w:r>
      <w:r w:rsidR="00442860" w:rsidRPr="008206AF">
        <w:t>from the MED region to assess their own port on line.</w:t>
      </w:r>
    </w:p>
    <w:p w:rsidR="0025278E" w:rsidRDefault="005E795D" w:rsidP="008206AF">
      <w:pPr>
        <w:pStyle w:val="SingleTxtG"/>
      </w:pPr>
      <w:r w:rsidRPr="008206AF">
        <w:t>4.</w:t>
      </w:r>
      <w:r w:rsidRPr="008206AF">
        <w:tab/>
        <w:t>A set of key services for port actors.</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560"/>
        <w:gridCol w:w="1559"/>
        <w:gridCol w:w="1724"/>
        <w:gridCol w:w="1394"/>
      </w:tblGrid>
      <w:tr w:rsidR="00845197" w:rsidRPr="00845197" w:rsidTr="00845197">
        <w:trPr>
          <w:jc w:val="center"/>
        </w:trPr>
        <w:tc>
          <w:tcPr>
            <w:tcW w:w="9639" w:type="dxa"/>
            <w:gridSpan w:val="6"/>
            <w:tcBorders>
              <w:top w:val="single" w:sz="4" w:space="0" w:color="auto"/>
              <w:bottom w:val="single" w:sz="4" w:space="0" w:color="auto"/>
            </w:tcBorders>
            <w:shd w:val="clear" w:color="auto" w:fill="auto"/>
            <w:vAlign w:val="bottom"/>
          </w:tcPr>
          <w:p w:rsidR="00845197" w:rsidRPr="00845197" w:rsidRDefault="00845197" w:rsidP="00845197">
            <w:pPr>
              <w:spacing w:before="80" w:after="80" w:line="200" w:lineRule="exact"/>
              <w:ind w:right="113"/>
              <w:jc w:val="center"/>
              <w:rPr>
                <w:i/>
                <w:sz w:val="16"/>
              </w:rPr>
            </w:pPr>
            <w:r w:rsidRPr="00845197">
              <w:rPr>
                <w:i/>
                <w:sz w:val="16"/>
              </w:rPr>
              <w:t>A set of key services for port actors</w:t>
            </w:r>
          </w:p>
        </w:tc>
      </w:tr>
      <w:tr w:rsidR="00845197" w:rsidRPr="00845197" w:rsidTr="007864D5">
        <w:trPr>
          <w:jc w:val="center"/>
        </w:trPr>
        <w:tc>
          <w:tcPr>
            <w:tcW w:w="1701" w:type="dxa"/>
            <w:tcBorders>
              <w:top w:val="single" w:sz="4" w:space="0" w:color="auto"/>
              <w:bottom w:val="single" w:sz="12" w:space="0" w:color="auto"/>
            </w:tcBorders>
            <w:shd w:val="clear" w:color="auto" w:fill="auto"/>
            <w:vAlign w:val="bottom"/>
          </w:tcPr>
          <w:p w:rsidR="00845197" w:rsidRPr="00845197" w:rsidRDefault="00845197" w:rsidP="00845197">
            <w:pPr>
              <w:spacing w:before="80" w:after="80" w:line="200" w:lineRule="exact"/>
              <w:ind w:right="113"/>
              <w:rPr>
                <w:i/>
                <w:sz w:val="16"/>
              </w:rPr>
            </w:pPr>
            <w:r w:rsidRPr="00845197">
              <w:rPr>
                <w:i/>
                <w:sz w:val="16"/>
              </w:rPr>
              <w:t>Port Authority</w:t>
            </w:r>
          </w:p>
        </w:tc>
        <w:tc>
          <w:tcPr>
            <w:tcW w:w="1701" w:type="dxa"/>
            <w:tcBorders>
              <w:top w:val="single" w:sz="4" w:space="0" w:color="auto"/>
              <w:bottom w:val="single" w:sz="12" w:space="0" w:color="auto"/>
            </w:tcBorders>
            <w:shd w:val="clear" w:color="auto" w:fill="auto"/>
            <w:vAlign w:val="bottom"/>
          </w:tcPr>
          <w:p w:rsidR="00845197" w:rsidRPr="00845197" w:rsidRDefault="00845197" w:rsidP="00845197">
            <w:pPr>
              <w:spacing w:before="80" w:after="80" w:line="200" w:lineRule="exact"/>
              <w:ind w:right="113"/>
              <w:rPr>
                <w:i/>
                <w:sz w:val="16"/>
              </w:rPr>
            </w:pPr>
            <w:r w:rsidRPr="00845197">
              <w:rPr>
                <w:i/>
                <w:sz w:val="16"/>
              </w:rPr>
              <w:t>Customs Authority</w:t>
            </w:r>
          </w:p>
        </w:tc>
        <w:tc>
          <w:tcPr>
            <w:tcW w:w="1560" w:type="dxa"/>
            <w:tcBorders>
              <w:top w:val="single" w:sz="4" w:space="0" w:color="auto"/>
              <w:bottom w:val="single" w:sz="12" w:space="0" w:color="auto"/>
            </w:tcBorders>
            <w:shd w:val="clear" w:color="auto" w:fill="auto"/>
            <w:vAlign w:val="bottom"/>
          </w:tcPr>
          <w:p w:rsidR="00845197" w:rsidRPr="00845197" w:rsidRDefault="00845197" w:rsidP="00845197">
            <w:pPr>
              <w:spacing w:before="80" w:after="80" w:line="200" w:lineRule="exact"/>
              <w:ind w:right="113"/>
              <w:rPr>
                <w:i/>
                <w:sz w:val="16"/>
              </w:rPr>
            </w:pPr>
            <w:r w:rsidRPr="00845197">
              <w:rPr>
                <w:i/>
                <w:sz w:val="16"/>
              </w:rPr>
              <w:t>Shipping Company</w:t>
            </w:r>
          </w:p>
        </w:tc>
        <w:tc>
          <w:tcPr>
            <w:tcW w:w="1559" w:type="dxa"/>
            <w:tcBorders>
              <w:top w:val="single" w:sz="4" w:space="0" w:color="auto"/>
              <w:bottom w:val="single" w:sz="12" w:space="0" w:color="auto"/>
            </w:tcBorders>
            <w:shd w:val="clear" w:color="auto" w:fill="auto"/>
            <w:vAlign w:val="bottom"/>
          </w:tcPr>
          <w:p w:rsidR="00845197" w:rsidRPr="00845197" w:rsidRDefault="00845197" w:rsidP="00845197">
            <w:pPr>
              <w:spacing w:before="80" w:after="80" w:line="200" w:lineRule="exact"/>
              <w:ind w:right="113"/>
              <w:rPr>
                <w:i/>
                <w:sz w:val="16"/>
              </w:rPr>
            </w:pPr>
            <w:r w:rsidRPr="00845197">
              <w:rPr>
                <w:i/>
                <w:sz w:val="16"/>
              </w:rPr>
              <w:t>Freight Forwarder</w:t>
            </w:r>
          </w:p>
        </w:tc>
        <w:tc>
          <w:tcPr>
            <w:tcW w:w="1724" w:type="dxa"/>
            <w:tcBorders>
              <w:top w:val="single" w:sz="4" w:space="0" w:color="auto"/>
              <w:bottom w:val="single" w:sz="12" w:space="0" w:color="auto"/>
            </w:tcBorders>
            <w:shd w:val="clear" w:color="auto" w:fill="auto"/>
            <w:vAlign w:val="bottom"/>
          </w:tcPr>
          <w:p w:rsidR="00845197" w:rsidRPr="00845197" w:rsidRDefault="00845197" w:rsidP="00845197">
            <w:pPr>
              <w:spacing w:before="80" w:after="80" w:line="200" w:lineRule="exact"/>
              <w:ind w:right="113"/>
              <w:rPr>
                <w:i/>
                <w:sz w:val="16"/>
              </w:rPr>
            </w:pPr>
            <w:r w:rsidRPr="00845197">
              <w:rPr>
                <w:i/>
                <w:sz w:val="16"/>
              </w:rPr>
              <w:t>Public Organization</w:t>
            </w:r>
          </w:p>
        </w:tc>
        <w:tc>
          <w:tcPr>
            <w:tcW w:w="1394" w:type="dxa"/>
            <w:tcBorders>
              <w:top w:val="single" w:sz="4" w:space="0" w:color="auto"/>
              <w:bottom w:val="single" w:sz="12" w:space="0" w:color="auto"/>
            </w:tcBorders>
            <w:shd w:val="clear" w:color="auto" w:fill="auto"/>
            <w:vAlign w:val="bottom"/>
          </w:tcPr>
          <w:p w:rsidR="00845197" w:rsidRPr="00845197" w:rsidRDefault="00845197" w:rsidP="007864D5">
            <w:pPr>
              <w:spacing w:before="80" w:after="80" w:line="200" w:lineRule="exact"/>
              <w:ind w:right="113"/>
              <w:rPr>
                <w:i/>
                <w:sz w:val="16"/>
              </w:rPr>
            </w:pPr>
            <w:r w:rsidRPr="00845197">
              <w:rPr>
                <w:i/>
                <w:sz w:val="16"/>
              </w:rPr>
              <w:t>Research/Academia</w:t>
            </w:r>
          </w:p>
        </w:tc>
      </w:tr>
      <w:tr w:rsidR="00845197" w:rsidRPr="00845197" w:rsidTr="007864D5">
        <w:trPr>
          <w:jc w:val="center"/>
        </w:trPr>
        <w:tc>
          <w:tcPr>
            <w:tcW w:w="1701"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Assess my port operations</w:t>
            </w:r>
          </w:p>
          <w:p w:rsidR="00845197" w:rsidRDefault="00845197" w:rsidP="007529BF">
            <w:pPr>
              <w:pStyle w:val="ListParagraph"/>
              <w:numPr>
                <w:ilvl w:val="0"/>
                <w:numId w:val="38"/>
              </w:numPr>
              <w:tabs>
                <w:tab w:val="left" w:pos="284"/>
              </w:tabs>
              <w:spacing w:before="40" w:after="120"/>
              <w:ind w:left="0" w:right="113" w:firstLine="0"/>
            </w:pPr>
            <w:r>
              <w:t>Learn European best practices</w:t>
            </w:r>
          </w:p>
          <w:p w:rsidR="00845197" w:rsidRDefault="00845197" w:rsidP="007529BF">
            <w:pPr>
              <w:pStyle w:val="ListParagraph"/>
              <w:numPr>
                <w:ilvl w:val="0"/>
                <w:numId w:val="38"/>
              </w:numPr>
              <w:tabs>
                <w:tab w:val="left" w:pos="284"/>
              </w:tabs>
              <w:spacing w:before="40" w:after="120"/>
              <w:ind w:left="0" w:right="113" w:firstLine="0"/>
            </w:pPr>
            <w:r>
              <w:t>Exchange knowledge &amp; opinions</w:t>
            </w:r>
          </w:p>
          <w:p w:rsidR="00845197" w:rsidRPr="00845197" w:rsidRDefault="00845197" w:rsidP="007529BF">
            <w:pPr>
              <w:pStyle w:val="ListParagraph"/>
              <w:numPr>
                <w:ilvl w:val="0"/>
                <w:numId w:val="38"/>
              </w:numPr>
              <w:tabs>
                <w:tab w:val="left" w:pos="284"/>
              </w:tabs>
              <w:spacing w:before="40" w:after="120"/>
              <w:ind w:left="0" w:right="113" w:firstLine="0"/>
            </w:pPr>
            <w:r>
              <w:t>Discover hinterland / intermodal areas</w:t>
            </w:r>
          </w:p>
        </w:tc>
        <w:tc>
          <w:tcPr>
            <w:tcW w:w="1701"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Assess my customs procedures</w:t>
            </w:r>
          </w:p>
          <w:p w:rsidR="00845197" w:rsidRDefault="00845197" w:rsidP="007529BF">
            <w:pPr>
              <w:pStyle w:val="ListParagraph"/>
              <w:numPr>
                <w:ilvl w:val="0"/>
                <w:numId w:val="38"/>
              </w:numPr>
              <w:tabs>
                <w:tab w:val="left" w:pos="284"/>
              </w:tabs>
              <w:spacing w:before="40" w:after="120"/>
              <w:ind w:left="0" w:right="113" w:firstLine="0"/>
            </w:pPr>
            <w:r>
              <w:t>Get to know my port</w:t>
            </w:r>
            <w:r w:rsidR="007864D5">
              <w:t xml:space="preserve"> </w:t>
            </w:r>
            <w:r>
              <w:t>community</w:t>
            </w:r>
          </w:p>
          <w:p w:rsidR="00845197" w:rsidRPr="00845197" w:rsidRDefault="00845197" w:rsidP="007529BF">
            <w:pPr>
              <w:pStyle w:val="ListParagraph"/>
              <w:numPr>
                <w:ilvl w:val="0"/>
                <w:numId w:val="38"/>
              </w:numPr>
              <w:tabs>
                <w:tab w:val="left" w:pos="284"/>
              </w:tabs>
              <w:spacing w:before="40" w:after="120"/>
              <w:ind w:left="0" w:right="113" w:firstLine="0"/>
            </w:pPr>
            <w:r>
              <w:t>Exchange knowledge &amp;</w:t>
            </w:r>
            <w:r w:rsidR="007864D5">
              <w:t xml:space="preserve"> </w:t>
            </w:r>
            <w:r>
              <w:t>opinions</w:t>
            </w:r>
          </w:p>
        </w:tc>
        <w:tc>
          <w:tcPr>
            <w:tcW w:w="1560"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Learn European best practices</w:t>
            </w:r>
          </w:p>
          <w:p w:rsidR="00845197" w:rsidRDefault="00845197" w:rsidP="007529BF">
            <w:pPr>
              <w:pStyle w:val="ListParagraph"/>
              <w:numPr>
                <w:ilvl w:val="0"/>
                <w:numId w:val="38"/>
              </w:numPr>
              <w:tabs>
                <w:tab w:val="left" w:pos="284"/>
              </w:tabs>
              <w:spacing w:before="40" w:after="120"/>
              <w:ind w:left="0" w:right="113" w:firstLine="0"/>
            </w:pPr>
            <w:r>
              <w:t>Get to know my port</w:t>
            </w:r>
            <w:r w:rsidR="007864D5">
              <w:t xml:space="preserve"> </w:t>
            </w:r>
            <w:r>
              <w:t>community</w:t>
            </w:r>
          </w:p>
          <w:p w:rsidR="00845197" w:rsidRPr="00845197" w:rsidRDefault="00845197" w:rsidP="007529BF">
            <w:pPr>
              <w:pStyle w:val="ListParagraph"/>
              <w:numPr>
                <w:ilvl w:val="0"/>
                <w:numId w:val="38"/>
              </w:numPr>
              <w:tabs>
                <w:tab w:val="left" w:pos="284"/>
              </w:tabs>
              <w:spacing w:before="40" w:after="120"/>
              <w:ind w:left="0" w:right="113" w:firstLine="0"/>
            </w:pPr>
            <w:r>
              <w:t>Exchange knowledge &amp;</w:t>
            </w:r>
            <w:r w:rsidR="007864D5">
              <w:t xml:space="preserve"> </w:t>
            </w:r>
            <w:r>
              <w:t>opinions</w:t>
            </w:r>
          </w:p>
        </w:tc>
        <w:tc>
          <w:tcPr>
            <w:tcW w:w="1559"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Learn European best practices</w:t>
            </w:r>
          </w:p>
          <w:p w:rsidR="00845197" w:rsidRDefault="00845197" w:rsidP="007529BF">
            <w:pPr>
              <w:pStyle w:val="ListParagraph"/>
              <w:numPr>
                <w:ilvl w:val="0"/>
                <w:numId w:val="38"/>
              </w:numPr>
              <w:tabs>
                <w:tab w:val="left" w:pos="284"/>
              </w:tabs>
              <w:spacing w:before="40" w:after="120"/>
              <w:ind w:left="0" w:right="113" w:firstLine="0"/>
            </w:pPr>
            <w:r>
              <w:t>Get to know my port</w:t>
            </w:r>
            <w:r w:rsidR="007864D5">
              <w:t xml:space="preserve"> </w:t>
            </w:r>
            <w:r>
              <w:t>community</w:t>
            </w:r>
          </w:p>
          <w:p w:rsidR="00845197" w:rsidRPr="00845197" w:rsidRDefault="00845197" w:rsidP="007529BF">
            <w:pPr>
              <w:pStyle w:val="ListParagraph"/>
              <w:numPr>
                <w:ilvl w:val="0"/>
                <w:numId w:val="38"/>
              </w:numPr>
              <w:tabs>
                <w:tab w:val="left" w:pos="284"/>
              </w:tabs>
              <w:spacing w:before="40" w:after="120"/>
              <w:ind w:left="0" w:right="113" w:firstLine="0"/>
            </w:pPr>
            <w:r>
              <w:t>Exchange knowledge &amp;</w:t>
            </w:r>
            <w:r w:rsidR="007864D5">
              <w:t xml:space="preserve"> </w:t>
            </w:r>
            <w:r>
              <w:t>opinions</w:t>
            </w:r>
          </w:p>
        </w:tc>
        <w:tc>
          <w:tcPr>
            <w:tcW w:w="1724"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Learn European best practices</w:t>
            </w:r>
          </w:p>
          <w:p w:rsidR="00845197" w:rsidRDefault="00845197" w:rsidP="007529BF">
            <w:pPr>
              <w:pStyle w:val="ListParagraph"/>
              <w:numPr>
                <w:ilvl w:val="0"/>
                <w:numId w:val="38"/>
              </w:numPr>
              <w:tabs>
                <w:tab w:val="left" w:pos="284"/>
              </w:tabs>
              <w:spacing w:before="40" w:after="120"/>
              <w:ind w:left="0" w:right="113" w:firstLine="0"/>
            </w:pPr>
            <w:r>
              <w:t>Utilize database</w:t>
            </w:r>
          </w:p>
          <w:p w:rsidR="00845197" w:rsidRPr="00845197" w:rsidRDefault="00845197" w:rsidP="007529BF">
            <w:pPr>
              <w:pStyle w:val="ListParagraph"/>
              <w:numPr>
                <w:ilvl w:val="0"/>
                <w:numId w:val="38"/>
              </w:numPr>
              <w:tabs>
                <w:tab w:val="left" w:pos="284"/>
              </w:tabs>
              <w:spacing w:before="40" w:after="120"/>
              <w:ind w:left="0" w:right="113" w:firstLine="0"/>
            </w:pPr>
            <w:r>
              <w:t>Exchange knowledge &amp;</w:t>
            </w:r>
            <w:r w:rsidR="007864D5">
              <w:t xml:space="preserve"> </w:t>
            </w:r>
            <w:r>
              <w:t>opinions</w:t>
            </w:r>
          </w:p>
        </w:tc>
        <w:tc>
          <w:tcPr>
            <w:tcW w:w="1394" w:type="dxa"/>
            <w:tcBorders>
              <w:top w:val="single" w:sz="12" w:space="0" w:color="auto"/>
              <w:bottom w:val="single" w:sz="12" w:space="0" w:color="auto"/>
            </w:tcBorders>
            <w:shd w:val="clear" w:color="auto" w:fill="auto"/>
          </w:tcPr>
          <w:p w:rsidR="00845197" w:rsidRDefault="00845197" w:rsidP="007529BF">
            <w:pPr>
              <w:pStyle w:val="ListParagraph"/>
              <w:numPr>
                <w:ilvl w:val="0"/>
                <w:numId w:val="38"/>
              </w:numPr>
              <w:tabs>
                <w:tab w:val="left" w:pos="284"/>
              </w:tabs>
              <w:spacing w:before="40" w:after="120"/>
              <w:ind w:left="0" w:right="113" w:firstLine="0"/>
            </w:pPr>
            <w:r>
              <w:t>Learn European best practices</w:t>
            </w:r>
          </w:p>
          <w:p w:rsidR="00845197" w:rsidRDefault="00845197" w:rsidP="007529BF">
            <w:pPr>
              <w:pStyle w:val="ListParagraph"/>
              <w:numPr>
                <w:ilvl w:val="0"/>
                <w:numId w:val="38"/>
              </w:numPr>
              <w:tabs>
                <w:tab w:val="left" w:pos="284"/>
              </w:tabs>
              <w:spacing w:before="40" w:after="120"/>
              <w:ind w:left="0" w:right="113" w:firstLine="0"/>
            </w:pPr>
            <w:r>
              <w:t>Utilize database</w:t>
            </w:r>
          </w:p>
          <w:p w:rsidR="00845197" w:rsidRPr="00845197" w:rsidRDefault="00845197" w:rsidP="007529BF">
            <w:pPr>
              <w:pStyle w:val="ListParagraph"/>
              <w:numPr>
                <w:ilvl w:val="0"/>
                <w:numId w:val="38"/>
              </w:numPr>
              <w:tabs>
                <w:tab w:val="left" w:pos="284"/>
              </w:tabs>
              <w:spacing w:before="40" w:after="120"/>
              <w:ind w:left="0" w:right="113" w:firstLine="0"/>
            </w:pPr>
            <w:r>
              <w:t>Exchange knowledge &amp;</w:t>
            </w:r>
            <w:r w:rsidR="007864D5">
              <w:t xml:space="preserve"> </w:t>
            </w:r>
            <w:r>
              <w:t>opinions</w:t>
            </w:r>
          </w:p>
        </w:tc>
      </w:tr>
    </w:tbl>
    <w:p w:rsidR="00CB233C" w:rsidRPr="00CB233C" w:rsidRDefault="00B37AC2" w:rsidP="00845197">
      <w:pPr>
        <w:pStyle w:val="SingleTxtG"/>
        <w:spacing w:before="120"/>
        <w:rPr>
          <w:lang w:val="en-US" w:bidi="th-TH"/>
        </w:rPr>
      </w:pPr>
      <w:r>
        <w:rPr>
          <w:lang w:val="en-US" w:bidi="th-TH"/>
        </w:rPr>
        <w:t>5.</w:t>
      </w:r>
      <w:r w:rsidR="00CB233C">
        <w:rPr>
          <w:lang w:val="en-US" w:bidi="th-TH"/>
        </w:rPr>
        <w:tab/>
      </w:r>
      <w:r w:rsidR="00CB233C" w:rsidRPr="00CB233C">
        <w:rPr>
          <w:lang w:val="en-US" w:bidi="th-TH"/>
        </w:rPr>
        <w:t>The Port Operations Observatory has achieved the following:</w:t>
      </w:r>
    </w:p>
    <w:p w:rsidR="00CB233C" w:rsidRPr="00B37AC2" w:rsidRDefault="00B37AC2" w:rsidP="00B37AC2">
      <w:pPr>
        <w:pStyle w:val="SingleTxtG"/>
        <w:ind w:firstLine="567"/>
      </w:pPr>
      <w:r>
        <w:t>(a)</w:t>
      </w:r>
      <w:r>
        <w:tab/>
      </w:r>
      <w:r w:rsidR="00CB233C" w:rsidRPr="00B37AC2">
        <w:t>A Reporting and Monitoring based on the Performance Indicators for each port, updated through the development of an Internet agent (software carrying out information filtering and information retrieval from Internet sources);</w:t>
      </w:r>
    </w:p>
    <w:p w:rsidR="00CB233C" w:rsidRPr="00B37AC2" w:rsidRDefault="00B37AC2" w:rsidP="00B37AC2">
      <w:pPr>
        <w:pStyle w:val="SingleTxtG"/>
        <w:ind w:firstLine="567"/>
      </w:pPr>
      <w:r>
        <w:t>(b)</w:t>
      </w:r>
      <w:r>
        <w:tab/>
      </w:r>
      <w:r w:rsidR="00CB233C" w:rsidRPr="00B37AC2">
        <w:t>A Database associated to port operations, cargo flows, shipping lines, qualification, status of expansion plans, hinterland network structure and flows etc. for all participating ports;</w:t>
      </w:r>
    </w:p>
    <w:p w:rsidR="00CB233C" w:rsidRPr="00B37AC2" w:rsidRDefault="00B37AC2" w:rsidP="00B37AC2">
      <w:pPr>
        <w:pStyle w:val="SingleTxtG"/>
        <w:ind w:firstLine="567"/>
      </w:pPr>
      <w:r>
        <w:t>(c)</w:t>
      </w:r>
      <w:r>
        <w:tab/>
      </w:r>
      <w:r w:rsidR="00CB233C" w:rsidRPr="00B37AC2">
        <w:t>A Communication platform creating new interactions and cooperation between port authorities and stakeholders at regional, national and European level;</w:t>
      </w:r>
    </w:p>
    <w:p w:rsidR="00CB233C" w:rsidRPr="00B37AC2" w:rsidRDefault="00B37AC2" w:rsidP="00B37AC2">
      <w:pPr>
        <w:pStyle w:val="SingleTxtG"/>
        <w:ind w:firstLine="567"/>
      </w:pPr>
      <w:r>
        <w:t>(d)</w:t>
      </w:r>
      <w:r>
        <w:tab/>
      </w:r>
      <w:r w:rsidR="00CB233C" w:rsidRPr="00B37AC2">
        <w:t>The Reference Library containing (a) legislation, guidelines, projects/studies related to port operations, custom procedures, port formalities, safety/security issues etc., (b) recommendations and best practices, (c) trade and transport statistics, through links (like world port source, world port index etc.) and data providers (e.g. Eurostat for freight and transport mode).</w:t>
      </w:r>
    </w:p>
    <w:p w:rsidR="0025278E" w:rsidRDefault="00B37AC2" w:rsidP="00B37AC2">
      <w:pPr>
        <w:pStyle w:val="SingleTxtG"/>
        <w:ind w:firstLine="567"/>
        <w:rPr>
          <w:lang w:val="en-US" w:bidi="th-TH"/>
        </w:rPr>
      </w:pPr>
      <w:r>
        <w:t>(e)</w:t>
      </w:r>
      <w:r>
        <w:tab/>
      </w:r>
      <w:r w:rsidR="00CB233C" w:rsidRPr="00B37AC2">
        <w:t xml:space="preserve">In accordance with the results obtained from the application of the statistical </w:t>
      </w:r>
      <w:proofErr w:type="spellStart"/>
      <w:r w:rsidR="00CB233C" w:rsidRPr="00B37AC2">
        <w:t>modeling</w:t>
      </w:r>
      <w:proofErr w:type="spellEnd"/>
      <w:r w:rsidR="00CB233C" w:rsidRPr="00B37AC2">
        <w:t xml:space="preserve"> analysis, the magnitude of the required improvements for a specific port to reach the status of best practice will be defined. Consideration will also be given to their impacts. The port that encompasses the best practices for each of the items considered will constitute the “ideal port”, which is a virtual port.</w:t>
      </w:r>
    </w:p>
    <w:p w:rsidR="00EC4F7A" w:rsidRPr="009233D9" w:rsidRDefault="00EC4F7A" w:rsidP="00EC4F7A">
      <w:pPr>
        <w:pStyle w:val="HChG"/>
      </w:pPr>
      <w:r>
        <w:tab/>
      </w:r>
      <w:r w:rsidRPr="009233D9">
        <w:t>I</w:t>
      </w:r>
      <w:r>
        <w:t>II</w:t>
      </w:r>
      <w:r w:rsidRPr="009233D9">
        <w:t>.</w:t>
      </w:r>
      <w:r w:rsidRPr="009233D9">
        <w:tab/>
        <w:t>Guidance by WP.5</w:t>
      </w:r>
    </w:p>
    <w:p w:rsidR="00EC4F7A" w:rsidRDefault="00EC4F7A" w:rsidP="007529BF">
      <w:pPr>
        <w:pStyle w:val="SingleTxtG"/>
      </w:pPr>
      <w:r w:rsidRPr="006B096B">
        <w:t>6.</w:t>
      </w:r>
      <w:r w:rsidRPr="006B096B">
        <w:tab/>
        <w:t xml:space="preserve">The Working Party at its last year’s session took note of the ports hinterland connections observatory prepared by </w:t>
      </w:r>
      <w:proofErr w:type="spellStart"/>
      <w:r w:rsidRPr="006B096B">
        <w:t>MedNet</w:t>
      </w:r>
      <w:proofErr w:type="spellEnd"/>
      <w:r w:rsidRPr="006B096B">
        <w:t xml:space="preserve"> programme. It requested the secretariat to examine the possibilities on how the working party could further cooperate with </w:t>
      </w:r>
      <w:proofErr w:type="spellStart"/>
      <w:r w:rsidRPr="006B096B">
        <w:t>MedNet</w:t>
      </w:r>
      <w:proofErr w:type="spellEnd"/>
      <w:r w:rsidRPr="006B096B">
        <w:t xml:space="preserve"> programme and its observatory on ports hinterland connections and present at the next session for consideration. </w:t>
      </w:r>
      <w:proofErr w:type="spellStart"/>
      <w:r w:rsidRPr="006B096B">
        <w:t>WP.5</w:t>
      </w:r>
      <w:proofErr w:type="spellEnd"/>
      <w:r w:rsidRPr="006B096B">
        <w:t xml:space="preserve"> may wish to consider the above information regarding </w:t>
      </w:r>
      <w:r w:rsidRPr="006B096B">
        <w:lastRenderedPageBreak/>
        <w:t>Observatory’s structure and services and may wish to provide guidance to the secretariat on further action in this field.</w:t>
      </w:r>
    </w:p>
    <w:p w:rsidR="007529BF" w:rsidRPr="007529BF" w:rsidRDefault="007529BF" w:rsidP="007529BF">
      <w:pPr>
        <w:pStyle w:val="SingleTxtG"/>
        <w:spacing w:before="240" w:after="0"/>
        <w:jc w:val="center"/>
        <w:rPr>
          <w:u w:val="single"/>
        </w:rPr>
      </w:pPr>
      <w:r>
        <w:rPr>
          <w:u w:val="single"/>
        </w:rPr>
        <w:tab/>
      </w:r>
      <w:r>
        <w:rPr>
          <w:u w:val="single"/>
        </w:rPr>
        <w:tab/>
      </w:r>
      <w:r>
        <w:rPr>
          <w:u w:val="single"/>
        </w:rPr>
        <w:tab/>
      </w:r>
    </w:p>
    <w:sectPr w:rsidR="007529BF" w:rsidRPr="007529BF" w:rsidSect="00DA75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7D" w:rsidRDefault="004A077D"/>
  </w:endnote>
  <w:endnote w:type="continuationSeparator" w:id="0">
    <w:p w:rsidR="004A077D" w:rsidRDefault="004A077D"/>
  </w:endnote>
  <w:endnote w:type="continuationNotice" w:id="1">
    <w:p w:rsidR="004A077D" w:rsidRDefault="004A0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sz w:val="18"/>
      </w:rPr>
    </w:pPr>
    <w:r w:rsidRPr="00DA75B8">
      <w:rPr>
        <w:b/>
        <w:sz w:val="18"/>
      </w:rPr>
      <w:fldChar w:fldCharType="begin"/>
    </w:r>
    <w:r w:rsidRPr="00DA75B8">
      <w:rPr>
        <w:b/>
        <w:sz w:val="18"/>
      </w:rPr>
      <w:instrText xml:space="preserve"> PAGE  \* MERGEFORMAT </w:instrText>
    </w:r>
    <w:r w:rsidRPr="00DA75B8">
      <w:rPr>
        <w:b/>
        <w:sz w:val="18"/>
      </w:rPr>
      <w:fldChar w:fldCharType="separate"/>
    </w:r>
    <w:r w:rsidR="006D2959">
      <w:rPr>
        <w:b/>
        <w:noProof/>
        <w:sz w:val="18"/>
      </w:rPr>
      <w:t>2</w:t>
    </w:r>
    <w:r w:rsidRPr="00DA75B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b/>
        <w:sz w:val="18"/>
      </w:rPr>
    </w:pPr>
    <w:r>
      <w:tab/>
    </w:r>
    <w:r w:rsidRPr="00DA75B8">
      <w:rPr>
        <w:b/>
        <w:sz w:val="18"/>
      </w:rPr>
      <w:fldChar w:fldCharType="begin"/>
    </w:r>
    <w:r w:rsidRPr="00DA75B8">
      <w:rPr>
        <w:b/>
        <w:sz w:val="18"/>
      </w:rPr>
      <w:instrText xml:space="preserve"> PAGE  \* MERGEFORMAT </w:instrText>
    </w:r>
    <w:r w:rsidRPr="00DA75B8">
      <w:rPr>
        <w:b/>
        <w:sz w:val="18"/>
      </w:rPr>
      <w:fldChar w:fldCharType="separate"/>
    </w:r>
    <w:r w:rsidR="006D2959">
      <w:rPr>
        <w:b/>
        <w:noProof/>
        <w:sz w:val="18"/>
      </w:rPr>
      <w:t>3</w:t>
    </w:r>
    <w:r w:rsidRPr="00DA75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DE2F85">
    <w:pPr>
      <w:pStyle w:val="Footer"/>
      <w:rPr>
        <w:sz w:val="20"/>
      </w:rPr>
    </w:pPr>
    <w:r>
      <w:rPr>
        <w:noProof/>
        <w:sz w:val="20"/>
        <w:lang w:eastAsia="en-GB"/>
      </w:rPr>
      <w:drawing>
        <wp:anchor distT="0" distB="0" distL="114300" distR="114300" simplePos="0" relativeHeight="251657728" behindDoc="0" locked="0" layoutInCell="1" allowOverlap="1" wp14:anchorId="3E4E3E9F" wp14:editId="5AC53B18">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381C">
      <w:rPr>
        <w:sz w:val="20"/>
      </w:rPr>
      <w:t>GE.1</w:t>
    </w:r>
    <w:r w:rsidR="008206AF">
      <w:rPr>
        <w:sz w:val="20"/>
      </w:rPr>
      <w:t>5</w:t>
    </w:r>
    <w:proofErr w:type="spellEnd"/>
    <w:r w:rsidR="00AD381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7D" w:rsidRPr="000B175B" w:rsidRDefault="004A077D" w:rsidP="000B175B">
      <w:pPr>
        <w:tabs>
          <w:tab w:val="right" w:pos="2155"/>
        </w:tabs>
        <w:spacing w:after="80"/>
        <w:ind w:left="680"/>
        <w:rPr>
          <w:u w:val="single"/>
        </w:rPr>
      </w:pPr>
      <w:r>
        <w:rPr>
          <w:u w:val="single"/>
        </w:rPr>
        <w:tab/>
      </w:r>
    </w:p>
  </w:footnote>
  <w:footnote w:type="continuationSeparator" w:id="0">
    <w:p w:rsidR="004A077D" w:rsidRPr="00FC68B7" w:rsidRDefault="004A077D" w:rsidP="00FC68B7">
      <w:pPr>
        <w:tabs>
          <w:tab w:val="left" w:pos="2155"/>
        </w:tabs>
        <w:spacing w:after="80"/>
        <w:ind w:left="680"/>
        <w:rPr>
          <w:u w:val="single"/>
        </w:rPr>
      </w:pPr>
      <w:r>
        <w:rPr>
          <w:u w:val="single"/>
        </w:rPr>
        <w:tab/>
      </w:r>
    </w:p>
  </w:footnote>
  <w:footnote w:type="continuationNotice" w:id="1">
    <w:p w:rsidR="004A077D" w:rsidRDefault="004A077D"/>
  </w:footnote>
  <w:footnote w:id="2">
    <w:p w:rsidR="00E0016C" w:rsidRPr="00E0016C" w:rsidRDefault="00E0016C">
      <w:pPr>
        <w:pStyle w:val="FootnoteText"/>
        <w:rPr>
          <w:lang w:val="en-US"/>
        </w:rPr>
      </w:pPr>
      <w:r>
        <w:rPr>
          <w:rStyle w:val="FootnoteReference"/>
        </w:rPr>
        <w:tab/>
      </w:r>
      <w:r w:rsidRPr="00E0016C">
        <w:rPr>
          <w:rStyle w:val="FootnoteReference"/>
          <w:sz w:val="20"/>
          <w:vertAlign w:val="baseline"/>
        </w:rPr>
        <w:t>*</w:t>
      </w:r>
      <w:r>
        <w:rPr>
          <w:rStyle w:val="FootnoteReference"/>
          <w:sz w:val="20"/>
          <w:vertAlign w:val="baseline"/>
        </w:rPr>
        <w:tab/>
      </w:r>
      <w:r w:rsidRPr="00E0016C">
        <w:rPr>
          <w:sz w:val="20"/>
        </w:rPr>
        <w:t>The present document was not edited before being sent to the United Nations translation services.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pPr>
      <w:pStyle w:val="Header"/>
    </w:pPr>
    <w:r>
      <w:t>ECE/TRANS/WP.5/201</w:t>
    </w:r>
    <w:r w:rsidR="00FB52D8">
      <w:t>5</w:t>
    </w:r>
    <w:r>
      <w:t>/</w:t>
    </w:r>
    <w:r w:rsidR="00FD037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Header"/>
      <w:jc w:val="right"/>
    </w:pPr>
    <w:r>
      <w:t>ECE/TRANS/WP.5/201</w:t>
    </w:r>
    <w:r w:rsidR="00FB2E2E">
      <w:t>5</w:t>
    </w:r>
    <w:r>
      <w:t>/</w:t>
    </w:r>
    <w:r w:rsidR="00FD037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87D33"/>
    <w:multiLevelType w:val="hybridMultilevel"/>
    <w:tmpl w:val="BB28980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2035417"/>
    <w:multiLevelType w:val="hybridMultilevel"/>
    <w:tmpl w:val="58C6233C"/>
    <w:lvl w:ilvl="0" w:tplc="FAE4B37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EA3290"/>
    <w:multiLevelType w:val="hybridMultilevel"/>
    <w:tmpl w:val="16729C58"/>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0A1B6D8D"/>
    <w:multiLevelType w:val="hybridMultilevel"/>
    <w:tmpl w:val="ACAE0746"/>
    <w:lvl w:ilvl="0" w:tplc="4352F5BA">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0B490EAE"/>
    <w:multiLevelType w:val="hybridMultilevel"/>
    <w:tmpl w:val="D94AABFA"/>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3C77A2A"/>
    <w:multiLevelType w:val="hybridMultilevel"/>
    <w:tmpl w:val="D178694C"/>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6131A7F"/>
    <w:multiLevelType w:val="hybridMultilevel"/>
    <w:tmpl w:val="73DC4B4E"/>
    <w:lvl w:ilvl="0" w:tplc="08090001">
      <w:start w:val="1"/>
      <w:numFmt w:val="bullet"/>
      <w:lvlText w:val=""/>
      <w:lvlJc w:val="left"/>
      <w:pPr>
        <w:ind w:left="360" w:hanging="360"/>
      </w:pPr>
      <w:rPr>
        <w:rFonts w:ascii="Symbol" w:hAnsi="Symbol" w:hint="default"/>
      </w:rPr>
    </w:lvl>
    <w:lvl w:ilvl="1" w:tplc="4F1C783C">
      <w:start w:val="2"/>
      <w:numFmt w:val="bullet"/>
      <w:lvlText w:val="-"/>
      <w:lvlJc w:val="left"/>
      <w:pPr>
        <w:ind w:left="1080" w:hanging="360"/>
      </w:pPr>
      <w:rPr>
        <w:rFonts w:ascii="Arial" w:eastAsia="Arial Unicode MS" w:hAnsi="Arial" w:cs="Arial" w:hint="default"/>
        <w:b/>
      </w:rPr>
    </w:lvl>
    <w:lvl w:ilvl="2" w:tplc="D51058A8">
      <w:start w:val="2"/>
      <w:numFmt w:val="bullet"/>
      <w:lvlText w:val="•"/>
      <w:lvlJc w:val="left"/>
      <w:pPr>
        <w:ind w:left="1800" w:hanging="360"/>
      </w:pPr>
      <w:rPr>
        <w:rFonts w:ascii="Arial" w:eastAsia="Arial Unicode MS" w:hAnsi="Arial" w:cs="Arial" w:hint="default"/>
        <w:sz w:val="22"/>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7664DFB"/>
    <w:multiLevelType w:val="hybridMultilevel"/>
    <w:tmpl w:val="9B22E06A"/>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19784FF0"/>
    <w:multiLevelType w:val="hybridMultilevel"/>
    <w:tmpl w:val="91B08A9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263795"/>
    <w:multiLevelType w:val="hybridMultilevel"/>
    <w:tmpl w:val="8BD6013C"/>
    <w:lvl w:ilvl="0" w:tplc="B2141C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497C5F"/>
    <w:multiLevelType w:val="hybridMultilevel"/>
    <w:tmpl w:val="02D62940"/>
    <w:lvl w:ilvl="0" w:tplc="574A0D7E">
      <w:start w:val="1"/>
      <w:numFmt w:val="bullet"/>
      <w:lvlText w:val=""/>
      <w:lvlJc w:val="left"/>
      <w:pPr>
        <w:ind w:left="1854" w:hanging="360"/>
      </w:pPr>
      <w:rPr>
        <w:rFonts w:ascii="Symbol" w:hAnsi="Symbol" w:hint="default"/>
        <w:color w:val="auto"/>
      </w:rPr>
    </w:lvl>
    <w:lvl w:ilvl="1" w:tplc="E97CD5F6">
      <w:numFmt w:val="bullet"/>
      <w:lvlText w:val="•"/>
      <w:lvlJc w:val="left"/>
      <w:pPr>
        <w:ind w:left="2769" w:hanging="555"/>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2E175792"/>
    <w:multiLevelType w:val="hybridMultilevel"/>
    <w:tmpl w:val="665431D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2A276C"/>
    <w:multiLevelType w:val="hybridMultilevel"/>
    <w:tmpl w:val="ACE2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B2C27"/>
    <w:multiLevelType w:val="hybridMultilevel"/>
    <w:tmpl w:val="2B6419E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BB05165"/>
    <w:multiLevelType w:val="hybridMultilevel"/>
    <w:tmpl w:val="C30C5E80"/>
    <w:lvl w:ilvl="0" w:tplc="52D2AFD2">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1">
    <w:nsid w:val="4C3D0B94"/>
    <w:multiLevelType w:val="hybridMultilevel"/>
    <w:tmpl w:val="E27E996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5E010CCE"/>
    <w:multiLevelType w:val="hybridMultilevel"/>
    <w:tmpl w:val="B4E2E5F4"/>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37521F0"/>
    <w:multiLevelType w:val="hybridMultilevel"/>
    <w:tmpl w:val="58CAB7BC"/>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A6B2FBB"/>
    <w:multiLevelType w:val="hybridMultilevel"/>
    <w:tmpl w:val="F3A83EC2"/>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7C5105C9"/>
    <w:multiLevelType w:val="hybridMultilevel"/>
    <w:tmpl w:val="F0E89A2A"/>
    <w:lvl w:ilvl="0" w:tplc="23B8C50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3"/>
  </w:num>
  <w:num w:numId="13">
    <w:abstractNumId w:val="10"/>
  </w:num>
  <w:num w:numId="14">
    <w:abstractNumId w:val="21"/>
  </w:num>
  <w:num w:numId="15">
    <w:abstractNumId w:val="29"/>
  </w:num>
  <w:num w:numId="16">
    <w:abstractNumId w:val="22"/>
  </w:num>
  <w:num w:numId="17">
    <w:abstractNumId w:val="33"/>
  </w:num>
  <w:num w:numId="18">
    <w:abstractNumId w:val="35"/>
  </w:num>
  <w:num w:numId="19">
    <w:abstractNumId w:val="36"/>
  </w:num>
  <w:num w:numId="20">
    <w:abstractNumId w:val="17"/>
  </w:num>
  <w:num w:numId="21">
    <w:abstractNumId w:val="19"/>
  </w:num>
  <w:num w:numId="22">
    <w:abstractNumId w:val="27"/>
  </w:num>
  <w:num w:numId="23">
    <w:abstractNumId w:val="20"/>
  </w:num>
  <w:num w:numId="24">
    <w:abstractNumId w:val="16"/>
  </w:num>
  <w:num w:numId="25">
    <w:abstractNumId w:val="37"/>
  </w:num>
  <w:num w:numId="26">
    <w:abstractNumId w:val="24"/>
  </w:num>
  <w:num w:numId="27">
    <w:abstractNumId w:val="14"/>
  </w:num>
  <w:num w:numId="28">
    <w:abstractNumId w:val="13"/>
  </w:num>
  <w:num w:numId="29">
    <w:abstractNumId w:val="25"/>
  </w:num>
  <w:num w:numId="30">
    <w:abstractNumId w:val="31"/>
  </w:num>
  <w:num w:numId="31">
    <w:abstractNumId w:val="11"/>
  </w:num>
  <w:num w:numId="32">
    <w:abstractNumId w:val="15"/>
  </w:num>
  <w:num w:numId="33">
    <w:abstractNumId w:val="32"/>
  </w:num>
  <w:num w:numId="34">
    <w:abstractNumId w:val="28"/>
  </w:num>
  <w:num w:numId="35">
    <w:abstractNumId w:val="18"/>
  </w:num>
  <w:num w:numId="36">
    <w:abstractNumId w:val="30"/>
  </w:num>
  <w:num w:numId="37">
    <w:abstractNumId w:val="34"/>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8"/>
    <w:rsid w:val="00002A4C"/>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662F3"/>
    <w:rsid w:val="00184DDA"/>
    <w:rsid w:val="001900CD"/>
    <w:rsid w:val="001A0452"/>
    <w:rsid w:val="001A14C6"/>
    <w:rsid w:val="001B4B04"/>
    <w:rsid w:val="001B5875"/>
    <w:rsid w:val="001C369B"/>
    <w:rsid w:val="001C4B9C"/>
    <w:rsid w:val="001C6663"/>
    <w:rsid w:val="001C7895"/>
    <w:rsid w:val="001D26DF"/>
    <w:rsid w:val="001E69D2"/>
    <w:rsid w:val="001F1599"/>
    <w:rsid w:val="001F19C4"/>
    <w:rsid w:val="00203FF9"/>
    <w:rsid w:val="002043F0"/>
    <w:rsid w:val="00211E0B"/>
    <w:rsid w:val="002235A2"/>
    <w:rsid w:val="00232575"/>
    <w:rsid w:val="00247258"/>
    <w:rsid w:val="0025278E"/>
    <w:rsid w:val="00257CAC"/>
    <w:rsid w:val="0027237A"/>
    <w:rsid w:val="002974E9"/>
    <w:rsid w:val="002A7F94"/>
    <w:rsid w:val="002B109A"/>
    <w:rsid w:val="002C6D45"/>
    <w:rsid w:val="002D6E53"/>
    <w:rsid w:val="002F046D"/>
    <w:rsid w:val="00301764"/>
    <w:rsid w:val="003229D8"/>
    <w:rsid w:val="00336C97"/>
    <w:rsid w:val="00337255"/>
    <w:rsid w:val="00337F88"/>
    <w:rsid w:val="00342432"/>
    <w:rsid w:val="0035223F"/>
    <w:rsid w:val="00352D4B"/>
    <w:rsid w:val="0035638C"/>
    <w:rsid w:val="00362E8B"/>
    <w:rsid w:val="003672C4"/>
    <w:rsid w:val="003A46BB"/>
    <w:rsid w:val="003A4EC7"/>
    <w:rsid w:val="003A7295"/>
    <w:rsid w:val="003B1F60"/>
    <w:rsid w:val="003C2CC4"/>
    <w:rsid w:val="003D4B23"/>
    <w:rsid w:val="003E278A"/>
    <w:rsid w:val="00413520"/>
    <w:rsid w:val="004325CB"/>
    <w:rsid w:val="00440A07"/>
    <w:rsid w:val="00442860"/>
    <w:rsid w:val="00462880"/>
    <w:rsid w:val="00476F24"/>
    <w:rsid w:val="004A077D"/>
    <w:rsid w:val="004A70C4"/>
    <w:rsid w:val="004C55B0"/>
    <w:rsid w:val="004D760B"/>
    <w:rsid w:val="004F6BA0"/>
    <w:rsid w:val="005002EB"/>
    <w:rsid w:val="00503BEA"/>
    <w:rsid w:val="005073DE"/>
    <w:rsid w:val="00511975"/>
    <w:rsid w:val="00533616"/>
    <w:rsid w:val="00535ABA"/>
    <w:rsid w:val="0053768B"/>
    <w:rsid w:val="005420F2"/>
    <w:rsid w:val="0054285C"/>
    <w:rsid w:val="00562FAB"/>
    <w:rsid w:val="00584173"/>
    <w:rsid w:val="00595520"/>
    <w:rsid w:val="005A44B9"/>
    <w:rsid w:val="005B1BA0"/>
    <w:rsid w:val="005B3DB3"/>
    <w:rsid w:val="005D15CA"/>
    <w:rsid w:val="005E795D"/>
    <w:rsid w:val="005F3066"/>
    <w:rsid w:val="005F3E61"/>
    <w:rsid w:val="00604DDD"/>
    <w:rsid w:val="006115CC"/>
    <w:rsid w:val="00611FC4"/>
    <w:rsid w:val="00612AB1"/>
    <w:rsid w:val="006176FB"/>
    <w:rsid w:val="00630FCB"/>
    <w:rsid w:val="00640B26"/>
    <w:rsid w:val="006770B2"/>
    <w:rsid w:val="006940E1"/>
    <w:rsid w:val="006A3C72"/>
    <w:rsid w:val="006A7392"/>
    <w:rsid w:val="006B03A1"/>
    <w:rsid w:val="006B096B"/>
    <w:rsid w:val="006B67D9"/>
    <w:rsid w:val="006C5535"/>
    <w:rsid w:val="006D0589"/>
    <w:rsid w:val="006D2959"/>
    <w:rsid w:val="006E564B"/>
    <w:rsid w:val="006E7154"/>
    <w:rsid w:val="007003CD"/>
    <w:rsid w:val="0070105D"/>
    <w:rsid w:val="0070701E"/>
    <w:rsid w:val="00721F3B"/>
    <w:rsid w:val="0072632A"/>
    <w:rsid w:val="007358E8"/>
    <w:rsid w:val="00736ECE"/>
    <w:rsid w:val="0074533B"/>
    <w:rsid w:val="00745889"/>
    <w:rsid w:val="007529BF"/>
    <w:rsid w:val="007643BC"/>
    <w:rsid w:val="007864D5"/>
    <w:rsid w:val="007959FE"/>
    <w:rsid w:val="007A0CF1"/>
    <w:rsid w:val="007B6BA5"/>
    <w:rsid w:val="007C1E4F"/>
    <w:rsid w:val="007C3390"/>
    <w:rsid w:val="007C42D8"/>
    <w:rsid w:val="007C4F4B"/>
    <w:rsid w:val="007D7362"/>
    <w:rsid w:val="007F5CE2"/>
    <w:rsid w:val="007F6611"/>
    <w:rsid w:val="00810BAC"/>
    <w:rsid w:val="00811A19"/>
    <w:rsid w:val="008175E9"/>
    <w:rsid w:val="008206AF"/>
    <w:rsid w:val="008242D7"/>
    <w:rsid w:val="0082577B"/>
    <w:rsid w:val="00845197"/>
    <w:rsid w:val="00847159"/>
    <w:rsid w:val="00866893"/>
    <w:rsid w:val="00866F02"/>
    <w:rsid w:val="00867D18"/>
    <w:rsid w:val="00871F9A"/>
    <w:rsid w:val="00871FD5"/>
    <w:rsid w:val="0088172E"/>
    <w:rsid w:val="0088179F"/>
    <w:rsid w:val="00881EFA"/>
    <w:rsid w:val="008879CB"/>
    <w:rsid w:val="0089345C"/>
    <w:rsid w:val="008979B1"/>
    <w:rsid w:val="008A6B25"/>
    <w:rsid w:val="008A6C4F"/>
    <w:rsid w:val="008B389E"/>
    <w:rsid w:val="008D045E"/>
    <w:rsid w:val="008D3F25"/>
    <w:rsid w:val="008D4D82"/>
    <w:rsid w:val="008E0E46"/>
    <w:rsid w:val="008E1852"/>
    <w:rsid w:val="008E7116"/>
    <w:rsid w:val="008F143B"/>
    <w:rsid w:val="008F3882"/>
    <w:rsid w:val="008F4B7C"/>
    <w:rsid w:val="00913E5B"/>
    <w:rsid w:val="00926E47"/>
    <w:rsid w:val="00947162"/>
    <w:rsid w:val="009610D0"/>
    <w:rsid w:val="0096375C"/>
    <w:rsid w:val="009662E6"/>
    <w:rsid w:val="0097095E"/>
    <w:rsid w:val="0098592B"/>
    <w:rsid w:val="00985FC4"/>
    <w:rsid w:val="00990766"/>
    <w:rsid w:val="00991261"/>
    <w:rsid w:val="00993821"/>
    <w:rsid w:val="009964C4"/>
    <w:rsid w:val="009A7B81"/>
    <w:rsid w:val="009D01C0"/>
    <w:rsid w:val="009D3336"/>
    <w:rsid w:val="009D6A08"/>
    <w:rsid w:val="009E0A16"/>
    <w:rsid w:val="009E6CB7"/>
    <w:rsid w:val="009E7970"/>
    <w:rsid w:val="009F2EAC"/>
    <w:rsid w:val="009F57E3"/>
    <w:rsid w:val="00A10F4F"/>
    <w:rsid w:val="00A11067"/>
    <w:rsid w:val="00A1704A"/>
    <w:rsid w:val="00A22718"/>
    <w:rsid w:val="00A425EB"/>
    <w:rsid w:val="00A42D1C"/>
    <w:rsid w:val="00A72F22"/>
    <w:rsid w:val="00A733BC"/>
    <w:rsid w:val="00A748A6"/>
    <w:rsid w:val="00A76A69"/>
    <w:rsid w:val="00A879A4"/>
    <w:rsid w:val="00A87E2B"/>
    <w:rsid w:val="00A90C0A"/>
    <w:rsid w:val="00AA0FF8"/>
    <w:rsid w:val="00AC0F2C"/>
    <w:rsid w:val="00AC502A"/>
    <w:rsid w:val="00AD381C"/>
    <w:rsid w:val="00AF58C1"/>
    <w:rsid w:val="00B01FA6"/>
    <w:rsid w:val="00B04A3F"/>
    <w:rsid w:val="00B06643"/>
    <w:rsid w:val="00B15055"/>
    <w:rsid w:val="00B22AE9"/>
    <w:rsid w:val="00B30179"/>
    <w:rsid w:val="00B37AC2"/>
    <w:rsid w:val="00B37B15"/>
    <w:rsid w:val="00B45C02"/>
    <w:rsid w:val="00B72A1E"/>
    <w:rsid w:val="00B81E12"/>
    <w:rsid w:val="00B838FF"/>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1EBA"/>
    <w:rsid w:val="00C745C3"/>
    <w:rsid w:val="00CA24A4"/>
    <w:rsid w:val="00CB233C"/>
    <w:rsid w:val="00CB3463"/>
    <w:rsid w:val="00CB348D"/>
    <w:rsid w:val="00CD46F5"/>
    <w:rsid w:val="00CE4A8F"/>
    <w:rsid w:val="00CF071D"/>
    <w:rsid w:val="00D15B04"/>
    <w:rsid w:val="00D2031B"/>
    <w:rsid w:val="00D22080"/>
    <w:rsid w:val="00D25FE2"/>
    <w:rsid w:val="00D37DA9"/>
    <w:rsid w:val="00D406A7"/>
    <w:rsid w:val="00D43252"/>
    <w:rsid w:val="00D44D86"/>
    <w:rsid w:val="00D50B7D"/>
    <w:rsid w:val="00D52012"/>
    <w:rsid w:val="00D704E5"/>
    <w:rsid w:val="00D72727"/>
    <w:rsid w:val="00D859A2"/>
    <w:rsid w:val="00D978C6"/>
    <w:rsid w:val="00DA0956"/>
    <w:rsid w:val="00DA357F"/>
    <w:rsid w:val="00DA3E12"/>
    <w:rsid w:val="00DA75B8"/>
    <w:rsid w:val="00DC18AD"/>
    <w:rsid w:val="00DE2F85"/>
    <w:rsid w:val="00DF7CAE"/>
    <w:rsid w:val="00E0016C"/>
    <w:rsid w:val="00E03BE4"/>
    <w:rsid w:val="00E26215"/>
    <w:rsid w:val="00E423C0"/>
    <w:rsid w:val="00E43AB6"/>
    <w:rsid w:val="00E6414C"/>
    <w:rsid w:val="00E7260F"/>
    <w:rsid w:val="00E8702D"/>
    <w:rsid w:val="00E916A9"/>
    <w:rsid w:val="00E916DE"/>
    <w:rsid w:val="00E925AD"/>
    <w:rsid w:val="00E96630"/>
    <w:rsid w:val="00EC4F7A"/>
    <w:rsid w:val="00ED18DC"/>
    <w:rsid w:val="00ED6201"/>
    <w:rsid w:val="00ED7789"/>
    <w:rsid w:val="00ED7A2A"/>
    <w:rsid w:val="00EF1D7F"/>
    <w:rsid w:val="00F0137E"/>
    <w:rsid w:val="00F21786"/>
    <w:rsid w:val="00F3742B"/>
    <w:rsid w:val="00F41FDB"/>
    <w:rsid w:val="00F507EC"/>
    <w:rsid w:val="00F50DB6"/>
    <w:rsid w:val="00F558B3"/>
    <w:rsid w:val="00F56D63"/>
    <w:rsid w:val="00F609A9"/>
    <w:rsid w:val="00F754D0"/>
    <w:rsid w:val="00F80C99"/>
    <w:rsid w:val="00F857D4"/>
    <w:rsid w:val="00F867EC"/>
    <w:rsid w:val="00F91B2B"/>
    <w:rsid w:val="00FB2E2E"/>
    <w:rsid w:val="00FB52D8"/>
    <w:rsid w:val="00FC03CD"/>
    <w:rsid w:val="00FC0646"/>
    <w:rsid w:val="00FC68B7"/>
    <w:rsid w:val="00FD037B"/>
    <w:rsid w:val="00FD119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FAB1-C306-48ED-9F65-7AD8046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40</TotalTime>
  <Pages>3</Pages>
  <Words>717</Words>
  <Characters>4350</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Mostovets</dc:creator>
  <cp:lastModifiedBy>Maria Mostovets</cp:lastModifiedBy>
  <cp:revision>9</cp:revision>
  <cp:lastPrinted>2015-06-29T08:46:00Z</cp:lastPrinted>
  <dcterms:created xsi:type="dcterms:W3CDTF">2015-06-29T08:07:00Z</dcterms:created>
  <dcterms:modified xsi:type="dcterms:W3CDTF">2015-06-29T13:38:00Z</dcterms:modified>
</cp:coreProperties>
</file>