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827"/>
        <w:gridCol w:w="2268"/>
      </w:tblGrid>
      <w:tr w:rsidR="00B56E9C" w:rsidTr="00D1468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D1468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14683" w:rsidRDefault="00B56E9C" w:rsidP="00D1468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1468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D14683" w:rsidP="00834BC9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/TRANS/WP.29/GRSP/2015/</w:t>
            </w:r>
            <w:r w:rsidR="00F2549C">
              <w:t>28</w:t>
            </w:r>
          </w:p>
        </w:tc>
      </w:tr>
      <w:tr w:rsidR="00B56E9C" w:rsidTr="001D51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555F1" w:rsidP="00D14683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14683" w:rsidRDefault="00D773DF" w:rsidP="00D14683">
            <w:pPr>
              <w:spacing w:before="120" w:line="420" w:lineRule="exact"/>
              <w:rPr>
                <w:sz w:val="40"/>
                <w:szCs w:val="40"/>
              </w:rPr>
            </w:pPr>
            <w:r w:rsidRPr="00D1468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D14683" w:rsidP="00D14683">
            <w:pPr>
              <w:spacing w:before="240" w:line="240" w:lineRule="exact"/>
            </w:pPr>
            <w:r>
              <w:t>Distr.: General</w:t>
            </w:r>
          </w:p>
          <w:p w:rsidR="00D14683" w:rsidRDefault="0095369A" w:rsidP="00D14683">
            <w:pPr>
              <w:spacing w:line="240" w:lineRule="exact"/>
            </w:pPr>
            <w:r>
              <w:t>22</w:t>
            </w:r>
            <w:r w:rsidR="00C750B3">
              <w:t xml:space="preserve"> September</w:t>
            </w:r>
            <w:r w:rsidR="00834BC9">
              <w:t xml:space="preserve"> </w:t>
            </w:r>
            <w:r w:rsidR="00D14683">
              <w:t>2015</w:t>
            </w:r>
          </w:p>
          <w:p w:rsidR="00D14683" w:rsidRDefault="00D14683" w:rsidP="00D14683">
            <w:pPr>
              <w:spacing w:line="240" w:lineRule="exact"/>
            </w:pPr>
          </w:p>
          <w:p w:rsidR="00D14683" w:rsidRDefault="00D14683" w:rsidP="00D14683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D14683" w:rsidRPr="003527A4" w:rsidRDefault="00D14683" w:rsidP="00D14683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:rsidR="00D14683" w:rsidRPr="003527A4" w:rsidRDefault="00D14683" w:rsidP="00D14683">
      <w:pPr>
        <w:rPr>
          <w:b/>
        </w:rPr>
      </w:pPr>
      <w:r>
        <w:rPr>
          <w:b/>
        </w:rPr>
        <w:t>Fifty-</w:t>
      </w:r>
      <w:r w:rsidR="00542BE8">
        <w:rPr>
          <w:b/>
        </w:rPr>
        <w:t>eighth</w:t>
      </w:r>
      <w:r>
        <w:rPr>
          <w:b/>
        </w:rPr>
        <w:t xml:space="preserve"> session</w:t>
      </w:r>
      <w:bookmarkStart w:id="0" w:name="_GoBack"/>
      <w:bookmarkEnd w:id="0"/>
    </w:p>
    <w:p w:rsidR="00D14683" w:rsidRPr="003527A4" w:rsidRDefault="00D14683" w:rsidP="00D14683">
      <w:pPr>
        <w:rPr>
          <w:bCs/>
        </w:rPr>
      </w:pPr>
      <w:r>
        <w:t>Geneva, 8-</w:t>
      </w:r>
      <w:r w:rsidR="00C14E4E">
        <w:t>11</w:t>
      </w:r>
      <w:r>
        <w:t xml:space="preserve"> </w:t>
      </w:r>
      <w:r w:rsidR="00C14E4E">
        <w:t>December</w:t>
      </w:r>
      <w:r>
        <w:t xml:space="preserve"> 2015</w:t>
      </w:r>
    </w:p>
    <w:p w:rsidR="00D14683" w:rsidRPr="008E21DC" w:rsidRDefault="00D14683" w:rsidP="00D14683">
      <w:pPr>
        <w:rPr>
          <w:bCs/>
        </w:rPr>
      </w:pPr>
      <w:r>
        <w:rPr>
          <w:bCs/>
        </w:rPr>
        <w:t xml:space="preserve">Item </w:t>
      </w:r>
      <w:r w:rsidR="00C750B3">
        <w:rPr>
          <w:bCs/>
        </w:rPr>
        <w:t>12</w:t>
      </w:r>
      <w:r w:rsidRPr="008E21DC">
        <w:rPr>
          <w:bCs/>
        </w:rPr>
        <w:t xml:space="preserve"> of the provisional agenda</w:t>
      </w:r>
    </w:p>
    <w:p w:rsidR="00D14683" w:rsidRDefault="00D14683" w:rsidP="00D14683">
      <w:pPr>
        <w:rPr>
          <w:b/>
        </w:rPr>
      </w:pPr>
      <w:r>
        <w:rPr>
          <w:b/>
        </w:rPr>
        <w:t xml:space="preserve">Regulation No. </w:t>
      </w:r>
      <w:r w:rsidR="00E329E4">
        <w:rPr>
          <w:b/>
        </w:rPr>
        <w:t>21</w:t>
      </w:r>
      <w:r>
        <w:rPr>
          <w:b/>
        </w:rPr>
        <w:t xml:space="preserve"> (</w:t>
      </w:r>
      <w:r w:rsidR="00E329E4">
        <w:rPr>
          <w:b/>
        </w:rPr>
        <w:t>Interior fittings)</w:t>
      </w:r>
    </w:p>
    <w:p w:rsidR="00D14683" w:rsidRDefault="00D14683" w:rsidP="00C750B3">
      <w:pPr>
        <w:pStyle w:val="HChG"/>
        <w:jc w:val="both"/>
      </w:pPr>
      <w:r>
        <w:tab/>
      </w:r>
      <w:r>
        <w:tab/>
        <w:t xml:space="preserve">Proposal for </w:t>
      </w:r>
      <w:r w:rsidR="00AB4B1F">
        <w:t>amendment</w:t>
      </w:r>
      <w:r w:rsidR="00003F99">
        <w:t>s</w:t>
      </w:r>
      <w:r>
        <w:t xml:space="preserve"> to Regulation No. </w:t>
      </w:r>
      <w:r w:rsidR="00377081">
        <w:t>21</w:t>
      </w:r>
      <w:r>
        <w:t xml:space="preserve"> (</w:t>
      </w:r>
      <w:r w:rsidR="00377081">
        <w:t>Interior</w:t>
      </w:r>
      <w:r w:rsidR="00E329E4">
        <w:t xml:space="preserve"> fittings</w:t>
      </w:r>
      <w:r>
        <w:t>)</w:t>
      </w:r>
    </w:p>
    <w:p w:rsidR="00D14683" w:rsidRPr="004D3A1C" w:rsidRDefault="00D14683" w:rsidP="00D14683">
      <w:pPr>
        <w:pStyle w:val="H1G"/>
        <w:ind w:firstLine="0"/>
      </w:pPr>
      <w:r>
        <w:t xml:space="preserve">Submitted by </w:t>
      </w:r>
      <w:r w:rsidRPr="00C94EE1">
        <w:t xml:space="preserve">the expert from the </w:t>
      </w:r>
      <w:r>
        <w:t xml:space="preserve">Netherlands </w:t>
      </w:r>
      <w:r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D14683" w:rsidRPr="00166E9C" w:rsidRDefault="000E3BC5" w:rsidP="00D14683">
      <w:pPr>
        <w:pStyle w:val="SingleTxtG"/>
        <w:ind w:firstLine="567"/>
        <w:rPr>
          <w:lang w:val="en-US"/>
        </w:rPr>
      </w:pPr>
      <w:r>
        <w:rPr>
          <w:szCs w:val="23"/>
        </w:rPr>
        <w:t>The text reproduced below was prepared by the expert from the Netherlands</w:t>
      </w:r>
      <w:r w:rsidR="00C25B4A">
        <w:rPr>
          <w:szCs w:val="23"/>
        </w:rPr>
        <w:t xml:space="preserve"> </w:t>
      </w:r>
      <w:r w:rsidR="00377081">
        <w:rPr>
          <w:szCs w:val="23"/>
        </w:rPr>
        <w:t>to</w:t>
      </w:r>
      <w:r w:rsidR="00162CC8">
        <w:rPr>
          <w:szCs w:val="23"/>
        </w:rPr>
        <w:t xml:space="preserve"> </w:t>
      </w:r>
      <w:r w:rsidR="00C750B3">
        <w:rPr>
          <w:szCs w:val="23"/>
        </w:rPr>
        <w:t>test</w:t>
      </w:r>
      <w:r w:rsidR="00AB4B1F">
        <w:rPr>
          <w:szCs w:val="23"/>
        </w:rPr>
        <w:t xml:space="preserve"> rear parts of seats (anchored to the vehicle) </w:t>
      </w:r>
      <w:r w:rsidR="00C750B3">
        <w:rPr>
          <w:szCs w:val="23"/>
        </w:rPr>
        <w:t>exclusively through</w:t>
      </w:r>
      <w:r w:rsidR="001558CD">
        <w:rPr>
          <w:szCs w:val="23"/>
        </w:rPr>
        <w:t xml:space="preserve"> </w:t>
      </w:r>
      <w:r w:rsidR="00C750B3">
        <w:rPr>
          <w:szCs w:val="23"/>
        </w:rPr>
        <w:t xml:space="preserve">UN </w:t>
      </w:r>
      <w:r w:rsidR="001558CD">
        <w:rPr>
          <w:szCs w:val="23"/>
        </w:rPr>
        <w:t>Reg</w:t>
      </w:r>
      <w:r w:rsidR="00C750B3">
        <w:rPr>
          <w:szCs w:val="23"/>
        </w:rPr>
        <w:t>ulation No</w:t>
      </w:r>
      <w:r w:rsidR="001558CD">
        <w:rPr>
          <w:szCs w:val="23"/>
        </w:rPr>
        <w:t>.</w:t>
      </w:r>
      <w:r w:rsidR="00C750B3">
        <w:rPr>
          <w:szCs w:val="23"/>
        </w:rPr>
        <w:t xml:space="preserve"> </w:t>
      </w:r>
      <w:r w:rsidR="005952CB">
        <w:rPr>
          <w:szCs w:val="23"/>
        </w:rPr>
        <w:t>17 (Strength of seats), and prevent</w:t>
      </w:r>
      <w:r w:rsidR="001558CD">
        <w:rPr>
          <w:szCs w:val="23"/>
        </w:rPr>
        <w:t xml:space="preserve"> the alternative routing </w:t>
      </w:r>
      <w:r w:rsidR="005952CB">
        <w:rPr>
          <w:szCs w:val="23"/>
        </w:rPr>
        <w:t>for type approval for seat backs through</w:t>
      </w:r>
      <w:r w:rsidR="00F214F0">
        <w:rPr>
          <w:szCs w:val="23"/>
        </w:rPr>
        <w:t xml:space="preserve"> </w:t>
      </w:r>
      <w:r w:rsidR="005952CB">
        <w:rPr>
          <w:szCs w:val="23"/>
        </w:rPr>
        <w:t xml:space="preserve">UN </w:t>
      </w:r>
      <w:r w:rsidR="000A436F">
        <w:rPr>
          <w:szCs w:val="23"/>
        </w:rPr>
        <w:t>Reg</w:t>
      </w:r>
      <w:r w:rsidR="005952CB">
        <w:rPr>
          <w:szCs w:val="23"/>
        </w:rPr>
        <w:t>ulation No</w:t>
      </w:r>
      <w:r w:rsidR="000A436F">
        <w:rPr>
          <w:szCs w:val="23"/>
        </w:rPr>
        <w:t>.</w:t>
      </w:r>
      <w:r w:rsidR="005952CB">
        <w:rPr>
          <w:szCs w:val="23"/>
        </w:rPr>
        <w:t xml:space="preserve"> </w:t>
      </w:r>
      <w:r w:rsidR="000A436F">
        <w:rPr>
          <w:szCs w:val="23"/>
        </w:rPr>
        <w:t>21</w:t>
      </w:r>
      <w:r w:rsidR="009964F6">
        <w:rPr>
          <w:szCs w:val="23"/>
        </w:rPr>
        <w:t>.</w:t>
      </w:r>
      <w:r w:rsidR="009964F6">
        <w:t xml:space="preserve"> </w:t>
      </w:r>
      <w:r w:rsidR="009964F6">
        <w:rPr>
          <w:szCs w:val="23"/>
        </w:rPr>
        <w:t xml:space="preserve">This proposal is linked to draft amendments to UN Regulation No. 16 on the energy dissipation of seats and amendments allowing a further forward displacement of the restrained occupants. These are due to new safety-belts equipped with lower load limiter devices. </w:t>
      </w:r>
      <w:r>
        <w:rPr>
          <w:szCs w:val="23"/>
        </w:rPr>
        <w:t xml:space="preserve">The modifications to the current text of the </w:t>
      </w:r>
      <w:r w:rsidR="00C25B4A">
        <w:rPr>
          <w:szCs w:val="23"/>
        </w:rPr>
        <w:t xml:space="preserve">UN </w:t>
      </w:r>
      <w:r>
        <w:rPr>
          <w:szCs w:val="23"/>
        </w:rPr>
        <w:t>Regulation are marked in bold for new or strikethrough for deleted characters.</w:t>
      </w:r>
    </w:p>
    <w:p w:rsidR="000E3BC5" w:rsidRPr="000E13A1" w:rsidRDefault="00D14683" w:rsidP="000E13A1">
      <w:pPr>
        <w:pStyle w:val="HChG"/>
        <w:numPr>
          <w:ilvl w:val="0"/>
          <w:numId w:val="18"/>
        </w:numPr>
      </w:pPr>
      <w:r>
        <w:br w:type="page"/>
      </w:r>
      <w:r w:rsidR="000E3BC5">
        <w:lastRenderedPageBreak/>
        <w:t>Proposal</w:t>
      </w:r>
    </w:p>
    <w:p w:rsidR="002D63CB" w:rsidRPr="00332907" w:rsidRDefault="002D63CB" w:rsidP="002D63CB">
      <w:pPr>
        <w:pStyle w:val="SingleTxtG"/>
        <w:ind w:left="567" w:firstLine="567"/>
        <w:rPr>
          <w:i/>
          <w:iCs/>
        </w:rPr>
      </w:pPr>
      <w:r w:rsidRPr="00332907">
        <w:rPr>
          <w:i/>
          <w:iCs/>
        </w:rPr>
        <w:t>Paragraph 1.</w:t>
      </w:r>
      <w:r>
        <w:rPr>
          <w:i/>
          <w:iCs/>
        </w:rPr>
        <w:t>1.</w:t>
      </w:r>
      <w:r w:rsidRPr="00332907">
        <w:rPr>
          <w:i/>
          <w:iCs/>
        </w:rPr>
        <w:t xml:space="preserve">, </w:t>
      </w:r>
      <w:r w:rsidRPr="00134250">
        <w:rPr>
          <w:iCs/>
        </w:rPr>
        <w:t>amend to read</w:t>
      </w:r>
      <w:r w:rsidRPr="00332907">
        <w:rPr>
          <w:i/>
          <w:iCs/>
        </w:rPr>
        <w:t>:</w:t>
      </w:r>
    </w:p>
    <w:p w:rsidR="004E6D1D" w:rsidRDefault="009964F6" w:rsidP="009964F6">
      <w:pPr>
        <w:pStyle w:val="para"/>
        <w:ind w:left="1701" w:hanging="567"/>
        <w:rPr>
          <w:b/>
          <w:bCs/>
          <w:lang w:val="en-US"/>
        </w:rPr>
      </w:pPr>
      <w:r>
        <w:rPr>
          <w:bCs/>
          <w:lang w:val="en-US"/>
        </w:rPr>
        <w:t>"</w:t>
      </w:r>
      <w:r w:rsidR="002D63CB" w:rsidRPr="00AC230D">
        <w:rPr>
          <w:bCs/>
          <w:lang w:val="en-US"/>
        </w:rPr>
        <w:t>1.1.</w:t>
      </w:r>
      <w:r w:rsidR="002D63CB" w:rsidRPr="00AC230D">
        <w:rPr>
          <w:bCs/>
          <w:lang w:val="en-US"/>
        </w:rPr>
        <w:tab/>
        <w:t>the interior parts of the passenger compartment other than</w:t>
      </w:r>
      <w:r w:rsidR="004E6D1D">
        <w:rPr>
          <w:b/>
          <w:bCs/>
          <w:lang w:val="en-US"/>
        </w:rPr>
        <w:t>:</w:t>
      </w:r>
    </w:p>
    <w:p w:rsidR="004E6D1D" w:rsidRDefault="009964F6" w:rsidP="009964F6">
      <w:pPr>
        <w:pStyle w:val="para"/>
        <w:ind w:left="1701" w:firstLine="0"/>
        <w:rPr>
          <w:bCs/>
          <w:lang w:val="en-US"/>
        </w:rPr>
      </w:pPr>
      <w:r w:rsidRPr="009964F6">
        <w:rPr>
          <w:b/>
          <w:bCs/>
          <w:lang w:val="en-US"/>
        </w:rPr>
        <w:t>(a)</w:t>
      </w:r>
      <w:r>
        <w:rPr>
          <w:bCs/>
          <w:lang w:val="en-US"/>
        </w:rPr>
        <w:tab/>
      </w:r>
      <w:r w:rsidR="002D63CB" w:rsidRPr="00AC230D">
        <w:rPr>
          <w:bCs/>
          <w:lang w:val="en-US"/>
        </w:rPr>
        <w:t>the rear-view mirror or mirrors,</w:t>
      </w:r>
    </w:p>
    <w:p w:rsidR="00C500A9" w:rsidRDefault="009964F6" w:rsidP="009964F6">
      <w:pPr>
        <w:pStyle w:val="para"/>
        <w:ind w:left="1701" w:firstLine="0"/>
        <w:rPr>
          <w:b/>
          <w:bCs/>
          <w:lang w:val="en-US"/>
        </w:rPr>
      </w:pPr>
      <w:r>
        <w:rPr>
          <w:b/>
          <w:bCs/>
          <w:lang w:val="en-US"/>
        </w:rPr>
        <w:t>(b)</w:t>
      </w:r>
      <w:r>
        <w:rPr>
          <w:b/>
          <w:bCs/>
          <w:lang w:val="en-US"/>
        </w:rPr>
        <w:tab/>
      </w:r>
      <w:r w:rsidR="00C500A9" w:rsidRPr="00C500A9">
        <w:rPr>
          <w:b/>
          <w:bCs/>
          <w:lang w:val="en-US"/>
        </w:rPr>
        <w:t>the seat-back and its head restraint</w:t>
      </w:r>
      <w:r w:rsidR="00C500A9">
        <w:rPr>
          <w:b/>
          <w:bCs/>
          <w:lang w:val="en-US"/>
        </w:rPr>
        <w:t xml:space="preserve"> including parts mounted </w:t>
      </w:r>
      <w:r w:rsidR="00C500A9" w:rsidRPr="00C500A9">
        <w:rPr>
          <w:b/>
          <w:bCs/>
          <w:lang w:val="en-US"/>
        </w:rPr>
        <w:t>thereon;</w:t>
      </w:r>
      <w:r>
        <w:rPr>
          <w:b/>
          <w:bCs/>
          <w:lang w:val="en-US"/>
        </w:rPr>
        <w:t>"</w:t>
      </w:r>
      <w:r w:rsidR="00C500A9" w:rsidRPr="00C500A9">
        <w:rPr>
          <w:b/>
          <w:bCs/>
          <w:lang w:val="en-US"/>
        </w:rPr>
        <w:t xml:space="preserve"> </w:t>
      </w:r>
    </w:p>
    <w:p w:rsidR="008E2B2F" w:rsidRDefault="002D63CB" w:rsidP="002D63CB">
      <w:pPr>
        <w:pStyle w:val="SingleTxtG"/>
        <w:rPr>
          <w:iCs/>
        </w:rPr>
      </w:pPr>
      <w:r>
        <w:rPr>
          <w:i/>
          <w:iCs/>
        </w:rPr>
        <w:t>Paragraph 1.4</w:t>
      </w:r>
      <w:r w:rsidR="00492886" w:rsidRPr="00BC2AC9">
        <w:rPr>
          <w:iCs/>
        </w:rPr>
        <w:t>.</w:t>
      </w:r>
      <w:r w:rsidR="0095369A"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 xml:space="preserve">shall be deleted, </w:t>
      </w:r>
    </w:p>
    <w:p w:rsidR="002D63CB" w:rsidRDefault="008E2B2F" w:rsidP="002D63CB">
      <w:pPr>
        <w:pStyle w:val="SingleTxtG"/>
        <w:rPr>
          <w:iCs/>
        </w:rPr>
      </w:pPr>
      <w:r>
        <w:rPr>
          <w:i/>
          <w:iCs/>
        </w:rPr>
        <w:t>P</w:t>
      </w:r>
      <w:r w:rsidR="002D63CB" w:rsidRPr="005C7D71">
        <w:rPr>
          <w:i/>
          <w:iCs/>
        </w:rPr>
        <w:t>aragraph 1.5.</w:t>
      </w:r>
      <w:r w:rsidR="00492886">
        <w:rPr>
          <w:i/>
          <w:iCs/>
        </w:rPr>
        <w:t>,</w:t>
      </w:r>
      <w:r w:rsidR="002D63CB">
        <w:rPr>
          <w:iCs/>
        </w:rPr>
        <w:t xml:space="preserve"> </w:t>
      </w:r>
      <w:r>
        <w:rPr>
          <w:iCs/>
        </w:rPr>
        <w:t xml:space="preserve">renumber </w:t>
      </w:r>
      <w:r w:rsidR="002D63CB">
        <w:rPr>
          <w:iCs/>
        </w:rPr>
        <w:t>as paragraph 1.4.</w:t>
      </w:r>
    </w:p>
    <w:p w:rsidR="0012063C" w:rsidRDefault="0012063C" w:rsidP="0012063C">
      <w:pPr>
        <w:pStyle w:val="SingleTxtG"/>
        <w:rPr>
          <w:iCs/>
        </w:rPr>
      </w:pPr>
      <w:bookmarkStart w:id="1" w:name="+ÿ!R21CONSV2ßßßßßßßr524"/>
      <w:bookmarkStart w:id="2" w:name="r524"/>
      <w:bookmarkEnd w:id="1"/>
      <w:r>
        <w:rPr>
          <w:i/>
          <w:iCs/>
        </w:rPr>
        <w:t>P</w:t>
      </w:r>
      <w:r w:rsidRPr="005C7D71">
        <w:rPr>
          <w:i/>
          <w:iCs/>
        </w:rPr>
        <w:t xml:space="preserve">aragraph </w:t>
      </w:r>
      <w:r>
        <w:rPr>
          <w:i/>
          <w:iCs/>
        </w:rPr>
        <w:t xml:space="preserve">5.2.4., </w:t>
      </w:r>
      <w:r>
        <w:rPr>
          <w:iCs/>
        </w:rPr>
        <w:t>amend to read</w:t>
      </w:r>
    </w:p>
    <w:p w:rsidR="008E2B2F" w:rsidRPr="0012063C" w:rsidRDefault="00BC2AC9" w:rsidP="0012063C">
      <w:pPr>
        <w:pStyle w:val="SingleTxtG"/>
        <w:ind w:left="2268" w:hanging="1134"/>
        <w:rPr>
          <w:bCs/>
          <w:snapToGrid w:val="0"/>
          <w:lang w:val="en-US"/>
        </w:rPr>
      </w:pPr>
      <w:r>
        <w:rPr>
          <w:bCs/>
          <w:snapToGrid w:val="0"/>
          <w:lang w:val="en-US"/>
        </w:rPr>
        <w:t>"</w:t>
      </w:r>
      <w:r w:rsidR="0012063C" w:rsidRPr="0012063C">
        <w:rPr>
          <w:bCs/>
          <w:snapToGrid w:val="0"/>
          <w:lang w:val="en-US"/>
        </w:rPr>
        <w:t xml:space="preserve">5.2.4. </w:t>
      </w:r>
      <w:r w:rsidR="0012063C" w:rsidRPr="0012063C">
        <w:rPr>
          <w:bCs/>
          <w:snapToGrid w:val="0"/>
          <w:lang w:val="en-US"/>
        </w:rPr>
        <w:tab/>
        <w:t xml:space="preserve">If the items in question contain a part made of material less than 50 shore A hardness when fitted to a rigid support, the above requirements, except for the requirements covered by annex 4 relating to </w:t>
      </w:r>
      <w:r w:rsidR="0012063C" w:rsidRPr="004167DE">
        <w:rPr>
          <w:bCs/>
          <w:strike/>
          <w:snapToGrid w:val="0"/>
          <w:lang w:val="en-US"/>
        </w:rPr>
        <w:t>energy-absorption</w:t>
      </w:r>
      <w:r w:rsidR="004167DE">
        <w:rPr>
          <w:bCs/>
          <w:snapToGrid w:val="0"/>
          <w:lang w:val="en-US"/>
        </w:rPr>
        <w:t xml:space="preserve"> energy-dissipation</w:t>
      </w:r>
      <w:r w:rsidR="0012063C" w:rsidRPr="0012063C">
        <w:rPr>
          <w:bCs/>
          <w:snapToGrid w:val="0"/>
          <w:lang w:val="en-US"/>
        </w:rPr>
        <w:t>,  shall apply only to the rigid support or it can be demonstrated by sufficient tests according to the procedure described in annex 4 that the soft material of less than 50 shore A hardness will not be cut so as to contact the support during the specified impact test. In that case the radius requirements shall not apply</w:t>
      </w:r>
      <w:bookmarkEnd w:id="2"/>
      <w:r>
        <w:rPr>
          <w:bCs/>
          <w:snapToGrid w:val="0"/>
          <w:lang w:val="en-US"/>
        </w:rPr>
        <w:t>."</w:t>
      </w:r>
    </w:p>
    <w:p w:rsidR="00EC0D83" w:rsidRDefault="00EC0D83" w:rsidP="00EC0D83">
      <w:pPr>
        <w:pStyle w:val="SingleTxtG"/>
      </w:pPr>
      <w:r>
        <w:rPr>
          <w:i/>
          <w:iCs/>
        </w:rPr>
        <w:t>Paragraph</w:t>
      </w:r>
      <w:r w:rsidR="00BC2AC9">
        <w:rPr>
          <w:i/>
          <w:iCs/>
        </w:rPr>
        <w:t>s</w:t>
      </w:r>
      <w:r>
        <w:rPr>
          <w:i/>
          <w:iCs/>
        </w:rPr>
        <w:t xml:space="preserve"> 5.</w:t>
      </w:r>
      <w:r w:rsidR="00BC2AC9">
        <w:rPr>
          <w:i/>
          <w:iCs/>
        </w:rPr>
        <w:t>7. to</w:t>
      </w:r>
      <w:r w:rsidR="00955924">
        <w:rPr>
          <w:i/>
          <w:iCs/>
        </w:rPr>
        <w:t xml:space="preserve"> 5.7.3.</w:t>
      </w:r>
      <w:r w:rsidR="00BC2AC9">
        <w:rPr>
          <w:i/>
          <w:iCs/>
        </w:rPr>
        <w:t>,</w:t>
      </w:r>
      <w:r w:rsidRPr="00CA4E39">
        <w:t xml:space="preserve"> </w:t>
      </w:r>
      <w:r>
        <w:t>sh</w:t>
      </w:r>
      <w:r w:rsidR="008E2B2F">
        <w:t>all</w:t>
      </w:r>
      <w:r>
        <w:t xml:space="preserve"> be deleted</w:t>
      </w:r>
    </w:p>
    <w:p w:rsidR="008E2B2F" w:rsidRPr="008E2B2F" w:rsidRDefault="008E2B2F" w:rsidP="00EC0D83">
      <w:pPr>
        <w:pStyle w:val="SingleTxtG"/>
        <w:rPr>
          <w:iCs/>
        </w:rPr>
      </w:pPr>
      <w:r w:rsidRPr="000F436F">
        <w:rPr>
          <w:i/>
          <w:iCs/>
        </w:rPr>
        <w:t>Paragraph</w:t>
      </w:r>
      <w:r w:rsidR="00BC2AC9">
        <w:rPr>
          <w:i/>
          <w:iCs/>
        </w:rPr>
        <w:t>s</w:t>
      </w:r>
      <w:r w:rsidRPr="000F436F">
        <w:rPr>
          <w:i/>
          <w:iCs/>
        </w:rPr>
        <w:t xml:space="preserve"> 5.</w:t>
      </w:r>
      <w:r w:rsidRPr="000F436F">
        <w:rPr>
          <w:i/>
        </w:rPr>
        <w:t>8.</w:t>
      </w:r>
      <w:r>
        <w:t xml:space="preserve"> </w:t>
      </w:r>
      <w:r w:rsidRPr="008E2B2F">
        <w:rPr>
          <w:i/>
          <w:iCs/>
        </w:rPr>
        <w:t>and 5.9.</w:t>
      </w:r>
      <w:r>
        <w:rPr>
          <w:i/>
          <w:iCs/>
        </w:rPr>
        <w:t xml:space="preserve">, </w:t>
      </w:r>
      <w:r w:rsidRPr="008E2B2F">
        <w:rPr>
          <w:iCs/>
        </w:rPr>
        <w:t>renumber as paragraph</w:t>
      </w:r>
      <w:r w:rsidR="00BC2AC9">
        <w:rPr>
          <w:iCs/>
        </w:rPr>
        <w:t>s</w:t>
      </w:r>
      <w:r w:rsidRPr="008E2B2F">
        <w:rPr>
          <w:iCs/>
        </w:rPr>
        <w:t xml:space="preserve"> 5.7. and 5.8.</w:t>
      </w:r>
    </w:p>
    <w:p w:rsidR="000E3BC5" w:rsidRPr="00873FB0" w:rsidRDefault="000E3BC5" w:rsidP="000E3BC5">
      <w:pPr>
        <w:pStyle w:val="HChG"/>
        <w:rPr>
          <w:bCs/>
          <w:lang w:val="en-US"/>
        </w:rPr>
      </w:pPr>
      <w:r>
        <w:rPr>
          <w:bCs/>
          <w:lang w:val="en-US"/>
        </w:rPr>
        <w:tab/>
      </w:r>
      <w:r w:rsidRPr="00873FB0">
        <w:rPr>
          <w:bCs/>
          <w:lang w:val="en-US"/>
        </w:rPr>
        <w:t>I</w:t>
      </w:r>
      <w:r w:rsidRPr="00873FB0">
        <w:rPr>
          <w:rFonts w:hint="eastAsia"/>
          <w:bCs/>
          <w:lang w:val="en-US"/>
        </w:rPr>
        <w:t>I</w:t>
      </w:r>
      <w:r w:rsidRPr="00873FB0">
        <w:rPr>
          <w:bCs/>
          <w:lang w:val="en-US"/>
        </w:rPr>
        <w:t>.</w:t>
      </w:r>
      <w:r w:rsidRPr="00873FB0">
        <w:rPr>
          <w:bCs/>
          <w:lang w:val="en-US"/>
        </w:rPr>
        <w:tab/>
      </w:r>
      <w:r>
        <w:t>Justification</w:t>
      </w:r>
      <w:r w:rsidRPr="00873FB0">
        <w:rPr>
          <w:bCs/>
          <w:lang w:val="en-US"/>
        </w:rPr>
        <w:t xml:space="preserve"> </w:t>
      </w:r>
    </w:p>
    <w:p w:rsidR="000E3BC5" w:rsidRDefault="00C25B4A" w:rsidP="000E3BC5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AB3399">
        <w:rPr>
          <w:lang w:val="en-US"/>
        </w:rPr>
        <w:t>R</w:t>
      </w:r>
      <w:r>
        <w:rPr>
          <w:lang w:val="en-US"/>
        </w:rPr>
        <w:t>ec</w:t>
      </w:r>
      <w:r w:rsidR="00C01A73">
        <w:rPr>
          <w:lang w:val="en-US"/>
        </w:rPr>
        <w:t>ent vehicle safety developments</w:t>
      </w:r>
      <w:r w:rsidR="000E3BC5">
        <w:rPr>
          <w:lang w:val="en-US"/>
        </w:rPr>
        <w:t xml:space="preserve"> </w:t>
      </w:r>
      <w:r>
        <w:rPr>
          <w:lang w:val="en-US"/>
        </w:rPr>
        <w:t>(i.e</w:t>
      </w:r>
      <w:r w:rsidR="000E3BC5">
        <w:rPr>
          <w:lang w:val="en-US"/>
        </w:rPr>
        <w:t>. Euro N</w:t>
      </w:r>
      <w:r w:rsidR="00F07024">
        <w:rPr>
          <w:lang w:val="en-US"/>
        </w:rPr>
        <w:t>CAP</w:t>
      </w:r>
      <w:r w:rsidR="000E3BC5">
        <w:rPr>
          <w:lang w:val="en-US"/>
        </w:rPr>
        <w:t xml:space="preserve">) </w:t>
      </w:r>
      <w:r w:rsidR="00C01A73">
        <w:rPr>
          <w:lang w:val="en-US"/>
        </w:rPr>
        <w:t>to improve</w:t>
      </w:r>
      <w:r>
        <w:rPr>
          <w:lang w:val="en-US"/>
        </w:rPr>
        <w:t xml:space="preserve"> restraint systems</w:t>
      </w:r>
      <w:r w:rsidR="00AB3399">
        <w:rPr>
          <w:lang w:val="en-US"/>
        </w:rPr>
        <w:t xml:space="preserve"> </w:t>
      </w:r>
      <w:r w:rsidR="006279C8">
        <w:rPr>
          <w:lang w:val="en-US"/>
        </w:rPr>
        <w:t>enforce the fitting of</w:t>
      </w:r>
      <w:r w:rsidR="000E3BC5">
        <w:rPr>
          <w:lang w:val="en-US"/>
        </w:rPr>
        <w:t xml:space="preserve"> load limiters </w:t>
      </w:r>
      <w:r w:rsidR="00C01A73">
        <w:rPr>
          <w:lang w:val="en-US"/>
        </w:rPr>
        <w:t>on safety-belts</w:t>
      </w:r>
      <w:r w:rsidR="000E3BC5">
        <w:rPr>
          <w:lang w:val="en-US"/>
        </w:rPr>
        <w:t xml:space="preserve"> </w:t>
      </w:r>
      <w:r w:rsidR="006279C8">
        <w:rPr>
          <w:lang w:val="en-US"/>
        </w:rPr>
        <w:t>with lower threshold values that give</w:t>
      </w:r>
      <w:r w:rsidR="0095131A">
        <w:rPr>
          <w:lang w:val="en-US"/>
        </w:rPr>
        <w:t xml:space="preserve"> </w:t>
      </w:r>
      <w:r w:rsidR="005851DF">
        <w:rPr>
          <w:lang w:val="en-US"/>
        </w:rPr>
        <w:t xml:space="preserve">less </w:t>
      </w:r>
      <w:r w:rsidR="005046E1">
        <w:rPr>
          <w:lang w:val="en-US"/>
        </w:rPr>
        <w:t xml:space="preserve">thorax compression but give </w:t>
      </w:r>
      <w:r w:rsidR="006279C8">
        <w:rPr>
          <w:lang w:val="en-US"/>
        </w:rPr>
        <w:t xml:space="preserve">also more </w:t>
      </w:r>
      <w:r w:rsidR="00BC2AC9">
        <w:rPr>
          <w:lang w:val="en-US"/>
        </w:rPr>
        <w:t>forward displacement</w:t>
      </w:r>
      <w:r w:rsidR="0095131A">
        <w:rPr>
          <w:lang w:val="en-US"/>
        </w:rPr>
        <w:t xml:space="preserve"> of </w:t>
      </w:r>
      <w:r w:rsidR="00BC2AC9">
        <w:rPr>
          <w:lang w:val="en-US"/>
        </w:rPr>
        <w:t xml:space="preserve">the </w:t>
      </w:r>
      <w:r w:rsidR="0095131A">
        <w:rPr>
          <w:lang w:val="en-US"/>
        </w:rPr>
        <w:t>occupants</w:t>
      </w:r>
      <w:r w:rsidR="006279C8">
        <w:rPr>
          <w:lang w:val="en-US"/>
        </w:rPr>
        <w:t>.</w:t>
      </w:r>
    </w:p>
    <w:p w:rsidR="000E3BC5" w:rsidRDefault="000E3BC5" w:rsidP="000E3BC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C01A73">
        <w:rPr>
          <w:lang w:val="en-US"/>
        </w:rPr>
        <w:t>Thus far, the</w:t>
      </w:r>
      <w:r w:rsidR="0095131A">
        <w:rPr>
          <w:lang w:val="en-US"/>
        </w:rPr>
        <w:t xml:space="preserve"> provisions of UN </w:t>
      </w:r>
      <w:r>
        <w:rPr>
          <w:lang w:val="en-US"/>
        </w:rPr>
        <w:t>Reg</w:t>
      </w:r>
      <w:r w:rsidR="0095131A">
        <w:rPr>
          <w:lang w:val="en-US"/>
        </w:rPr>
        <w:t>ulation No</w:t>
      </w:r>
      <w:r>
        <w:rPr>
          <w:lang w:val="en-US"/>
        </w:rPr>
        <w:t>.</w:t>
      </w:r>
      <w:r w:rsidR="0095131A">
        <w:rPr>
          <w:lang w:val="en-US"/>
        </w:rPr>
        <w:t xml:space="preserve"> </w:t>
      </w:r>
      <w:r>
        <w:rPr>
          <w:lang w:val="en-US"/>
        </w:rPr>
        <w:t>16 (par</w:t>
      </w:r>
      <w:r w:rsidR="0095131A">
        <w:rPr>
          <w:lang w:val="en-US"/>
        </w:rPr>
        <w:t>a</w:t>
      </w:r>
      <w:r w:rsidR="00BC2AC9">
        <w:rPr>
          <w:lang w:val="en-US"/>
        </w:rPr>
        <w:t>graph</w:t>
      </w:r>
      <w:r w:rsidR="0095131A">
        <w:rPr>
          <w:lang w:val="en-US"/>
        </w:rPr>
        <w:t xml:space="preserve"> </w:t>
      </w:r>
      <w:r>
        <w:rPr>
          <w:lang w:val="en-US"/>
        </w:rPr>
        <w:t>6.4.1.4.1</w:t>
      </w:r>
      <w:r w:rsidR="003B0225">
        <w:rPr>
          <w:lang w:val="en-US"/>
        </w:rPr>
        <w:t>.</w:t>
      </w:r>
      <w:r>
        <w:rPr>
          <w:lang w:val="en-US"/>
        </w:rPr>
        <w:t xml:space="preserve">) </w:t>
      </w:r>
      <w:r w:rsidR="00586686">
        <w:rPr>
          <w:lang w:val="en-US"/>
        </w:rPr>
        <w:t>only allow contact</w:t>
      </w:r>
      <w:r w:rsidR="00E978FA">
        <w:rPr>
          <w:lang w:val="en-US"/>
        </w:rPr>
        <w:t xml:space="preserve"> of the chest of the dummy driver with </w:t>
      </w:r>
      <w:r>
        <w:rPr>
          <w:lang w:val="en-US"/>
        </w:rPr>
        <w:t>the</w:t>
      </w:r>
      <w:r w:rsidR="0095131A">
        <w:rPr>
          <w:lang w:val="en-US"/>
        </w:rPr>
        <w:t xml:space="preserve"> steering assembly, provided that this contact</w:t>
      </w:r>
      <w:r>
        <w:rPr>
          <w:lang w:val="en-US"/>
        </w:rPr>
        <w:t xml:space="preserve"> fulfils certain energy </w:t>
      </w:r>
      <w:r w:rsidR="006279C8">
        <w:rPr>
          <w:lang w:val="en-US"/>
        </w:rPr>
        <w:t>dissipation</w:t>
      </w:r>
      <w:r>
        <w:rPr>
          <w:lang w:val="en-US"/>
        </w:rPr>
        <w:t xml:space="preserve"> test req</w:t>
      </w:r>
      <w:r w:rsidR="0095131A">
        <w:rPr>
          <w:lang w:val="en-US"/>
        </w:rPr>
        <w:t>uirements and</w:t>
      </w:r>
      <w:r>
        <w:rPr>
          <w:lang w:val="en-US"/>
        </w:rPr>
        <w:t xml:space="preserve"> </w:t>
      </w:r>
      <w:r w:rsidR="00304755">
        <w:rPr>
          <w:lang w:val="en-US"/>
        </w:rPr>
        <w:t xml:space="preserve">contact </w:t>
      </w:r>
      <w:r>
        <w:rPr>
          <w:lang w:val="en-US"/>
        </w:rPr>
        <w:t>does not occur at a speed higher than 24 km/h.</w:t>
      </w:r>
    </w:p>
    <w:p w:rsidR="000E3BC5" w:rsidRDefault="000E3BC5" w:rsidP="000E3BC5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B7475F">
        <w:rPr>
          <w:lang w:val="en-US"/>
        </w:rPr>
        <w:t>However</w:t>
      </w:r>
      <w:r w:rsidR="00BC2AC9">
        <w:rPr>
          <w:lang w:val="en-US"/>
        </w:rPr>
        <w:t xml:space="preserve">, similar draft requirements are in preparation for safety-belts fitted </w:t>
      </w:r>
      <w:r w:rsidR="00A57F4F">
        <w:rPr>
          <w:lang w:val="en-US"/>
        </w:rPr>
        <w:t>o</w:t>
      </w:r>
      <w:r w:rsidR="00304755">
        <w:rPr>
          <w:lang w:val="en-US"/>
        </w:rPr>
        <w:t>n</w:t>
      </w:r>
      <w:r w:rsidR="00A57F4F">
        <w:rPr>
          <w:lang w:val="en-US"/>
        </w:rPr>
        <w:t xml:space="preserve"> </w:t>
      </w:r>
      <w:r w:rsidR="00E978FA">
        <w:rPr>
          <w:lang w:val="en-US"/>
        </w:rPr>
        <w:t xml:space="preserve">other </w:t>
      </w:r>
      <w:r w:rsidR="00A57F4F">
        <w:rPr>
          <w:lang w:val="en-US"/>
        </w:rPr>
        <w:t>seating positions</w:t>
      </w:r>
      <w:r w:rsidR="00B7475F">
        <w:rPr>
          <w:lang w:val="en-US"/>
        </w:rPr>
        <w:t>.</w:t>
      </w:r>
    </w:p>
    <w:p w:rsidR="000E3BC5" w:rsidRDefault="000E3BC5" w:rsidP="000E3BC5">
      <w:pPr>
        <w:pStyle w:val="SingleTxtG"/>
        <w:rPr>
          <w:lang w:val="en-US"/>
        </w:rPr>
      </w:pPr>
      <w:r w:rsidRPr="00431466">
        <w:rPr>
          <w:lang w:val="en-US"/>
        </w:rPr>
        <w:t>4.</w:t>
      </w:r>
      <w:r w:rsidRPr="00431466">
        <w:rPr>
          <w:lang w:val="en-US"/>
        </w:rPr>
        <w:tab/>
      </w:r>
      <w:r w:rsidR="00C01A73">
        <w:rPr>
          <w:lang w:val="en-US"/>
        </w:rPr>
        <w:t>T</w:t>
      </w:r>
      <w:r w:rsidRPr="00431466">
        <w:rPr>
          <w:lang w:val="en-US"/>
        </w:rPr>
        <w:t xml:space="preserve">o </w:t>
      </w:r>
      <w:r w:rsidR="006C6D4F">
        <w:rPr>
          <w:lang w:val="en-US"/>
        </w:rPr>
        <w:t>cope with</w:t>
      </w:r>
      <w:r w:rsidR="00304755">
        <w:rPr>
          <w:lang w:val="en-US"/>
        </w:rPr>
        <w:t xml:space="preserve"> </w:t>
      </w:r>
      <w:r w:rsidR="00BC2AC9">
        <w:rPr>
          <w:lang w:val="en-US"/>
        </w:rPr>
        <w:t>greater</w:t>
      </w:r>
      <w:r w:rsidRPr="00431466">
        <w:rPr>
          <w:lang w:val="en-US"/>
        </w:rPr>
        <w:t xml:space="preserve"> forward </w:t>
      </w:r>
      <w:r>
        <w:rPr>
          <w:lang w:val="en-US"/>
        </w:rPr>
        <w:t>displacement</w:t>
      </w:r>
      <w:r w:rsidR="006C6D4F">
        <w:rPr>
          <w:lang w:val="en-US"/>
        </w:rPr>
        <w:t xml:space="preserve"> of occupants</w:t>
      </w:r>
      <w:r>
        <w:rPr>
          <w:lang w:val="en-US"/>
        </w:rPr>
        <w:t>,</w:t>
      </w:r>
      <w:r w:rsidRPr="006271CC">
        <w:rPr>
          <w:lang w:val="en-US"/>
        </w:rPr>
        <w:t xml:space="preserve"> </w:t>
      </w:r>
      <w:r w:rsidR="006C6D4F" w:rsidRPr="006271CC">
        <w:rPr>
          <w:lang w:val="en-US"/>
        </w:rPr>
        <w:t>UN</w:t>
      </w:r>
      <w:r w:rsidR="006C6D4F">
        <w:rPr>
          <w:b/>
          <w:lang w:val="en-US"/>
        </w:rPr>
        <w:t xml:space="preserve"> </w:t>
      </w:r>
      <w:r>
        <w:rPr>
          <w:lang w:val="en-US"/>
        </w:rPr>
        <w:t>Reg</w:t>
      </w:r>
      <w:r w:rsidR="006C6D4F">
        <w:rPr>
          <w:lang w:val="en-US"/>
        </w:rPr>
        <w:t>ulation No</w:t>
      </w:r>
      <w:r>
        <w:rPr>
          <w:lang w:val="en-US"/>
        </w:rPr>
        <w:t>.</w:t>
      </w:r>
      <w:r w:rsidR="006C6D4F">
        <w:rPr>
          <w:lang w:val="en-US"/>
        </w:rPr>
        <w:t xml:space="preserve"> </w:t>
      </w:r>
      <w:r>
        <w:rPr>
          <w:lang w:val="en-US"/>
        </w:rPr>
        <w:t xml:space="preserve">17 </w:t>
      </w:r>
      <w:r w:rsidR="00450153">
        <w:rPr>
          <w:lang w:val="en-US"/>
        </w:rPr>
        <w:t>will be</w:t>
      </w:r>
      <w:r w:rsidR="00B7475F">
        <w:rPr>
          <w:lang w:val="en-US"/>
        </w:rPr>
        <w:t xml:space="preserve"> updated to </w:t>
      </w:r>
      <w:r w:rsidR="006C6D4F">
        <w:rPr>
          <w:lang w:val="en-US"/>
        </w:rPr>
        <w:t xml:space="preserve">provide requirements concerning </w:t>
      </w:r>
      <w:r w:rsidR="009B0F0E">
        <w:rPr>
          <w:lang w:val="en-US"/>
        </w:rPr>
        <w:t>improved</w:t>
      </w:r>
      <w:r w:rsidR="006C6D4F">
        <w:rPr>
          <w:lang w:val="en-US"/>
        </w:rPr>
        <w:t xml:space="preserve"> energy </w:t>
      </w:r>
      <w:r w:rsidR="00D95714">
        <w:rPr>
          <w:lang w:val="en-US"/>
        </w:rPr>
        <w:t>dissipation</w:t>
      </w:r>
      <w:r w:rsidR="006C6D4F">
        <w:rPr>
          <w:lang w:val="en-US"/>
        </w:rPr>
        <w:t xml:space="preserve"> criteria for those areas of </w:t>
      </w:r>
      <w:r w:rsidR="00491D33">
        <w:rPr>
          <w:lang w:val="en-US"/>
        </w:rPr>
        <w:t xml:space="preserve">the rear of </w:t>
      </w:r>
      <w:r w:rsidR="006C6D4F">
        <w:rPr>
          <w:lang w:val="en-US"/>
        </w:rPr>
        <w:t>seat</w:t>
      </w:r>
      <w:r w:rsidR="00450153">
        <w:rPr>
          <w:lang w:val="en-US"/>
        </w:rPr>
        <w:t>s</w:t>
      </w:r>
      <w:r w:rsidR="00BC2AC9">
        <w:rPr>
          <w:lang w:val="en-US"/>
        </w:rPr>
        <w:t xml:space="preserve"> (including the head restraints as </w:t>
      </w:r>
      <w:r w:rsidR="00D82D07">
        <w:rPr>
          <w:lang w:val="en-US"/>
        </w:rPr>
        <w:t>parts mounted thereon</w:t>
      </w:r>
      <w:r w:rsidR="00BC2AC9">
        <w:rPr>
          <w:lang w:val="en-US"/>
        </w:rPr>
        <w:t>)</w:t>
      </w:r>
      <w:r w:rsidR="00D82D07">
        <w:rPr>
          <w:lang w:val="en-US"/>
        </w:rPr>
        <w:t>, w</w:t>
      </w:r>
      <w:r>
        <w:rPr>
          <w:lang w:val="en-US"/>
        </w:rPr>
        <w:t xml:space="preserve">here the head </w:t>
      </w:r>
      <w:r w:rsidR="006C6D4F">
        <w:rPr>
          <w:lang w:val="en-US"/>
        </w:rPr>
        <w:t>o</w:t>
      </w:r>
      <w:r w:rsidR="00C01A73">
        <w:rPr>
          <w:lang w:val="en-US"/>
        </w:rPr>
        <w:t>f the rear occupant is to be impacted</w:t>
      </w:r>
      <w:r>
        <w:rPr>
          <w:lang w:val="en-US"/>
        </w:rPr>
        <w:t>.</w:t>
      </w:r>
    </w:p>
    <w:p w:rsidR="00F07024" w:rsidRDefault="00BC2AC9" w:rsidP="000E3BC5">
      <w:pPr>
        <w:pStyle w:val="SingleTxtG"/>
        <w:rPr>
          <w:lang w:val="en-US"/>
        </w:rPr>
      </w:pPr>
      <w:r>
        <w:rPr>
          <w:lang w:val="en-US"/>
        </w:rPr>
        <w:t>5.</w:t>
      </w:r>
      <w:r w:rsidR="000E3BC5">
        <w:rPr>
          <w:lang w:val="en-US"/>
        </w:rPr>
        <w:tab/>
        <w:t xml:space="preserve"> </w:t>
      </w:r>
      <w:r>
        <w:rPr>
          <w:lang w:val="en-US"/>
        </w:rPr>
        <w:t xml:space="preserve">However, </w:t>
      </w:r>
      <w:r w:rsidR="0038570D">
        <w:rPr>
          <w:lang w:val="en-US"/>
        </w:rPr>
        <w:t>histor</w:t>
      </w:r>
      <w:r>
        <w:rPr>
          <w:lang w:val="en-US"/>
        </w:rPr>
        <w:t>icall</w:t>
      </w:r>
      <w:r w:rsidR="0038570D">
        <w:rPr>
          <w:lang w:val="en-US"/>
        </w:rPr>
        <w:t>y</w:t>
      </w:r>
      <w:r w:rsidR="000E13A1">
        <w:rPr>
          <w:lang w:val="en-US"/>
        </w:rPr>
        <w:t xml:space="preserve"> </w:t>
      </w:r>
      <w:r w:rsidR="00B7475F">
        <w:rPr>
          <w:lang w:val="en-US"/>
        </w:rPr>
        <w:t>UN Regulation No</w:t>
      </w:r>
      <w:r w:rsidR="000E13A1">
        <w:rPr>
          <w:lang w:val="en-US"/>
        </w:rPr>
        <w:t>.</w:t>
      </w:r>
      <w:r>
        <w:rPr>
          <w:lang w:val="en-US"/>
        </w:rPr>
        <w:t xml:space="preserve"> </w:t>
      </w:r>
      <w:r w:rsidR="000E13A1">
        <w:rPr>
          <w:lang w:val="en-US"/>
        </w:rPr>
        <w:t xml:space="preserve">21 offered an alternative routing for testing </w:t>
      </w:r>
      <w:r w:rsidR="009B0F0E">
        <w:rPr>
          <w:lang w:val="en-US"/>
        </w:rPr>
        <w:t xml:space="preserve">the </w:t>
      </w:r>
      <w:r w:rsidR="000E13A1">
        <w:rPr>
          <w:lang w:val="en-US"/>
        </w:rPr>
        <w:t xml:space="preserve">rear </w:t>
      </w:r>
      <w:r w:rsidR="00450153">
        <w:rPr>
          <w:lang w:val="en-US"/>
        </w:rPr>
        <w:t xml:space="preserve">parts </w:t>
      </w:r>
      <w:r w:rsidR="000E13A1">
        <w:rPr>
          <w:lang w:val="en-US"/>
        </w:rPr>
        <w:t>of</w:t>
      </w:r>
      <w:r w:rsidR="006C6D4F">
        <w:rPr>
          <w:lang w:val="en-US"/>
        </w:rPr>
        <w:t xml:space="preserve"> seat</w:t>
      </w:r>
      <w:r w:rsidR="000E13A1">
        <w:rPr>
          <w:lang w:val="en-US"/>
        </w:rPr>
        <w:t>s</w:t>
      </w:r>
      <w:r w:rsidR="00491D33">
        <w:rPr>
          <w:lang w:val="en-US"/>
        </w:rPr>
        <w:t xml:space="preserve">. </w:t>
      </w:r>
      <w:r w:rsidR="009F5CB6">
        <w:rPr>
          <w:lang w:val="en-US"/>
        </w:rPr>
        <w:t>Therefore, following the needed update of UN Regulation No. 17</w:t>
      </w:r>
      <w:r w:rsidR="00AB19AE">
        <w:rPr>
          <w:lang w:val="en-US"/>
        </w:rPr>
        <w:t xml:space="preserve"> on energy dissipation </w:t>
      </w:r>
      <w:r w:rsidR="000E13A1">
        <w:rPr>
          <w:lang w:val="en-US"/>
        </w:rPr>
        <w:t>requirements</w:t>
      </w:r>
      <w:r w:rsidR="001570A7">
        <w:rPr>
          <w:lang w:val="en-US"/>
        </w:rPr>
        <w:t>,</w:t>
      </w:r>
      <w:r w:rsidR="00B7475F">
        <w:rPr>
          <w:lang w:val="en-US"/>
        </w:rPr>
        <w:t xml:space="preserve"> it is </w:t>
      </w:r>
      <w:r w:rsidR="00AB19AE">
        <w:rPr>
          <w:lang w:val="en-US"/>
        </w:rPr>
        <w:t xml:space="preserve">hereby </w:t>
      </w:r>
      <w:r w:rsidR="00B7475F">
        <w:rPr>
          <w:lang w:val="en-US"/>
        </w:rPr>
        <w:t xml:space="preserve">proposed to </w:t>
      </w:r>
      <w:r w:rsidR="009F5CB6">
        <w:rPr>
          <w:lang w:val="en-US"/>
        </w:rPr>
        <w:t>prevent</w:t>
      </w:r>
      <w:r w:rsidR="00AB19AE">
        <w:rPr>
          <w:lang w:val="en-US"/>
        </w:rPr>
        <w:t xml:space="preserve"> th</w:t>
      </w:r>
      <w:r w:rsidR="00C256D3">
        <w:rPr>
          <w:lang w:val="en-US"/>
        </w:rPr>
        <w:t>is</w:t>
      </w:r>
      <w:r w:rsidR="00AB19AE">
        <w:rPr>
          <w:lang w:val="en-US"/>
        </w:rPr>
        <w:t xml:space="preserve"> alternative </w:t>
      </w:r>
      <w:r w:rsidR="009F5CB6">
        <w:rPr>
          <w:lang w:val="en-US"/>
        </w:rPr>
        <w:t>test routing through UN</w:t>
      </w:r>
      <w:r w:rsidR="00AB19AE">
        <w:rPr>
          <w:lang w:val="en-US"/>
        </w:rPr>
        <w:t xml:space="preserve"> Reg</w:t>
      </w:r>
      <w:r w:rsidR="009F5CB6">
        <w:rPr>
          <w:lang w:val="en-US"/>
        </w:rPr>
        <w:t>ulation No</w:t>
      </w:r>
      <w:r w:rsidR="00AB19AE">
        <w:rPr>
          <w:lang w:val="en-US"/>
        </w:rPr>
        <w:t>.</w:t>
      </w:r>
      <w:r w:rsidR="009F5CB6">
        <w:rPr>
          <w:lang w:val="en-US"/>
        </w:rPr>
        <w:t xml:space="preserve"> </w:t>
      </w:r>
      <w:r w:rsidR="00AB19AE">
        <w:rPr>
          <w:lang w:val="en-US"/>
        </w:rPr>
        <w:t>21</w:t>
      </w:r>
      <w:r w:rsidR="0054402A">
        <w:rPr>
          <w:lang w:val="en-US"/>
        </w:rPr>
        <w:t>.</w:t>
      </w:r>
    </w:p>
    <w:p w:rsidR="002A69F4" w:rsidRDefault="009F5CB6" w:rsidP="006676D6">
      <w:pPr>
        <w:pStyle w:val="SingleTxtG"/>
        <w:rPr>
          <w:sz w:val="22"/>
          <w:szCs w:val="22"/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ab/>
        <w:t>Moreover, the above proposal</w:t>
      </w:r>
      <w:r w:rsidR="002C3BD0">
        <w:rPr>
          <w:lang w:val="en-US"/>
        </w:rPr>
        <w:t xml:space="preserve"> </w:t>
      </w:r>
      <w:r>
        <w:rPr>
          <w:lang w:val="en-US"/>
        </w:rPr>
        <w:t>provides the added value of testing</w:t>
      </w:r>
      <w:r w:rsidR="00E17ACC">
        <w:rPr>
          <w:lang w:val="en-US"/>
        </w:rPr>
        <w:t xml:space="preserve"> </w:t>
      </w:r>
      <w:r w:rsidR="009964F6">
        <w:rPr>
          <w:lang w:val="en-US"/>
        </w:rPr>
        <w:t>"</w:t>
      </w:r>
      <w:r w:rsidR="002C3BD0">
        <w:rPr>
          <w:b/>
          <w:lang w:val="en-US"/>
        </w:rPr>
        <w:t>parts mounted on the se</w:t>
      </w:r>
      <w:r w:rsidR="00A716F1">
        <w:rPr>
          <w:b/>
          <w:lang w:val="en-US"/>
        </w:rPr>
        <w:t>ats</w:t>
      </w:r>
      <w:r w:rsidR="009964F6">
        <w:rPr>
          <w:lang w:val="en-US"/>
        </w:rPr>
        <w:t>"</w:t>
      </w:r>
      <w:r>
        <w:rPr>
          <w:lang w:val="en-US"/>
        </w:rPr>
        <w:t>,</w:t>
      </w:r>
      <w:r w:rsidR="00A716F1" w:rsidRPr="00A716F1">
        <w:rPr>
          <w:lang w:val="en-US"/>
        </w:rPr>
        <w:t xml:space="preserve"> </w:t>
      </w:r>
      <w:r>
        <w:rPr>
          <w:lang w:val="en-US"/>
        </w:rPr>
        <w:t>so far overlooked.</w:t>
      </w:r>
    </w:p>
    <w:p w:rsidR="00915EF6" w:rsidRPr="00C750B3" w:rsidRDefault="00C750B3" w:rsidP="00C750B3">
      <w:pPr>
        <w:spacing w:before="240"/>
        <w:ind w:left="1134" w:right="1134"/>
        <w:jc w:val="center"/>
        <w:rPr>
          <w:u w:val="single"/>
        </w:rPr>
      </w:pP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</w:p>
    <w:sectPr w:rsidR="00915EF6" w:rsidRPr="00C750B3" w:rsidSect="00D1468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C0" w:rsidRDefault="000B1EC0"/>
  </w:endnote>
  <w:endnote w:type="continuationSeparator" w:id="0">
    <w:p w:rsidR="000B1EC0" w:rsidRDefault="000B1EC0"/>
  </w:endnote>
  <w:endnote w:type="continuationNotice" w:id="1">
    <w:p w:rsidR="000B1EC0" w:rsidRDefault="000B1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 w:rsidP="00D14683">
    <w:pPr>
      <w:pStyle w:val="Footer"/>
      <w:tabs>
        <w:tab w:val="right" w:pos="9638"/>
      </w:tabs>
      <w:rPr>
        <w:sz w:val="18"/>
      </w:rPr>
    </w:pP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95369A">
      <w:rPr>
        <w:b/>
        <w:noProof/>
        <w:sz w:val="18"/>
      </w:rPr>
      <w:t>2</w:t>
    </w:r>
    <w:r w:rsidRPr="00D146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 w:rsidP="00D14683">
    <w:pPr>
      <w:pStyle w:val="Footer"/>
      <w:tabs>
        <w:tab w:val="right" w:pos="9638"/>
      </w:tabs>
      <w:rPr>
        <w:b/>
        <w:sz w:val="18"/>
      </w:rPr>
    </w:pPr>
    <w:r>
      <w:tab/>
    </w: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54402A">
      <w:rPr>
        <w:b/>
        <w:noProof/>
        <w:sz w:val="18"/>
      </w:rPr>
      <w:t>3</w:t>
    </w:r>
    <w:r w:rsidRPr="00D14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F6" w:rsidRPr="00D14683" w:rsidRDefault="007555F1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683">
      <w:rPr>
        <w:sz w:val="20"/>
      </w:rPr>
      <w:t>GE.</w:t>
    </w:r>
    <w:r w:rsidR="000E3BC5">
      <w:rPr>
        <w:sz w:val="20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C0" w:rsidRPr="000B175B" w:rsidRDefault="000B1E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1EC0" w:rsidRPr="00FC68B7" w:rsidRDefault="000B1E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1EC0" w:rsidRDefault="000B1EC0"/>
  </w:footnote>
  <w:footnote w:id="2">
    <w:p w:rsidR="00D14683" w:rsidRPr="002232AF" w:rsidRDefault="00D14683" w:rsidP="00D14683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>
    <w:pPr>
      <w:pStyle w:val="Header"/>
    </w:pPr>
    <w:r>
      <w:t>ECE/TRANS/WP.29/GRSP/2015/</w:t>
    </w:r>
    <w:r w:rsidR="00F2549C">
      <w:t>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3" w:rsidRPr="00D14683" w:rsidRDefault="00D14683" w:rsidP="00D14683">
    <w:pPr>
      <w:pStyle w:val="Header"/>
      <w:jc w:val="right"/>
    </w:pPr>
    <w:r>
      <w:t>ECE/TRANS/WP.29/GRSP/2015/</w:t>
    </w:r>
    <w:r w:rsidR="002A69F4"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F663A"/>
    <w:multiLevelType w:val="hybridMultilevel"/>
    <w:tmpl w:val="FE40927C"/>
    <w:lvl w:ilvl="0" w:tplc="0413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3"/>
    <w:rsid w:val="00003F99"/>
    <w:rsid w:val="00046B1F"/>
    <w:rsid w:val="00050F6B"/>
    <w:rsid w:val="00052635"/>
    <w:rsid w:val="00057E97"/>
    <w:rsid w:val="000646F4"/>
    <w:rsid w:val="00072C8C"/>
    <w:rsid w:val="000733B5"/>
    <w:rsid w:val="00081815"/>
    <w:rsid w:val="00083C2A"/>
    <w:rsid w:val="000931C0"/>
    <w:rsid w:val="000A436F"/>
    <w:rsid w:val="000B0595"/>
    <w:rsid w:val="000B175B"/>
    <w:rsid w:val="000B1EC0"/>
    <w:rsid w:val="000B2F02"/>
    <w:rsid w:val="000B3A0F"/>
    <w:rsid w:val="000B4EF7"/>
    <w:rsid w:val="000C28F2"/>
    <w:rsid w:val="000C2C03"/>
    <w:rsid w:val="000C2D2E"/>
    <w:rsid w:val="000E0415"/>
    <w:rsid w:val="000E13A1"/>
    <w:rsid w:val="000E3BC5"/>
    <w:rsid w:val="000F0772"/>
    <w:rsid w:val="000F436F"/>
    <w:rsid w:val="001103AA"/>
    <w:rsid w:val="00115C12"/>
    <w:rsid w:val="0011666B"/>
    <w:rsid w:val="0012063C"/>
    <w:rsid w:val="00134250"/>
    <w:rsid w:val="001413A4"/>
    <w:rsid w:val="001558CD"/>
    <w:rsid w:val="001570A7"/>
    <w:rsid w:val="00162CC8"/>
    <w:rsid w:val="00165F3A"/>
    <w:rsid w:val="00182290"/>
    <w:rsid w:val="00183157"/>
    <w:rsid w:val="0018324F"/>
    <w:rsid w:val="001A3955"/>
    <w:rsid w:val="001B4B04"/>
    <w:rsid w:val="001C6663"/>
    <w:rsid w:val="001C7895"/>
    <w:rsid w:val="001D0C8C"/>
    <w:rsid w:val="001D1419"/>
    <w:rsid w:val="001D26DF"/>
    <w:rsid w:val="001D3A03"/>
    <w:rsid w:val="001D5147"/>
    <w:rsid w:val="001E6C26"/>
    <w:rsid w:val="001E7B67"/>
    <w:rsid w:val="00202DA8"/>
    <w:rsid w:val="00211E0B"/>
    <w:rsid w:val="0024772E"/>
    <w:rsid w:val="002578FB"/>
    <w:rsid w:val="00267F5F"/>
    <w:rsid w:val="00286B4D"/>
    <w:rsid w:val="002A69F4"/>
    <w:rsid w:val="002B53F9"/>
    <w:rsid w:val="002C3BD0"/>
    <w:rsid w:val="002C4940"/>
    <w:rsid w:val="002D4643"/>
    <w:rsid w:val="002D63CB"/>
    <w:rsid w:val="002F175C"/>
    <w:rsid w:val="002F7DE0"/>
    <w:rsid w:val="00302E18"/>
    <w:rsid w:val="00304755"/>
    <w:rsid w:val="003229D8"/>
    <w:rsid w:val="00331DFA"/>
    <w:rsid w:val="00332907"/>
    <w:rsid w:val="00341C83"/>
    <w:rsid w:val="00352709"/>
    <w:rsid w:val="003619B5"/>
    <w:rsid w:val="00361AC3"/>
    <w:rsid w:val="00365763"/>
    <w:rsid w:val="00371178"/>
    <w:rsid w:val="00375FCA"/>
    <w:rsid w:val="00377081"/>
    <w:rsid w:val="0038570D"/>
    <w:rsid w:val="00392E47"/>
    <w:rsid w:val="003A6810"/>
    <w:rsid w:val="003B0225"/>
    <w:rsid w:val="003C2CC4"/>
    <w:rsid w:val="003C534D"/>
    <w:rsid w:val="003D4B23"/>
    <w:rsid w:val="003E130E"/>
    <w:rsid w:val="003E1FCF"/>
    <w:rsid w:val="003E6C9E"/>
    <w:rsid w:val="003E79E2"/>
    <w:rsid w:val="00406ACA"/>
    <w:rsid w:val="00410C89"/>
    <w:rsid w:val="004167DE"/>
    <w:rsid w:val="00422E03"/>
    <w:rsid w:val="00426B9B"/>
    <w:rsid w:val="004312B4"/>
    <w:rsid w:val="004325CB"/>
    <w:rsid w:val="00442A83"/>
    <w:rsid w:val="00450153"/>
    <w:rsid w:val="0045495B"/>
    <w:rsid w:val="004561E5"/>
    <w:rsid w:val="0048397A"/>
    <w:rsid w:val="00485CBB"/>
    <w:rsid w:val="004866B7"/>
    <w:rsid w:val="00491D33"/>
    <w:rsid w:val="00492886"/>
    <w:rsid w:val="004C2461"/>
    <w:rsid w:val="004C7462"/>
    <w:rsid w:val="004D2E22"/>
    <w:rsid w:val="004E6D1D"/>
    <w:rsid w:val="004E77B2"/>
    <w:rsid w:val="005046E1"/>
    <w:rsid w:val="00504B2D"/>
    <w:rsid w:val="0052136D"/>
    <w:rsid w:val="0052775E"/>
    <w:rsid w:val="00536456"/>
    <w:rsid w:val="005420F2"/>
    <w:rsid w:val="00542BE8"/>
    <w:rsid w:val="0054402A"/>
    <w:rsid w:val="0056209A"/>
    <w:rsid w:val="005628B6"/>
    <w:rsid w:val="005851DF"/>
    <w:rsid w:val="00586686"/>
    <w:rsid w:val="005941EC"/>
    <w:rsid w:val="005952CB"/>
    <w:rsid w:val="0059724D"/>
    <w:rsid w:val="005B206A"/>
    <w:rsid w:val="005B320C"/>
    <w:rsid w:val="005B3DB3"/>
    <w:rsid w:val="005B4E13"/>
    <w:rsid w:val="005C342F"/>
    <w:rsid w:val="005C7D1E"/>
    <w:rsid w:val="005C7D71"/>
    <w:rsid w:val="005D55B9"/>
    <w:rsid w:val="005F7B75"/>
    <w:rsid w:val="006001EE"/>
    <w:rsid w:val="00605042"/>
    <w:rsid w:val="00611FC4"/>
    <w:rsid w:val="006176FB"/>
    <w:rsid w:val="006271CC"/>
    <w:rsid w:val="006279C8"/>
    <w:rsid w:val="00640B26"/>
    <w:rsid w:val="00644E74"/>
    <w:rsid w:val="00652D0A"/>
    <w:rsid w:val="00662BB6"/>
    <w:rsid w:val="006676D6"/>
    <w:rsid w:val="00671B51"/>
    <w:rsid w:val="0067362F"/>
    <w:rsid w:val="00676606"/>
    <w:rsid w:val="00684C21"/>
    <w:rsid w:val="006A2530"/>
    <w:rsid w:val="006C3589"/>
    <w:rsid w:val="006C6D4F"/>
    <w:rsid w:val="006D37AF"/>
    <w:rsid w:val="006D51D0"/>
    <w:rsid w:val="006D5625"/>
    <w:rsid w:val="006D5FB9"/>
    <w:rsid w:val="006D658E"/>
    <w:rsid w:val="006E2C1E"/>
    <w:rsid w:val="006E46A8"/>
    <w:rsid w:val="006E564B"/>
    <w:rsid w:val="006E7191"/>
    <w:rsid w:val="006F34EB"/>
    <w:rsid w:val="00703577"/>
    <w:rsid w:val="00705894"/>
    <w:rsid w:val="0072632A"/>
    <w:rsid w:val="007327D5"/>
    <w:rsid w:val="007555F1"/>
    <w:rsid w:val="00757D7C"/>
    <w:rsid w:val="007629C8"/>
    <w:rsid w:val="0077047D"/>
    <w:rsid w:val="007B6BA5"/>
    <w:rsid w:val="007C045F"/>
    <w:rsid w:val="007C3390"/>
    <w:rsid w:val="007C4F4B"/>
    <w:rsid w:val="007D1A12"/>
    <w:rsid w:val="007E01E9"/>
    <w:rsid w:val="007E6249"/>
    <w:rsid w:val="007E63F3"/>
    <w:rsid w:val="007F6611"/>
    <w:rsid w:val="0080540A"/>
    <w:rsid w:val="00811920"/>
    <w:rsid w:val="00812F0B"/>
    <w:rsid w:val="00815AD0"/>
    <w:rsid w:val="00815EDB"/>
    <w:rsid w:val="00816E35"/>
    <w:rsid w:val="008242D7"/>
    <w:rsid w:val="008257B1"/>
    <w:rsid w:val="0083046D"/>
    <w:rsid w:val="00832334"/>
    <w:rsid w:val="00834BC9"/>
    <w:rsid w:val="00843191"/>
    <w:rsid w:val="00843767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E2B2F"/>
    <w:rsid w:val="008F31D2"/>
    <w:rsid w:val="00915EF6"/>
    <w:rsid w:val="009223CA"/>
    <w:rsid w:val="00940F93"/>
    <w:rsid w:val="009448C3"/>
    <w:rsid w:val="009451F6"/>
    <w:rsid w:val="0095131A"/>
    <w:rsid w:val="0095369A"/>
    <w:rsid w:val="00955924"/>
    <w:rsid w:val="009760F3"/>
    <w:rsid w:val="00976CFB"/>
    <w:rsid w:val="009964F6"/>
    <w:rsid w:val="009A0830"/>
    <w:rsid w:val="009A0E8D"/>
    <w:rsid w:val="009B0F0E"/>
    <w:rsid w:val="009B26E7"/>
    <w:rsid w:val="009B64BB"/>
    <w:rsid w:val="009F5CB6"/>
    <w:rsid w:val="00A00697"/>
    <w:rsid w:val="00A00A3F"/>
    <w:rsid w:val="00A01489"/>
    <w:rsid w:val="00A1023C"/>
    <w:rsid w:val="00A3026E"/>
    <w:rsid w:val="00A338F1"/>
    <w:rsid w:val="00A35BE0"/>
    <w:rsid w:val="00A46A28"/>
    <w:rsid w:val="00A57F4F"/>
    <w:rsid w:val="00A6129C"/>
    <w:rsid w:val="00A716F1"/>
    <w:rsid w:val="00A72F22"/>
    <w:rsid w:val="00A7360F"/>
    <w:rsid w:val="00A748A6"/>
    <w:rsid w:val="00A769F4"/>
    <w:rsid w:val="00A776B4"/>
    <w:rsid w:val="00A93636"/>
    <w:rsid w:val="00A93ECC"/>
    <w:rsid w:val="00A94361"/>
    <w:rsid w:val="00AA293C"/>
    <w:rsid w:val="00AA72CC"/>
    <w:rsid w:val="00AB19AE"/>
    <w:rsid w:val="00AB3399"/>
    <w:rsid w:val="00AB4B1F"/>
    <w:rsid w:val="00AC230D"/>
    <w:rsid w:val="00AD1FB1"/>
    <w:rsid w:val="00AD3972"/>
    <w:rsid w:val="00AF35A1"/>
    <w:rsid w:val="00B04EFB"/>
    <w:rsid w:val="00B30179"/>
    <w:rsid w:val="00B421C1"/>
    <w:rsid w:val="00B53C21"/>
    <w:rsid w:val="00B55C71"/>
    <w:rsid w:val="00B56E4A"/>
    <w:rsid w:val="00B56E9C"/>
    <w:rsid w:val="00B64B1F"/>
    <w:rsid w:val="00B6553F"/>
    <w:rsid w:val="00B7475F"/>
    <w:rsid w:val="00B77D05"/>
    <w:rsid w:val="00B81206"/>
    <w:rsid w:val="00B81E12"/>
    <w:rsid w:val="00B90F1E"/>
    <w:rsid w:val="00B97750"/>
    <w:rsid w:val="00BA6647"/>
    <w:rsid w:val="00BC2AC9"/>
    <w:rsid w:val="00BC3FA0"/>
    <w:rsid w:val="00BC74E9"/>
    <w:rsid w:val="00BF30B3"/>
    <w:rsid w:val="00BF68A8"/>
    <w:rsid w:val="00C01A73"/>
    <w:rsid w:val="00C11A03"/>
    <w:rsid w:val="00C14E4E"/>
    <w:rsid w:val="00C22C0C"/>
    <w:rsid w:val="00C256D3"/>
    <w:rsid w:val="00C25B4A"/>
    <w:rsid w:val="00C4003D"/>
    <w:rsid w:val="00C401F7"/>
    <w:rsid w:val="00C4527F"/>
    <w:rsid w:val="00C463DD"/>
    <w:rsid w:val="00C4724C"/>
    <w:rsid w:val="00C500A9"/>
    <w:rsid w:val="00C629A0"/>
    <w:rsid w:val="00C64629"/>
    <w:rsid w:val="00C745C3"/>
    <w:rsid w:val="00C750B3"/>
    <w:rsid w:val="00C96DF2"/>
    <w:rsid w:val="00CB3E03"/>
    <w:rsid w:val="00CC65BA"/>
    <w:rsid w:val="00CD4AA6"/>
    <w:rsid w:val="00CE4A8F"/>
    <w:rsid w:val="00D036C2"/>
    <w:rsid w:val="00D14683"/>
    <w:rsid w:val="00D2031B"/>
    <w:rsid w:val="00D248B6"/>
    <w:rsid w:val="00D25FE2"/>
    <w:rsid w:val="00D26E07"/>
    <w:rsid w:val="00D36374"/>
    <w:rsid w:val="00D43252"/>
    <w:rsid w:val="00D47EEA"/>
    <w:rsid w:val="00D52637"/>
    <w:rsid w:val="00D773DF"/>
    <w:rsid w:val="00D82D07"/>
    <w:rsid w:val="00D83295"/>
    <w:rsid w:val="00D95303"/>
    <w:rsid w:val="00D95714"/>
    <w:rsid w:val="00D978C6"/>
    <w:rsid w:val="00DA3C1C"/>
    <w:rsid w:val="00DC0508"/>
    <w:rsid w:val="00DC2458"/>
    <w:rsid w:val="00DC6D39"/>
    <w:rsid w:val="00E046DF"/>
    <w:rsid w:val="00E17ACC"/>
    <w:rsid w:val="00E205F5"/>
    <w:rsid w:val="00E22B0C"/>
    <w:rsid w:val="00E27346"/>
    <w:rsid w:val="00E329E4"/>
    <w:rsid w:val="00E40A45"/>
    <w:rsid w:val="00E560CA"/>
    <w:rsid w:val="00E62F96"/>
    <w:rsid w:val="00E71BC8"/>
    <w:rsid w:val="00E7260F"/>
    <w:rsid w:val="00E73F5D"/>
    <w:rsid w:val="00E74331"/>
    <w:rsid w:val="00E77E4E"/>
    <w:rsid w:val="00E96630"/>
    <w:rsid w:val="00E978FA"/>
    <w:rsid w:val="00EA2A77"/>
    <w:rsid w:val="00EC0D83"/>
    <w:rsid w:val="00ED7A2A"/>
    <w:rsid w:val="00EE7A9E"/>
    <w:rsid w:val="00EF1D7F"/>
    <w:rsid w:val="00F07024"/>
    <w:rsid w:val="00F072E9"/>
    <w:rsid w:val="00F16B31"/>
    <w:rsid w:val="00F214F0"/>
    <w:rsid w:val="00F2549C"/>
    <w:rsid w:val="00F31E5F"/>
    <w:rsid w:val="00F53261"/>
    <w:rsid w:val="00F6100A"/>
    <w:rsid w:val="00F81E8E"/>
    <w:rsid w:val="00F93781"/>
    <w:rsid w:val="00FB613B"/>
    <w:rsid w:val="00FC68B7"/>
    <w:rsid w:val="00FD3F98"/>
    <w:rsid w:val="00FD5B03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link w:val="Header"/>
    <w:uiPriority w:val="99"/>
    <w:rsid w:val="00C750B3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link w:val="Header"/>
    <w:uiPriority w:val="99"/>
    <w:rsid w:val="00C750B3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1D87-665B-4822-B6C0-BD98A94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563</Words>
  <Characters>3060</Characters>
  <Application>Microsoft Office Word</Application>
  <DocSecurity>0</DocSecurity>
  <Lines>69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Benedicte Boudol</cp:lastModifiedBy>
  <cp:revision>2</cp:revision>
  <cp:lastPrinted>2015-07-20T12:40:00Z</cp:lastPrinted>
  <dcterms:created xsi:type="dcterms:W3CDTF">2015-09-22T09:33:00Z</dcterms:created>
  <dcterms:modified xsi:type="dcterms:W3CDTF">2015-09-22T09:33:00Z</dcterms:modified>
</cp:coreProperties>
</file>