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B" w:rsidRPr="00857B5A" w:rsidRDefault="001C1DCB" w:rsidP="001C1DCB">
      <w:pPr>
        <w:spacing w:line="60" w:lineRule="exact"/>
        <w:rPr>
          <w:color w:val="010000"/>
          <w:sz w:val="6"/>
        </w:rPr>
        <w:sectPr w:rsidR="001C1DCB" w:rsidRPr="00857B5A" w:rsidSect="001C1D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57B5A">
        <w:rPr>
          <w:rStyle w:val="CommentReference"/>
        </w:rPr>
        <w:commentReference w:id="0"/>
      </w:r>
      <w:bookmarkStart w:id="1" w:name="_GoBack"/>
      <w:bookmarkEnd w:id="1"/>
    </w:p>
    <w:p w:rsidR="00857B5A" w:rsidRPr="00857B5A" w:rsidRDefault="00857B5A" w:rsidP="00857B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7B5A">
        <w:lastRenderedPageBreak/>
        <w:t>Европейская экономическая комиссия</w:t>
      </w:r>
    </w:p>
    <w:p w:rsidR="00857B5A" w:rsidRPr="00857B5A" w:rsidRDefault="00857B5A" w:rsidP="00857B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57B5A" w:rsidRPr="00857B5A" w:rsidRDefault="00857B5A" w:rsidP="00857B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857B5A">
        <w:rPr>
          <w:b w:val="0"/>
          <w:bCs/>
        </w:rPr>
        <w:t>Комитет по внутреннему транспорту</w:t>
      </w:r>
    </w:p>
    <w:p w:rsidR="00857B5A" w:rsidRPr="00857B5A" w:rsidRDefault="00857B5A" w:rsidP="00857B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rPr>
          <w:b w:val="0"/>
          <w:bCs/>
          <w:sz w:val="10"/>
        </w:rPr>
      </w:pPr>
    </w:p>
    <w:p w:rsidR="00857B5A" w:rsidRPr="00857B5A" w:rsidRDefault="00857B5A" w:rsidP="00857B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857B5A">
        <w:t xml:space="preserve">Всемирный форум для согласования </w:t>
      </w:r>
      <w:r w:rsidRPr="00857B5A">
        <w:br/>
        <w:t>правил в области транспортных средств</w:t>
      </w: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857B5A">
        <w:rPr>
          <w:b/>
          <w:bCs/>
        </w:rPr>
        <w:t>Рабочая группа по пассивной безопасности</w:t>
      </w: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857B5A">
        <w:rPr>
          <w:b/>
          <w:bCs/>
        </w:rPr>
        <w:t>Пятьдесят восьмая сессия</w:t>
      </w: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7B5A">
        <w:t>Женева, 8−11 декабря 2015 года</w:t>
      </w: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7B5A">
        <w:t>Пункт 8 предварительной повестки дня</w:t>
      </w:r>
    </w:p>
    <w:p w:rsidR="00857B5A" w:rsidRPr="00857B5A" w:rsidRDefault="00857B5A" w:rsidP="00857B5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857B5A">
        <w:rPr>
          <w:b/>
          <w:bCs/>
        </w:rPr>
        <w:t>Правила № 11 (дверные замки и петли)</w:t>
      </w:r>
    </w:p>
    <w:p w:rsidR="00857B5A" w:rsidRPr="00857B5A" w:rsidRDefault="00857B5A" w:rsidP="00857B5A">
      <w:pPr>
        <w:pStyle w:val="SingleTxt"/>
        <w:spacing w:after="0" w:line="120" w:lineRule="exact"/>
        <w:rPr>
          <w:b/>
          <w:sz w:val="10"/>
        </w:rPr>
      </w:pPr>
    </w:p>
    <w:p w:rsidR="00857B5A" w:rsidRPr="00857B5A" w:rsidRDefault="00857B5A" w:rsidP="00857B5A">
      <w:pPr>
        <w:pStyle w:val="SingleTxt"/>
        <w:spacing w:after="0" w:line="120" w:lineRule="exact"/>
        <w:rPr>
          <w:b/>
          <w:sz w:val="10"/>
        </w:rPr>
      </w:pPr>
    </w:p>
    <w:p w:rsidR="00857B5A" w:rsidRPr="00857B5A" w:rsidRDefault="00857B5A" w:rsidP="00857B5A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57B5A" w:rsidRPr="00857B5A" w:rsidRDefault="00857B5A" w:rsidP="006941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7B5A">
        <w:tab/>
      </w:r>
      <w:r w:rsidRPr="00857B5A">
        <w:tab/>
        <w:t>Предложение по дополнению 1 к поправкам серии 04</w:t>
      </w:r>
      <w:r w:rsidR="006941A5" w:rsidRPr="006941A5">
        <w:br/>
      </w:r>
      <w:r w:rsidRPr="00857B5A">
        <w:t xml:space="preserve">и по дополнению 4 к поправкам серии 03 </w:t>
      </w:r>
      <w:r w:rsidR="006941A5" w:rsidRPr="006941A5">
        <w:br/>
      </w:r>
      <w:r w:rsidRPr="00857B5A">
        <w:t>к Правилам № 11</w:t>
      </w:r>
    </w:p>
    <w:p w:rsidR="00857B5A" w:rsidRPr="00857B5A" w:rsidRDefault="00857B5A" w:rsidP="00857B5A">
      <w:pPr>
        <w:pStyle w:val="SingleTxt"/>
        <w:spacing w:after="0" w:line="120" w:lineRule="exact"/>
        <w:rPr>
          <w:b/>
          <w:sz w:val="10"/>
        </w:rPr>
      </w:pPr>
    </w:p>
    <w:p w:rsidR="00857B5A" w:rsidRPr="00857B5A" w:rsidRDefault="00857B5A" w:rsidP="00857B5A">
      <w:pPr>
        <w:pStyle w:val="SingleTxt"/>
        <w:spacing w:after="0" w:line="120" w:lineRule="exact"/>
        <w:rPr>
          <w:b/>
          <w:sz w:val="10"/>
        </w:rPr>
      </w:pPr>
    </w:p>
    <w:p w:rsidR="00857B5A" w:rsidRPr="00857B5A" w:rsidRDefault="00857B5A" w:rsidP="00857B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7B5A">
        <w:tab/>
      </w:r>
      <w:r w:rsidRPr="00857B5A">
        <w:tab/>
        <w:t>Представлено экспертом от Международной организации предприятий автомобильной промышленности</w:t>
      </w:r>
      <w:r w:rsidRPr="00857B5A">
        <w:rPr>
          <w:b w:val="0"/>
          <w:sz w:val="20"/>
        </w:rPr>
        <w:footnoteReference w:customMarkFollows="1" w:id="1"/>
        <w:t>*</w:t>
      </w:r>
    </w:p>
    <w:p w:rsidR="00857B5A" w:rsidRPr="00857B5A" w:rsidRDefault="00857B5A" w:rsidP="00857B5A">
      <w:pPr>
        <w:pStyle w:val="SingleTxt"/>
        <w:spacing w:after="0" w:line="120" w:lineRule="exact"/>
        <w:rPr>
          <w:sz w:val="10"/>
        </w:rPr>
      </w:pPr>
    </w:p>
    <w:p w:rsidR="00857B5A" w:rsidRPr="00857B5A" w:rsidRDefault="00857B5A" w:rsidP="00857B5A">
      <w:pPr>
        <w:pStyle w:val="SingleTxt"/>
        <w:spacing w:after="0" w:line="120" w:lineRule="exact"/>
        <w:rPr>
          <w:sz w:val="10"/>
        </w:rPr>
      </w:pPr>
    </w:p>
    <w:p w:rsidR="00857B5A" w:rsidRPr="00857B5A" w:rsidRDefault="00857B5A" w:rsidP="00857B5A">
      <w:pPr>
        <w:pStyle w:val="SingleTxt"/>
      </w:pPr>
      <w:r w:rsidRPr="00857B5A">
        <w:tab/>
        <w:t>Воспроизведенный ниже текст был подготовлен экспертом от Междунаро</w:t>
      </w:r>
      <w:r w:rsidRPr="00857B5A">
        <w:t>д</w:t>
      </w:r>
      <w:r w:rsidRPr="00857B5A">
        <w:t>ной организации предприятий автомобильной промышленности (МОПАП) с ц</w:t>
      </w:r>
      <w:r w:rsidRPr="00857B5A">
        <w:t>е</w:t>
      </w:r>
      <w:r w:rsidRPr="00857B5A">
        <w:t>лью предусмотреть альтернативные возможности обеспечения надлежащей з</w:t>
      </w:r>
      <w:r w:rsidRPr="00857B5A">
        <w:t>а</w:t>
      </w:r>
      <w:r w:rsidRPr="00857B5A">
        <w:t>щиты для предотвращения случайного открывания двери при движении тран</w:t>
      </w:r>
      <w:r w:rsidRPr="00857B5A">
        <w:t>с</w:t>
      </w:r>
      <w:r w:rsidRPr="00857B5A">
        <w:t>портного средства. В основу текста положен документ без условного обознач</w:t>
      </w:r>
      <w:r w:rsidRPr="00857B5A">
        <w:t>е</w:t>
      </w:r>
      <w:r w:rsidRPr="00857B5A">
        <w:t>ния (</w:t>
      </w:r>
      <w:r w:rsidRPr="00857B5A">
        <w:rPr>
          <w:lang w:val="en-US"/>
        </w:rPr>
        <w:t>GRSP</w:t>
      </w:r>
      <w:r w:rsidRPr="00857B5A">
        <w:t>-57-05-</w:t>
      </w:r>
      <w:r w:rsidRPr="00857B5A">
        <w:rPr>
          <w:lang w:val="en-US"/>
        </w:rPr>
        <w:t>Rev</w:t>
      </w:r>
      <w:r w:rsidRPr="00857B5A">
        <w:t>.1), распространенный в ходе пятьдесят седьмой сессии Р</w:t>
      </w:r>
      <w:r w:rsidRPr="00857B5A">
        <w:t>а</w:t>
      </w:r>
      <w:r w:rsidRPr="00857B5A">
        <w:t>бочей группы по пассивной безопасности (</w:t>
      </w:r>
      <w:r w:rsidRPr="00857B5A">
        <w:rPr>
          <w:lang w:val="en-US"/>
        </w:rPr>
        <w:t>GRSP</w:t>
      </w:r>
      <w:r w:rsidRPr="00857B5A">
        <w:t>). Изменения к существующему тексту Правил № 11 ООН выделены жирным шрифтом.</w:t>
      </w:r>
    </w:p>
    <w:p w:rsidR="00857B5A" w:rsidRPr="00857B5A" w:rsidRDefault="00857B5A" w:rsidP="00857B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7B5A">
        <w:br w:type="page"/>
      </w:r>
      <w:r w:rsidRPr="00857B5A">
        <w:lastRenderedPageBreak/>
        <w:tab/>
        <w:t>I.</w:t>
      </w:r>
      <w:r w:rsidRPr="00857B5A">
        <w:tab/>
        <w:t xml:space="preserve">Предложение </w:t>
      </w:r>
    </w:p>
    <w:p w:rsidR="00857B5A" w:rsidRPr="00857B5A" w:rsidRDefault="00857B5A" w:rsidP="00857B5A">
      <w:pPr>
        <w:pStyle w:val="SingleTxt"/>
        <w:spacing w:after="0" w:line="120" w:lineRule="exact"/>
        <w:rPr>
          <w:i/>
          <w:iCs/>
          <w:sz w:val="10"/>
        </w:rPr>
      </w:pPr>
    </w:p>
    <w:p w:rsidR="00857B5A" w:rsidRPr="00857B5A" w:rsidRDefault="00857B5A" w:rsidP="00857B5A">
      <w:pPr>
        <w:pStyle w:val="SingleTxt"/>
        <w:spacing w:after="0" w:line="120" w:lineRule="exact"/>
        <w:rPr>
          <w:i/>
          <w:iCs/>
          <w:sz w:val="10"/>
        </w:rPr>
      </w:pPr>
    </w:p>
    <w:p w:rsidR="00857B5A" w:rsidRPr="00857B5A" w:rsidRDefault="00857B5A" w:rsidP="00857B5A">
      <w:pPr>
        <w:pStyle w:val="SingleTxt"/>
      </w:pPr>
      <w:r w:rsidRPr="00857B5A">
        <w:rPr>
          <w:i/>
          <w:iCs/>
        </w:rPr>
        <w:t xml:space="preserve">Включить новый пункт 6.3.3.1 </w:t>
      </w:r>
      <w:r w:rsidRPr="00857B5A">
        <w:t>следующего содержания:</w:t>
      </w:r>
    </w:p>
    <w:p w:rsidR="00857B5A" w:rsidRPr="00857B5A" w:rsidRDefault="006941A5" w:rsidP="006941A5">
      <w:pPr>
        <w:pStyle w:val="SingleTxt"/>
        <w:tabs>
          <w:tab w:val="clear" w:pos="1742"/>
        </w:tabs>
        <w:ind w:left="2196" w:hanging="918"/>
        <w:rPr>
          <w:bCs/>
        </w:rPr>
      </w:pPr>
      <w:r>
        <w:rPr>
          <w:bCs/>
        </w:rPr>
        <w:t>«</w:t>
      </w:r>
      <w:r w:rsidR="00857B5A" w:rsidRPr="00857B5A">
        <w:rPr>
          <w:bCs/>
        </w:rPr>
        <w:t>6.3.3</w:t>
      </w:r>
      <w:r w:rsidR="00857B5A" w:rsidRPr="00857B5A">
        <w:rPr>
          <w:bCs/>
        </w:rPr>
        <w:tab/>
        <w:t>Задние двери</w:t>
      </w:r>
    </w:p>
    <w:p w:rsidR="00857B5A" w:rsidRPr="00857B5A" w:rsidRDefault="00857B5A" w:rsidP="00857B5A">
      <w:pPr>
        <w:pStyle w:val="SingleTxt"/>
        <w:tabs>
          <w:tab w:val="clear" w:pos="1742"/>
          <w:tab w:val="clear" w:pos="2218"/>
          <w:tab w:val="left" w:pos="2196"/>
        </w:tabs>
        <w:ind w:left="2196" w:hanging="864"/>
      </w:pPr>
      <w:r>
        <w:rPr>
          <w:lang w:val="en-US"/>
        </w:rPr>
        <w:tab/>
      </w:r>
      <w:r w:rsidRPr="00857B5A">
        <w:t>Каждая задняя дверь, оборудованная внутренней дверной ручкой или другим внутренним отпирающим устройством, должна быть оснащена, по крайней мере, одним блокирующим устройством, расположенным внутри транспортного средства, которое, находясь во включенном п</w:t>
      </w:r>
      <w:r w:rsidRPr="00857B5A">
        <w:t>о</w:t>
      </w:r>
      <w:r w:rsidRPr="00857B5A">
        <w:t>ложении, предотвращает срабатывание внутренней дверной ручки или другого внутреннего отпирающего устройства и требует отдельных действий для отпирания двери и приведения в работоспособное сост</w:t>
      </w:r>
      <w:r w:rsidRPr="00857B5A">
        <w:t>о</w:t>
      </w:r>
      <w:r w:rsidRPr="00857B5A">
        <w:t>яние внутренней дверной ручки или другого внутреннего отпирающего устройства.</w:t>
      </w:r>
    </w:p>
    <w:p w:rsidR="00857B5A" w:rsidRPr="00857B5A" w:rsidRDefault="00857B5A" w:rsidP="006941A5">
      <w:pPr>
        <w:pStyle w:val="SingleTxt"/>
        <w:tabs>
          <w:tab w:val="clear" w:pos="1742"/>
        </w:tabs>
        <w:ind w:left="2196" w:hanging="918"/>
        <w:rPr>
          <w:b/>
        </w:rPr>
      </w:pPr>
      <w:r w:rsidRPr="00857B5A">
        <w:rPr>
          <w:b/>
        </w:rPr>
        <w:t>6.3.2.1</w:t>
      </w:r>
      <w:r w:rsidRPr="00857B5A">
        <w:rPr>
          <w:b/>
        </w:rPr>
        <w:tab/>
        <w:t>Блокирующим устройством может быть:</w:t>
      </w:r>
    </w:p>
    <w:p w:rsidR="00857B5A" w:rsidRPr="00857B5A" w:rsidRDefault="00857B5A" w:rsidP="00857B5A">
      <w:pPr>
        <w:pStyle w:val="SingleTxt"/>
        <w:tabs>
          <w:tab w:val="clear" w:pos="1742"/>
        </w:tabs>
        <w:ind w:left="2196" w:hanging="864"/>
        <w:rPr>
          <w:b/>
          <w:bCs/>
        </w:rPr>
      </w:pPr>
      <w:r>
        <w:rPr>
          <w:b/>
          <w:bCs/>
          <w:lang w:val="en-US"/>
        </w:rPr>
        <w:tab/>
      </w:r>
      <w:r w:rsidRPr="00857B5A">
        <w:rPr>
          <w:b/>
          <w:bCs/>
        </w:rPr>
        <w:t>а)</w:t>
      </w:r>
      <w:r w:rsidRPr="00857B5A">
        <w:rPr>
          <w:b/>
          <w:bCs/>
        </w:rPr>
        <w:tab/>
        <w:t xml:space="preserve">детская предохранительная система; </w:t>
      </w:r>
    </w:p>
    <w:p w:rsidR="00857B5A" w:rsidRPr="00857B5A" w:rsidRDefault="00857B5A" w:rsidP="000B6590">
      <w:pPr>
        <w:pStyle w:val="SingleTxt"/>
        <w:tabs>
          <w:tab w:val="clear" w:pos="1742"/>
        </w:tabs>
        <w:ind w:left="2635" w:hanging="1296"/>
        <w:rPr>
          <w:b/>
        </w:rPr>
      </w:pPr>
      <w:r>
        <w:rPr>
          <w:b/>
          <w:lang w:val="en-US"/>
        </w:rPr>
        <w:tab/>
      </w:r>
      <w:r w:rsidRPr="00857B5A">
        <w:rPr>
          <w:b/>
          <w:lang w:val="en-US"/>
        </w:rPr>
        <w:t>b</w:t>
      </w:r>
      <w:r w:rsidRPr="00857B5A">
        <w:rPr>
          <w:b/>
        </w:rPr>
        <w:t>)</w:t>
      </w:r>
      <w:r w:rsidRPr="00857B5A">
        <w:rPr>
          <w:b/>
        </w:rPr>
        <w:tab/>
        <w:t>легкодоступное блокирующее/разблокирующее устройство, расположенное внутри транспортного средства;</w:t>
      </w:r>
    </w:p>
    <w:p w:rsidR="00857B5A" w:rsidRPr="00857B5A" w:rsidRDefault="00857B5A" w:rsidP="000B6590">
      <w:pPr>
        <w:pStyle w:val="SingleTxt"/>
        <w:tabs>
          <w:tab w:val="clear" w:pos="1742"/>
        </w:tabs>
        <w:ind w:left="2635" w:hanging="1296"/>
        <w:rPr>
          <w:b/>
          <w:bCs/>
        </w:rPr>
      </w:pPr>
      <w:r>
        <w:rPr>
          <w:b/>
          <w:lang w:val="en-US"/>
        </w:rPr>
        <w:tab/>
      </w:r>
      <w:r w:rsidRPr="00857B5A">
        <w:rPr>
          <w:b/>
        </w:rPr>
        <w:t>с)</w:t>
      </w:r>
      <w:r w:rsidRPr="00857B5A">
        <w:rPr>
          <w:b/>
        </w:rPr>
        <w:tab/>
        <w:t xml:space="preserve">система, которая </w:t>
      </w:r>
      <w:r w:rsidRPr="00857B5A">
        <w:rPr>
          <w:b/>
          <w:bCs/>
        </w:rPr>
        <w:t xml:space="preserve">исключает возможность срабатывания </w:t>
      </w:r>
      <w:r w:rsidRPr="000B6590">
        <w:rPr>
          <w:b/>
        </w:rPr>
        <w:t>вну</w:t>
      </w:r>
      <w:r w:rsidRPr="000B6590">
        <w:rPr>
          <w:b/>
        </w:rPr>
        <w:t>т</w:t>
      </w:r>
      <w:r w:rsidRPr="000B6590">
        <w:rPr>
          <w:b/>
        </w:rPr>
        <w:t>ренней</w:t>
      </w:r>
      <w:r w:rsidRPr="00857B5A">
        <w:rPr>
          <w:b/>
          <w:bCs/>
        </w:rPr>
        <w:t xml:space="preserve"> дверной ручки или другого внутреннего отпирающего устройства при скорости транспортного средства 4 км/ч или более; или </w:t>
      </w:r>
    </w:p>
    <w:p w:rsidR="00857B5A" w:rsidRPr="00857B5A" w:rsidRDefault="00857B5A" w:rsidP="006941A5">
      <w:pPr>
        <w:pStyle w:val="SingleTxt"/>
        <w:tabs>
          <w:tab w:val="clear" w:pos="1742"/>
        </w:tabs>
        <w:ind w:left="2635" w:hanging="1296"/>
        <w:rPr>
          <w:b/>
          <w:bCs/>
        </w:rPr>
      </w:pPr>
      <w:r>
        <w:rPr>
          <w:b/>
          <w:bCs/>
          <w:lang w:val="en-US"/>
        </w:rPr>
        <w:tab/>
      </w:r>
      <w:r w:rsidRPr="00857B5A">
        <w:rPr>
          <w:b/>
          <w:bCs/>
          <w:lang w:val="en-US"/>
        </w:rPr>
        <w:t>d</w:t>
      </w:r>
      <w:r w:rsidRPr="00857B5A">
        <w:rPr>
          <w:b/>
          <w:bCs/>
        </w:rPr>
        <w:t>)</w:t>
      </w:r>
      <w:r w:rsidRPr="00857B5A">
        <w:rPr>
          <w:b/>
          <w:bCs/>
        </w:rPr>
        <w:tab/>
        <w:t xml:space="preserve">любое сочетание систем, предусмотренных в пунктах а), </w:t>
      </w:r>
      <w:r w:rsidRPr="00857B5A">
        <w:rPr>
          <w:b/>
          <w:bCs/>
          <w:lang w:val="en-US"/>
        </w:rPr>
        <w:t>b</w:t>
      </w:r>
      <w:r w:rsidRPr="00857B5A">
        <w:rPr>
          <w:b/>
          <w:bCs/>
        </w:rPr>
        <w:t xml:space="preserve"> или с) </w:t>
      </w:r>
      <w:r w:rsidRPr="000B6590">
        <w:rPr>
          <w:b/>
        </w:rPr>
        <w:t>выше</w:t>
      </w:r>
      <w:r w:rsidR="006941A5" w:rsidRPr="006941A5">
        <w:t>»</w:t>
      </w:r>
      <w:r w:rsidRPr="00857B5A">
        <w:rPr>
          <w:b/>
          <w:bCs/>
        </w:rPr>
        <w:t>.</w:t>
      </w:r>
    </w:p>
    <w:p w:rsidR="000B6590" w:rsidRPr="000B6590" w:rsidRDefault="000B6590" w:rsidP="000B6590">
      <w:pPr>
        <w:pStyle w:val="SingleTxt"/>
        <w:spacing w:after="0" w:line="120" w:lineRule="exact"/>
        <w:rPr>
          <w:b/>
          <w:sz w:val="10"/>
        </w:rPr>
      </w:pPr>
    </w:p>
    <w:p w:rsidR="000B6590" w:rsidRPr="000B6590" w:rsidRDefault="000B6590" w:rsidP="000B6590">
      <w:pPr>
        <w:pStyle w:val="SingleTxt"/>
        <w:spacing w:after="0" w:line="120" w:lineRule="exact"/>
        <w:rPr>
          <w:b/>
          <w:sz w:val="10"/>
        </w:rPr>
      </w:pPr>
    </w:p>
    <w:p w:rsidR="00857B5A" w:rsidRPr="00857B5A" w:rsidRDefault="00857B5A" w:rsidP="000B65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7B5A">
        <w:tab/>
        <w:t>II.</w:t>
      </w:r>
      <w:r w:rsidRPr="00857B5A">
        <w:tab/>
        <w:t xml:space="preserve">Обоснование </w:t>
      </w:r>
    </w:p>
    <w:p w:rsidR="000B6590" w:rsidRPr="000B6590" w:rsidRDefault="000B6590" w:rsidP="000B6590">
      <w:pPr>
        <w:pStyle w:val="SingleTxt"/>
        <w:spacing w:after="0" w:line="120" w:lineRule="exact"/>
        <w:rPr>
          <w:sz w:val="10"/>
        </w:rPr>
      </w:pPr>
    </w:p>
    <w:p w:rsidR="000B6590" w:rsidRPr="000B6590" w:rsidRDefault="000B6590" w:rsidP="000B6590">
      <w:pPr>
        <w:pStyle w:val="SingleTxt"/>
        <w:spacing w:after="0" w:line="120" w:lineRule="exact"/>
        <w:rPr>
          <w:sz w:val="10"/>
        </w:rPr>
      </w:pPr>
    </w:p>
    <w:p w:rsidR="00857B5A" w:rsidRPr="00857B5A" w:rsidRDefault="00857B5A" w:rsidP="000B6590">
      <w:pPr>
        <w:pStyle w:val="SingleTxt"/>
      </w:pPr>
      <w:r w:rsidRPr="00857B5A">
        <w:t>1.</w:t>
      </w:r>
      <w:r w:rsidRPr="00857B5A">
        <w:tab/>
        <w:t>Вышеизложенное предложение основано на соответствующих технических требованиях для боковых дверей с петлями, установленными сзади (пункт</w:t>
      </w:r>
      <w:r w:rsidR="000B6590">
        <w:rPr>
          <w:lang w:val="en-US"/>
        </w:rPr>
        <w:t> </w:t>
      </w:r>
      <w:r w:rsidRPr="00857B5A">
        <w:t>6.1.5.4).</w:t>
      </w:r>
    </w:p>
    <w:p w:rsidR="00857B5A" w:rsidRPr="00857B5A" w:rsidRDefault="00857B5A" w:rsidP="00857B5A">
      <w:pPr>
        <w:pStyle w:val="SingleTxt"/>
      </w:pPr>
      <w:r w:rsidRPr="00857B5A">
        <w:t>2.</w:t>
      </w:r>
      <w:r w:rsidRPr="00857B5A">
        <w:tab/>
        <w:t>Положение пункта 6.3.3 призвано обеспечить надлежащую защиту задней двери для предотвращения возможности случайного открывания двери при дв</w:t>
      </w:r>
      <w:r w:rsidRPr="00857B5A">
        <w:t>и</w:t>
      </w:r>
      <w:r w:rsidRPr="00857B5A">
        <w:t>жении транспортного средства.</w:t>
      </w:r>
    </w:p>
    <w:p w:rsidR="00857B5A" w:rsidRPr="00857B5A" w:rsidRDefault="00857B5A" w:rsidP="00857B5A">
      <w:pPr>
        <w:pStyle w:val="SingleTxt"/>
      </w:pPr>
      <w:r w:rsidRPr="00857B5A">
        <w:t>3.</w:t>
      </w:r>
      <w:r w:rsidRPr="00857B5A">
        <w:tab/>
        <w:t>Положения, предложенные в пункте 6.3.3.1, предусматривают альтернати</w:t>
      </w:r>
      <w:r w:rsidRPr="00857B5A">
        <w:t>в</w:t>
      </w:r>
      <w:r w:rsidRPr="00857B5A">
        <w:t>ные возможности для удовлетворения этого требования.</w:t>
      </w:r>
    </w:p>
    <w:p w:rsidR="001C1DCB" w:rsidRPr="000B6590" w:rsidRDefault="000B6590" w:rsidP="000B659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C1DCB" w:rsidRPr="000B6590" w:rsidSect="001C1DC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1T22:14:00Z" w:initials="Start">
    <w:p w:rsidR="001C1DCB" w:rsidRPr="00857B5A" w:rsidRDefault="001C1DCB">
      <w:pPr>
        <w:pStyle w:val="CommentText"/>
        <w:rPr>
          <w:lang w:val="en-US"/>
        </w:rPr>
      </w:pPr>
      <w:r>
        <w:fldChar w:fldCharType="begin"/>
      </w:r>
      <w:r w:rsidRPr="00857B5A">
        <w:rPr>
          <w:rStyle w:val="CommentReference"/>
          <w:lang w:val="en-US"/>
        </w:rPr>
        <w:instrText xml:space="preserve"> </w:instrText>
      </w:r>
      <w:r w:rsidRPr="00857B5A">
        <w:rPr>
          <w:lang w:val="en-US"/>
        </w:rPr>
        <w:instrText>PAGE \# "'Page: '#'</w:instrText>
      </w:r>
      <w:r w:rsidRPr="00857B5A">
        <w:rPr>
          <w:lang w:val="en-US"/>
        </w:rPr>
        <w:br/>
        <w:instrText>'"</w:instrText>
      </w:r>
      <w:r w:rsidRPr="00857B5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57B5A">
        <w:rPr>
          <w:lang w:val="en-US"/>
        </w:rPr>
        <w:t>&lt;&lt;ODS JOB NO&gt;&gt;N1521461R&lt;&lt;ODS JOB NO&gt;&gt;</w:t>
      </w:r>
    </w:p>
    <w:p w:rsidR="001C1DCB" w:rsidRDefault="001C1DCB">
      <w:pPr>
        <w:pStyle w:val="CommentText"/>
      </w:pPr>
      <w:r>
        <w:t>&lt;&lt;ODS DOC SYMBOL1&gt;&gt;ECE/TRANS/WP.29/GRSP/2015/26&lt;&lt;ODS DOC SYMBOL1&gt;&gt;</w:t>
      </w:r>
    </w:p>
    <w:p w:rsidR="001C1DCB" w:rsidRDefault="001C1DC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AD" w:rsidRDefault="00B47AAD" w:rsidP="008A1A7A">
      <w:pPr>
        <w:spacing w:line="240" w:lineRule="auto"/>
      </w:pPr>
      <w:r>
        <w:separator/>
      </w:r>
    </w:p>
  </w:endnote>
  <w:endnote w:type="continuationSeparator" w:id="0">
    <w:p w:rsidR="00B47AAD" w:rsidRDefault="00B47AA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C1DCB" w:rsidTr="001C1D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C1DCB" w:rsidRPr="001C1DCB" w:rsidRDefault="001C1DCB" w:rsidP="001C1DC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C416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C416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C1DCB" w:rsidRPr="001C1DCB" w:rsidRDefault="001C1DCB" w:rsidP="001C1DC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A14CB">
            <w:rPr>
              <w:b w:val="0"/>
              <w:color w:val="000000"/>
              <w:sz w:val="14"/>
            </w:rPr>
            <w:t>GE.15-16067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C1DCB" w:rsidRPr="001C1DCB" w:rsidRDefault="001C1DCB" w:rsidP="001C1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C1DCB" w:rsidTr="001C1D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C1DCB" w:rsidRPr="001C1DCB" w:rsidRDefault="001C1DCB" w:rsidP="001C1DC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A14CB">
            <w:rPr>
              <w:b w:val="0"/>
              <w:color w:val="000000"/>
              <w:sz w:val="14"/>
            </w:rPr>
            <w:t>GE.15-16067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1DCB" w:rsidRPr="001C1DCB" w:rsidRDefault="001C1DCB" w:rsidP="001C1DC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A14C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A14CB">
              <w:rPr>
                <w:noProof/>
              </w:rPr>
              <w:t>2</w:t>
            </w:r>
          </w:fldSimple>
        </w:p>
      </w:tc>
    </w:tr>
  </w:tbl>
  <w:p w:rsidR="001C1DCB" w:rsidRPr="001C1DCB" w:rsidRDefault="001C1DCB" w:rsidP="001C1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C1DCB" w:rsidTr="001C1DCB">
      <w:tc>
        <w:tcPr>
          <w:tcW w:w="3873" w:type="dxa"/>
        </w:tcPr>
        <w:p w:rsidR="001C1DCB" w:rsidRDefault="001C1DCB" w:rsidP="001C1DC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9660866" wp14:editId="0A5D18D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GE.15-16067 (R)</w:t>
          </w:r>
          <w:r>
            <w:rPr>
              <w:color w:val="010000"/>
            </w:rPr>
            <w:t xml:space="preserve">    </w:t>
          </w:r>
          <w:r w:rsidR="000F2F64">
            <w:rPr>
              <w:color w:val="010000"/>
            </w:rPr>
            <w:t>2</w:t>
          </w:r>
          <w:r w:rsidR="000F2F64">
            <w:rPr>
              <w:color w:val="010000"/>
              <w:lang w:val="en-US"/>
            </w:rPr>
            <w:t>0</w:t>
          </w:r>
          <w:r>
            <w:rPr>
              <w:color w:val="010000"/>
            </w:rPr>
            <w:t>1015    211015</w:t>
          </w:r>
        </w:p>
        <w:p w:rsidR="001C1DCB" w:rsidRPr="001C1DCB" w:rsidRDefault="001C1DCB" w:rsidP="001C1DC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*1516067*</w:t>
          </w:r>
        </w:p>
      </w:tc>
      <w:tc>
        <w:tcPr>
          <w:tcW w:w="5127" w:type="dxa"/>
        </w:tcPr>
        <w:p w:rsidR="001C1DCB" w:rsidRDefault="001C1DCB" w:rsidP="001C1DC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08E6CCF" wp14:editId="62F11B5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DCB" w:rsidRPr="001C1DCB" w:rsidRDefault="001C1DCB" w:rsidP="001C1DC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AD" w:rsidRPr="00857B5A" w:rsidRDefault="00857B5A" w:rsidP="00857B5A">
      <w:pPr>
        <w:pStyle w:val="Footer"/>
        <w:spacing w:after="80"/>
        <w:ind w:left="792"/>
        <w:rPr>
          <w:sz w:val="16"/>
        </w:rPr>
      </w:pPr>
      <w:r w:rsidRPr="00857B5A">
        <w:rPr>
          <w:sz w:val="16"/>
        </w:rPr>
        <w:t>__________________</w:t>
      </w:r>
    </w:p>
  </w:footnote>
  <w:footnote w:type="continuationSeparator" w:id="0">
    <w:p w:rsidR="00B47AAD" w:rsidRPr="00857B5A" w:rsidRDefault="00857B5A" w:rsidP="00857B5A">
      <w:pPr>
        <w:pStyle w:val="Footer"/>
        <w:spacing w:after="80"/>
        <w:ind w:left="792"/>
        <w:rPr>
          <w:sz w:val="16"/>
        </w:rPr>
      </w:pPr>
      <w:r w:rsidRPr="00857B5A">
        <w:rPr>
          <w:sz w:val="16"/>
        </w:rPr>
        <w:t>__________________</w:t>
      </w:r>
    </w:p>
  </w:footnote>
  <w:footnote w:id="1">
    <w:p w:rsidR="00857B5A" w:rsidRDefault="00857B5A" w:rsidP="00857B5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57B5A">
        <w:rPr>
          <w:rStyle w:val="FootnoteReference"/>
          <w:szCs w:val="17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857B5A">
        <w:br/>
      </w:r>
      <w:r>
        <w:t>на</w:t>
      </w:r>
      <w:r>
        <w:rPr>
          <w:lang w:val="en-US"/>
        </w:rPr>
        <w:t> </w:t>
      </w:r>
      <w:r>
        <w:t>2012−2016 годы (ECE/TRANS/224, пункт 94, и ECE/TRANS/2012/12, подпрограмма 02.4) Всемирный форум будет разрабатывать, согласовывать и</w:t>
      </w:r>
      <w:r>
        <w:rPr>
          <w:lang w:val="en-US"/>
        </w:rPr>
        <w:t> </w:t>
      </w:r>
      <w: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C1DCB" w:rsidTr="001C1D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C1DCB" w:rsidRPr="001C1DCB" w:rsidRDefault="001C1DCB" w:rsidP="001C1DC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A14CB">
            <w:rPr>
              <w:b/>
            </w:rPr>
            <w:t>ECE/TRANS/WP.29/GRSP/2015/26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1DCB" w:rsidRDefault="001C1DCB" w:rsidP="001C1DCB">
          <w:pPr>
            <w:pStyle w:val="Header"/>
          </w:pPr>
        </w:p>
      </w:tc>
    </w:tr>
  </w:tbl>
  <w:p w:rsidR="001C1DCB" w:rsidRPr="001C1DCB" w:rsidRDefault="001C1DCB" w:rsidP="001C1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C1DCB" w:rsidTr="001C1D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C1DCB" w:rsidRDefault="001C1DCB" w:rsidP="001C1DC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C1DCB" w:rsidRPr="001C1DCB" w:rsidRDefault="001C1DCB" w:rsidP="001C1DC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A14CB">
            <w:rPr>
              <w:b/>
            </w:rPr>
            <w:t>ECE/TRANS/WP.29/GRSP/2015/26</w:t>
          </w:r>
          <w:r>
            <w:rPr>
              <w:b/>
            </w:rPr>
            <w:fldChar w:fldCharType="end"/>
          </w:r>
        </w:p>
      </w:tc>
    </w:tr>
  </w:tbl>
  <w:p w:rsidR="001C1DCB" w:rsidRPr="001C1DCB" w:rsidRDefault="001C1DCB" w:rsidP="001C1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C1DCB" w:rsidTr="001C1DC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C1DCB" w:rsidRPr="001C1DCB" w:rsidRDefault="001C1DCB" w:rsidP="001C1DC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C1DCB" w:rsidRDefault="001C1DCB" w:rsidP="001C1DC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C1DCB" w:rsidRPr="001C1DCB" w:rsidRDefault="001C1DCB" w:rsidP="001C1DC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/TRANS/WP.29/GRSP/2015/26</w:t>
          </w:r>
        </w:p>
      </w:tc>
    </w:tr>
    <w:tr w:rsidR="001C1DCB" w:rsidRPr="00857B5A" w:rsidTr="001C1DC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DCB" w:rsidRPr="001C1DCB" w:rsidRDefault="001C1DCB" w:rsidP="001C1DC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FDA58D5" wp14:editId="468EA53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DCB" w:rsidRPr="001C1DCB" w:rsidRDefault="001C1DCB" w:rsidP="001C1DC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DCB" w:rsidRPr="001C1DCB" w:rsidRDefault="001C1DCB" w:rsidP="001C1DC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1DCB" w:rsidRPr="00857B5A" w:rsidRDefault="001C1DCB" w:rsidP="001C1DCB">
          <w:pPr>
            <w:pStyle w:val="Distribution"/>
            <w:rPr>
              <w:color w:val="000000"/>
              <w:lang w:val="en-US"/>
            </w:rPr>
          </w:pPr>
          <w:r w:rsidRPr="00857B5A">
            <w:rPr>
              <w:color w:val="000000"/>
              <w:lang w:val="en-US"/>
            </w:rPr>
            <w:t>Distr.: General</w:t>
          </w:r>
        </w:p>
        <w:p w:rsidR="001C1DCB" w:rsidRPr="00857B5A" w:rsidRDefault="001C1DCB" w:rsidP="001C1DCB">
          <w:pPr>
            <w:pStyle w:val="Publication"/>
            <w:rPr>
              <w:color w:val="000000"/>
              <w:lang w:val="en-US"/>
            </w:rPr>
          </w:pPr>
          <w:r w:rsidRPr="00857B5A">
            <w:rPr>
              <w:color w:val="000000"/>
              <w:lang w:val="en-US"/>
            </w:rPr>
            <w:t>22 September 2015</w:t>
          </w:r>
        </w:p>
        <w:p w:rsidR="001C1DCB" w:rsidRPr="00857B5A" w:rsidRDefault="001C1DCB" w:rsidP="001C1DCB">
          <w:pPr>
            <w:rPr>
              <w:color w:val="000000"/>
              <w:lang w:val="en-US"/>
            </w:rPr>
          </w:pPr>
          <w:r w:rsidRPr="00857B5A">
            <w:rPr>
              <w:color w:val="000000"/>
              <w:lang w:val="en-US"/>
            </w:rPr>
            <w:t>Russian</w:t>
          </w:r>
        </w:p>
        <w:p w:rsidR="001C1DCB" w:rsidRPr="00857B5A" w:rsidRDefault="001C1DCB" w:rsidP="001C1DCB">
          <w:pPr>
            <w:pStyle w:val="Original"/>
            <w:rPr>
              <w:color w:val="000000"/>
              <w:lang w:val="en-US"/>
            </w:rPr>
          </w:pPr>
          <w:r w:rsidRPr="00857B5A">
            <w:rPr>
              <w:color w:val="000000"/>
              <w:lang w:val="en-US"/>
            </w:rPr>
            <w:t>Original: English</w:t>
          </w:r>
        </w:p>
        <w:p w:rsidR="001C1DCB" w:rsidRPr="00857B5A" w:rsidRDefault="001C1DCB" w:rsidP="001C1DCB">
          <w:pPr>
            <w:rPr>
              <w:lang w:val="en-US"/>
            </w:rPr>
          </w:pPr>
        </w:p>
      </w:tc>
    </w:tr>
  </w:tbl>
  <w:p w:rsidR="001C1DCB" w:rsidRPr="00857B5A" w:rsidRDefault="001C1DCB" w:rsidP="001C1DC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067*"/>
    <w:docVar w:name="CreationDt" w:val="10/21/2015 10:14 PM"/>
    <w:docVar w:name="DocCategory" w:val="Doc"/>
    <w:docVar w:name="DocType" w:val="Final"/>
    <w:docVar w:name="DutyStation" w:val="Geneva"/>
    <w:docVar w:name="FooterJN" w:val="GE.15-16067"/>
    <w:docVar w:name="jobn" w:val="GE.15-16067 (R)"/>
    <w:docVar w:name="jobnDT" w:val="GE.15-16067 (R)   211015"/>
    <w:docVar w:name="jobnDTDT" w:val="GE.15-16067 (R)   211015   211015"/>
    <w:docVar w:name="JobNo" w:val="GE.1516067R"/>
    <w:docVar w:name="JobNo2" w:val="1521461R"/>
    <w:docVar w:name="LocalDrive" w:val="0"/>
    <w:docVar w:name="OandT" w:val=" "/>
    <w:docVar w:name="PaperSize" w:val="A4"/>
    <w:docVar w:name="sss1" w:val="ECE/TRANS/WP.29/GRSP/2015/26"/>
    <w:docVar w:name="sss2" w:val="-"/>
    <w:docVar w:name="Symbol1" w:val="ECE/TRANS/WP.29/GRSP/2015/26"/>
    <w:docVar w:name="Symbol2" w:val="-"/>
  </w:docVars>
  <w:rsids>
    <w:rsidRoot w:val="00B47AA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6590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2F64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1DCB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416E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2A4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41A5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57B5A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70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47AAD"/>
    <w:rsid w:val="00B5129B"/>
    <w:rsid w:val="00B56376"/>
    <w:rsid w:val="00B5741E"/>
    <w:rsid w:val="00B606B7"/>
    <w:rsid w:val="00B62C69"/>
    <w:rsid w:val="00B666EC"/>
    <w:rsid w:val="00B77560"/>
    <w:rsid w:val="00B77FC0"/>
    <w:rsid w:val="00BA14CB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1FE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3F34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6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6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97F2-FE4A-4BF1-87FC-4311112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2015-10-21T20:25:00Z</cp:lastPrinted>
  <dcterms:created xsi:type="dcterms:W3CDTF">2015-11-17T08:43:00Z</dcterms:created>
  <dcterms:modified xsi:type="dcterms:W3CDTF">2015-11-17T08:43:00Z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1516067R</vt:lpwstr>
  </property>
  <property fmtid="{D5CDD505-2E9C-101B-9397-08002B2CF9AE}" pid="3" name="ODSRefJobNo">
    <vt:lpwstr>1521461R</vt:lpwstr>
  </property>
  <property fmtid="{D5CDD505-2E9C-101B-9397-08002B2CF9AE}" pid="4" name="Symbol1">
    <vt:lpwstr>ECE/TRANS/WP.29/GRSP/2015/26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211015</vt:lpwstr>
  </property>
</Properties>
</file>