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B9" w:rsidRPr="00AD71E2" w:rsidRDefault="00B11505" w:rsidP="006951B9">
      <w:pPr>
        <w:pStyle w:val="HChG"/>
        <w:ind w:left="567" w:firstLine="0"/>
        <w:jc w:val="center"/>
        <w:rPr>
          <w:lang w:val="en-US"/>
        </w:rPr>
      </w:pPr>
      <w:bookmarkStart w:id="0" w:name="_GoBack"/>
      <w:bookmarkEnd w:id="0"/>
      <w:r w:rsidRPr="00AD71E2">
        <w:rPr>
          <w:lang w:val="en-US"/>
        </w:rPr>
        <w:t>OICA c</w:t>
      </w:r>
      <w:r w:rsidR="00E832C2" w:rsidRPr="00AD71E2">
        <w:rPr>
          <w:lang w:val="en-US"/>
        </w:rPr>
        <w:t xml:space="preserve">omments on </w:t>
      </w:r>
      <w:r w:rsidR="00C7054F" w:rsidRPr="00AD71E2">
        <w:rPr>
          <w:lang w:val="en-US"/>
        </w:rPr>
        <w:t>the transposition</w:t>
      </w:r>
      <w:r w:rsidR="00FF3D3C" w:rsidRPr="00AD71E2">
        <w:rPr>
          <w:lang w:val="en-US"/>
        </w:rPr>
        <w:t xml:space="preserve"> </w:t>
      </w:r>
      <w:r w:rsidR="00B34E72" w:rsidRPr="00AD71E2">
        <w:rPr>
          <w:lang w:val="en-US"/>
        </w:rPr>
        <w:t xml:space="preserve">process </w:t>
      </w:r>
      <w:r w:rsidR="00FF3D3C" w:rsidRPr="00AD71E2">
        <w:rPr>
          <w:lang w:val="en-US"/>
        </w:rPr>
        <w:t xml:space="preserve">of </w:t>
      </w:r>
      <w:r w:rsidR="007C6734" w:rsidRPr="00AD71E2">
        <w:rPr>
          <w:lang w:val="en-US"/>
        </w:rPr>
        <w:t>GTR</w:t>
      </w:r>
      <w:r w:rsidR="00FF3D3C" w:rsidRPr="00AD71E2">
        <w:rPr>
          <w:lang w:val="en-US"/>
        </w:rPr>
        <w:t xml:space="preserve"> </w:t>
      </w:r>
      <w:r w:rsidR="00B34E72" w:rsidRPr="00AD71E2">
        <w:rPr>
          <w:lang w:val="en-US"/>
        </w:rPr>
        <w:t xml:space="preserve">No. </w:t>
      </w:r>
      <w:r w:rsidR="00FF3D3C" w:rsidRPr="00AD71E2">
        <w:rPr>
          <w:lang w:val="en-US"/>
        </w:rPr>
        <w:t>15 (WLTP) into UN Regulation</w:t>
      </w:r>
      <w:r w:rsidR="005240B3" w:rsidRPr="00AD71E2">
        <w:rPr>
          <w:lang w:val="en-US"/>
        </w:rPr>
        <w:t xml:space="preserve"> (</w:t>
      </w:r>
      <w:r w:rsidR="00D10BD8" w:rsidRPr="00AD71E2">
        <w:rPr>
          <w:lang w:val="en-US"/>
        </w:rPr>
        <w:t>1958 Agreement)</w:t>
      </w:r>
    </w:p>
    <w:p w:rsidR="006951B9" w:rsidRPr="00AD71E2" w:rsidRDefault="00495470" w:rsidP="00491A20">
      <w:pPr>
        <w:pStyle w:val="ListParagraph"/>
        <w:ind w:left="567" w:right="1134"/>
        <w:jc w:val="both"/>
        <w:rPr>
          <w:lang w:val="en-US"/>
        </w:rPr>
      </w:pPr>
      <w:r w:rsidRPr="00AD71E2">
        <w:rPr>
          <w:lang w:val="en-US"/>
        </w:rPr>
        <w:t>This paper is prepare</w:t>
      </w:r>
      <w:r w:rsidR="00897B83" w:rsidRPr="00AD71E2">
        <w:rPr>
          <w:lang w:val="en-US"/>
        </w:rPr>
        <w:t>d and distributed by the expert</w:t>
      </w:r>
      <w:r w:rsidRPr="00AD71E2">
        <w:rPr>
          <w:lang w:val="en-US"/>
        </w:rPr>
        <w:t xml:space="preserve"> from OICA.  It is not however a proposal, rather an attempt to identify some areas of concern and bring them to discussion in GRPE.</w:t>
      </w:r>
    </w:p>
    <w:p w:rsidR="00495470" w:rsidRPr="00AD71E2" w:rsidRDefault="00495470" w:rsidP="00495470">
      <w:pPr>
        <w:pStyle w:val="ListParagraph"/>
        <w:ind w:left="567" w:right="1134"/>
        <w:jc w:val="both"/>
        <w:rPr>
          <w:lang w:val="en-US"/>
        </w:rPr>
      </w:pPr>
    </w:p>
    <w:p w:rsidR="00D52DAA" w:rsidRPr="00AD71E2" w:rsidRDefault="00495470" w:rsidP="00491A20">
      <w:pPr>
        <w:pStyle w:val="ListParagraph"/>
        <w:numPr>
          <w:ilvl w:val="0"/>
          <w:numId w:val="25"/>
        </w:numPr>
        <w:ind w:left="924" w:right="1134" w:hanging="357"/>
        <w:jc w:val="both"/>
        <w:rPr>
          <w:lang w:val="en-US"/>
        </w:rPr>
      </w:pPr>
      <w:r w:rsidRPr="00AD71E2">
        <w:rPr>
          <w:lang w:val="en-US"/>
        </w:rPr>
        <w:t>For many years, the European Union had separate legislative acts for the measurements of Criteria Emissions (sometimes referred to as Pollutant Emissions or merely Pollutants) and of Fuel Consumption and CO2 Emissions. This led to the establishment of UNECE Regulations 83 and 101 respectively and these UN Regulations are currently fully aligned with the EU legislation as to the measurement and limits of pollutant emissions and the measurements of fuel consumption/CO2 emissions.</w:t>
      </w:r>
    </w:p>
    <w:p w:rsidR="00491A20" w:rsidRPr="00AD71E2" w:rsidRDefault="00491A20" w:rsidP="00491A20">
      <w:pPr>
        <w:pStyle w:val="ListParagraph"/>
        <w:ind w:left="924" w:right="1134"/>
        <w:jc w:val="both"/>
        <w:rPr>
          <w:lang w:val="en-US"/>
        </w:rPr>
      </w:pPr>
    </w:p>
    <w:p w:rsidR="00495470" w:rsidRPr="00AD71E2" w:rsidRDefault="00495470" w:rsidP="00760D84">
      <w:pPr>
        <w:pStyle w:val="ListParagraph"/>
        <w:numPr>
          <w:ilvl w:val="0"/>
          <w:numId w:val="25"/>
        </w:numPr>
        <w:ind w:left="924" w:right="1134" w:hanging="357"/>
        <w:jc w:val="both"/>
        <w:rPr>
          <w:lang w:val="en-US"/>
        </w:rPr>
      </w:pPr>
      <w:r w:rsidRPr="00AD71E2">
        <w:rPr>
          <w:lang w:val="en-US"/>
        </w:rPr>
        <w:t xml:space="preserve">The tests performed to obtain these measurements were </w:t>
      </w:r>
      <w:proofErr w:type="spellStart"/>
      <w:r w:rsidRPr="00AD71E2">
        <w:rPr>
          <w:lang w:val="en-US"/>
        </w:rPr>
        <w:t>harmonised</w:t>
      </w:r>
      <w:proofErr w:type="spellEnd"/>
      <w:r w:rsidRPr="00AD71E2">
        <w:rPr>
          <w:lang w:val="en-US"/>
        </w:rPr>
        <w:t xml:space="preserve"> in the early 1990s in the EU and in the late 2000s the logical decision was taken to consolidate the legislative acts into the Euro 5 &amp; 6 Regulations (EU framework directive 2007/46, Euro 5/6 regulations 715/2007, 692/2008).</w:t>
      </w:r>
    </w:p>
    <w:p w:rsidR="00F169D6" w:rsidRPr="00AD71E2" w:rsidRDefault="00F169D6" w:rsidP="00F169D6">
      <w:pPr>
        <w:pStyle w:val="ListParagraph"/>
        <w:ind w:left="924" w:right="1134"/>
        <w:jc w:val="both"/>
        <w:rPr>
          <w:lang w:val="en-US"/>
        </w:rPr>
      </w:pPr>
    </w:p>
    <w:p w:rsidR="006137F3" w:rsidRPr="00AD71E2" w:rsidRDefault="00F169D6" w:rsidP="006137F3">
      <w:pPr>
        <w:pStyle w:val="ListParagraph"/>
        <w:numPr>
          <w:ilvl w:val="0"/>
          <w:numId w:val="25"/>
        </w:numPr>
        <w:ind w:right="1134"/>
        <w:jc w:val="both"/>
        <w:rPr>
          <w:lang w:val="en-US"/>
        </w:rPr>
      </w:pPr>
      <w:r w:rsidRPr="00AD71E2">
        <w:rPr>
          <w:lang w:val="en-US"/>
        </w:rPr>
        <w:t>GRPE has on occasion discussed the possibility of reflecting this combined structure (Criteria Emissions and Fuel Consumption) in the 58 agreement but for various reasons has never taken this decision. The three major hurdles to this were:</w:t>
      </w:r>
    </w:p>
    <w:p w:rsidR="006137F3" w:rsidRPr="00AD71E2" w:rsidRDefault="00F169D6" w:rsidP="006137F3">
      <w:pPr>
        <w:pStyle w:val="ListParagraph"/>
        <w:numPr>
          <w:ilvl w:val="0"/>
          <w:numId w:val="26"/>
        </w:numPr>
        <w:ind w:right="1134"/>
        <w:jc w:val="both"/>
        <w:rPr>
          <w:lang w:val="en-US"/>
        </w:rPr>
      </w:pPr>
      <w:r w:rsidRPr="00AD71E2">
        <w:rPr>
          <w:lang w:val="en-US"/>
        </w:rPr>
        <w:t>Administrative burden – this has two sides, the burden of splitting a European Regulation that covers both subjects and the burden for Contracting Parties to leave existing Regulations and join new ones.</w:t>
      </w:r>
    </w:p>
    <w:p w:rsidR="006137F3" w:rsidRPr="00AD71E2" w:rsidRDefault="00F169D6" w:rsidP="006137F3">
      <w:pPr>
        <w:pStyle w:val="ListParagraph"/>
        <w:numPr>
          <w:ilvl w:val="0"/>
          <w:numId w:val="26"/>
        </w:numPr>
        <w:ind w:right="1134"/>
        <w:jc w:val="both"/>
        <w:rPr>
          <w:lang w:val="en-US"/>
        </w:rPr>
      </w:pPr>
      <w:r w:rsidRPr="00AD71E2">
        <w:rPr>
          <w:lang w:val="en-US"/>
        </w:rPr>
        <w:t>Attractiveness of the 58 Agreement – Regulations 83 and 101 have different groups of Contracting Parties, it may appear unattractive if the choice no longer applies, i.e. all or nothing.</w:t>
      </w:r>
    </w:p>
    <w:p w:rsidR="00F169D6" w:rsidRPr="00AD71E2" w:rsidRDefault="00F169D6" w:rsidP="006137F3">
      <w:pPr>
        <w:pStyle w:val="ListParagraph"/>
        <w:numPr>
          <w:ilvl w:val="0"/>
          <w:numId w:val="26"/>
        </w:numPr>
        <w:ind w:right="1134"/>
        <w:jc w:val="both"/>
        <w:rPr>
          <w:lang w:val="en-US"/>
        </w:rPr>
      </w:pPr>
      <w:r w:rsidRPr="00AD71E2">
        <w:rPr>
          <w:lang w:val="en-US"/>
        </w:rPr>
        <w:t>Different legislative concepts – The measurement of Criteria Emissions fits to a worst case legislative concept whereby demonstration that the vehicle complies with the expected highest emissions is a demonstration that all vehicles in the family comply.  The measurement of Fuel Consumption however is predominantly made for consumer information and should be representative rather than the worst case.  One may consider the measurement of CO2 emissions to be comparable to that of Criteria Emissions as it had an environmental influence but the tendency to regulate this with financial penalties (e.g. EU fleet CO2 Regulation) renders a worst case approach infeasible for the industry.</w:t>
      </w:r>
    </w:p>
    <w:p w:rsidR="006137F3" w:rsidRPr="00AD71E2" w:rsidRDefault="006137F3" w:rsidP="006137F3">
      <w:pPr>
        <w:pStyle w:val="ListParagraph"/>
        <w:ind w:left="960"/>
        <w:rPr>
          <w:lang w:val="en-US"/>
        </w:rPr>
      </w:pPr>
    </w:p>
    <w:p w:rsidR="006137F3" w:rsidRPr="00AD71E2" w:rsidRDefault="006137F3" w:rsidP="00760D84">
      <w:pPr>
        <w:pStyle w:val="ListParagraph"/>
        <w:numPr>
          <w:ilvl w:val="0"/>
          <w:numId w:val="25"/>
        </w:numPr>
        <w:ind w:left="924" w:right="1134" w:hanging="357"/>
        <w:jc w:val="both"/>
        <w:rPr>
          <w:lang w:val="en-US"/>
        </w:rPr>
      </w:pPr>
      <w:r w:rsidRPr="00AD71E2">
        <w:rPr>
          <w:lang w:val="en-US"/>
        </w:rPr>
        <w:t xml:space="preserve">Therefore, many stakeholders are now waiting for the transposition of </w:t>
      </w:r>
      <w:proofErr w:type="spellStart"/>
      <w:r w:rsidRPr="00AD71E2">
        <w:rPr>
          <w:lang w:val="en-US"/>
        </w:rPr>
        <w:t>gtr</w:t>
      </w:r>
      <w:proofErr w:type="spellEnd"/>
      <w:r w:rsidRPr="00AD71E2">
        <w:rPr>
          <w:lang w:val="en-US"/>
        </w:rPr>
        <w:t xml:space="preserve"> 15 into one single Regulation under the 1958 Agreement which would repla</w:t>
      </w:r>
      <w:r w:rsidR="00760D84" w:rsidRPr="00AD71E2">
        <w:rPr>
          <w:lang w:val="en-US"/>
        </w:rPr>
        <w:t xml:space="preserve">ce both Regulations 83 and 101, </w:t>
      </w:r>
      <w:r w:rsidRPr="00AD71E2">
        <w:rPr>
          <w:lang w:val="en-US"/>
        </w:rPr>
        <w:t>similarly to the current EU legislation.</w:t>
      </w:r>
    </w:p>
    <w:p w:rsidR="007E0652" w:rsidRPr="00AD71E2" w:rsidRDefault="007E0652" w:rsidP="007E0652">
      <w:pPr>
        <w:pStyle w:val="ListParagraph"/>
        <w:ind w:left="960" w:right="1134"/>
        <w:jc w:val="both"/>
        <w:rPr>
          <w:lang w:val="en-US"/>
        </w:rPr>
      </w:pPr>
    </w:p>
    <w:p w:rsidR="00663720" w:rsidRPr="00AD71E2" w:rsidRDefault="006137F3" w:rsidP="00663720">
      <w:pPr>
        <w:pStyle w:val="ListParagraph"/>
        <w:numPr>
          <w:ilvl w:val="0"/>
          <w:numId w:val="25"/>
        </w:numPr>
        <w:ind w:left="924" w:right="1134" w:hanging="357"/>
        <w:jc w:val="both"/>
        <w:rPr>
          <w:lang w:val="en-US"/>
        </w:rPr>
      </w:pPr>
      <w:r w:rsidRPr="00AD71E2">
        <w:rPr>
          <w:lang w:val="en-US"/>
        </w:rPr>
        <w:t xml:space="preserve">However, in view of the lack of </w:t>
      </w:r>
      <w:proofErr w:type="spellStart"/>
      <w:r w:rsidRPr="00AD71E2">
        <w:rPr>
          <w:lang w:val="en-US"/>
        </w:rPr>
        <w:t>harmonisation</w:t>
      </w:r>
      <w:proofErr w:type="spellEnd"/>
      <w:r w:rsidRPr="00AD71E2">
        <w:rPr>
          <w:lang w:val="en-US"/>
        </w:rPr>
        <w:t xml:space="preserve"> of </w:t>
      </w:r>
      <w:proofErr w:type="spellStart"/>
      <w:r w:rsidRPr="00AD71E2">
        <w:rPr>
          <w:lang w:val="en-US"/>
        </w:rPr>
        <w:t>gtr</w:t>
      </w:r>
      <w:proofErr w:type="spellEnd"/>
      <w:r w:rsidRPr="00AD71E2">
        <w:rPr>
          <w:lang w:val="en-US"/>
        </w:rPr>
        <w:t xml:space="preserve"> 15 (there are fundamental regional options such as the drive cycle) and</w:t>
      </w:r>
      <w:r w:rsidR="00A106BC">
        <w:rPr>
          <w:lang w:val="en-US"/>
        </w:rPr>
        <w:t xml:space="preserve"> the future integration in IWVTA</w:t>
      </w:r>
      <w:r w:rsidR="00EA54EB" w:rsidRPr="00EA54EB">
        <w:rPr>
          <w:rStyle w:val="FootnoteReference"/>
          <w:lang w:val="en-US"/>
        </w:rPr>
        <w:footnoteReference w:customMarkFollows="1" w:id="2"/>
        <w:sym w:font="Symbol" w:char="F02A"/>
      </w:r>
      <w:r w:rsidR="002D67C0" w:rsidRPr="00AD71E2">
        <w:rPr>
          <w:lang w:val="en-US"/>
        </w:rPr>
        <w:t>,</w:t>
      </w:r>
      <w:r w:rsidRPr="00AD71E2">
        <w:rPr>
          <w:lang w:val="en-US"/>
        </w:rPr>
        <w:t xml:space="preserve"> OICA feels that the </w:t>
      </w:r>
      <w:r w:rsidRPr="00AD71E2">
        <w:rPr>
          <w:lang w:val="en-US"/>
        </w:rPr>
        <w:lastRenderedPageBreak/>
        <w:t>decision should not be taken lightly and that GRPE should first have a full and informed discussion on the matter.</w:t>
      </w:r>
    </w:p>
    <w:p w:rsidR="006230F5" w:rsidRPr="00AD71E2" w:rsidRDefault="006230F5" w:rsidP="00664215">
      <w:pPr>
        <w:ind w:left="924" w:right="1134"/>
        <w:jc w:val="both"/>
        <w:rPr>
          <w:lang w:val="en-US"/>
        </w:rPr>
      </w:pPr>
      <w:r w:rsidRPr="00AD71E2">
        <w:rPr>
          <w:lang w:val="en-US"/>
        </w:rPr>
        <w:t xml:space="preserve">The </w:t>
      </w:r>
      <w:proofErr w:type="spellStart"/>
      <w:r w:rsidRPr="00AD71E2">
        <w:rPr>
          <w:lang w:val="en-US"/>
        </w:rPr>
        <w:t>favoured</w:t>
      </w:r>
      <w:proofErr w:type="spellEnd"/>
      <w:r w:rsidRPr="00AD71E2">
        <w:rPr>
          <w:lang w:val="en-US"/>
        </w:rPr>
        <w:t xml:space="preserve"> option</w:t>
      </w:r>
      <w:r w:rsidR="00664215">
        <w:rPr>
          <w:lang w:val="en-US"/>
        </w:rPr>
        <w:t xml:space="preserve"> </w:t>
      </w:r>
      <w:r w:rsidRPr="00AD71E2">
        <w:rPr>
          <w:lang w:val="en-US"/>
        </w:rPr>
        <w:t>is to develop various levels of 58A Regulation: a top level which would be accepted by all Contracting Parties and would be the candidate for Universal IWVTA, and several lower levels representing the desired regional standards. It remains unclear whether these lower levels would be different modules or series of amendments or some other new concept and whether a hierarchy of stringency has to be defined between them.  For the top level however, it is clear that a worst case approach is necessary but it is still open whether this is possible (e.g. between different cycles), whether it is would be used/usable by industry (non-usage would threaten u-IWVTA) and as stated above, whether the measurement of Fuel Consumption can be fitted to a “worst-worst case” approach as mentioned above.</w:t>
      </w:r>
    </w:p>
    <w:p w:rsidR="00732F94" w:rsidRPr="00AD71E2" w:rsidRDefault="00732F94" w:rsidP="00732F94">
      <w:pPr>
        <w:pStyle w:val="ListParagraph"/>
        <w:ind w:left="960" w:right="1134"/>
        <w:jc w:val="both"/>
        <w:rPr>
          <w:lang w:val="en-US"/>
        </w:rPr>
      </w:pPr>
    </w:p>
    <w:p w:rsidR="00732F94" w:rsidRPr="00AD71E2" w:rsidRDefault="00732F94" w:rsidP="00556337">
      <w:pPr>
        <w:pStyle w:val="ListParagraph"/>
        <w:numPr>
          <w:ilvl w:val="0"/>
          <w:numId w:val="25"/>
        </w:numPr>
        <w:ind w:left="924" w:right="1134" w:hanging="357"/>
        <w:jc w:val="both"/>
        <w:rPr>
          <w:lang w:val="en-US"/>
        </w:rPr>
      </w:pPr>
      <w:r w:rsidRPr="00AD71E2">
        <w:rPr>
          <w:lang w:val="en-US"/>
        </w:rPr>
        <w:t>OICA therefore requests that the GRPE IWVTA Ambassador actively informs GRPE of the plans, timing and consequences of IWVTA and that GRPE fully discuss the implications before moving forward on the transposition of WLTP into the 58 Agreement.  Of course OICA will support the legislative development process fully</w:t>
      </w:r>
      <w:r w:rsidR="00663720" w:rsidRPr="00AD71E2">
        <w:rPr>
          <w:lang w:val="en-US"/>
        </w:rPr>
        <w:t>.</w:t>
      </w:r>
    </w:p>
    <w:p w:rsidR="00556337" w:rsidRPr="00AD71E2" w:rsidRDefault="00556337" w:rsidP="00556337">
      <w:pPr>
        <w:ind w:right="1134"/>
        <w:jc w:val="both"/>
        <w:rPr>
          <w:lang w:val="en-US"/>
        </w:rPr>
      </w:pPr>
    </w:p>
    <w:p w:rsidR="00556337" w:rsidRPr="00AD71E2" w:rsidRDefault="00556337" w:rsidP="009E361E">
      <w:pPr>
        <w:ind w:right="1134"/>
        <w:jc w:val="center"/>
        <w:rPr>
          <w:lang w:val="en-US"/>
        </w:rPr>
      </w:pPr>
      <w:r w:rsidRPr="00AD71E2">
        <w:rPr>
          <w:lang w:val="en-US"/>
        </w:rPr>
        <w:t>_____</w:t>
      </w:r>
      <w:r w:rsidR="009E361E" w:rsidRPr="00AD71E2">
        <w:rPr>
          <w:lang w:val="en-US"/>
        </w:rPr>
        <w:t>_____</w:t>
      </w:r>
    </w:p>
    <w:sectPr w:rsidR="00556337" w:rsidRPr="00AD71E2" w:rsidSect="00664215">
      <w:headerReference w:type="default" r:id="rId9"/>
      <w:footerReference w:type="even" r:id="rId10"/>
      <w:footerReference w:type="default" r:id="rId11"/>
      <w:headerReference w:type="first" r:id="rId12"/>
      <w:endnotePr>
        <w:numFmt w:val="decimal"/>
      </w:endnotePr>
      <w:pgSz w:w="11907" w:h="16840" w:code="9"/>
      <w:pgMar w:top="993"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4C" w:rsidRDefault="008C444C"/>
  </w:endnote>
  <w:endnote w:type="continuationSeparator" w:id="0">
    <w:p w:rsidR="008C444C" w:rsidRDefault="008C444C"/>
  </w:endnote>
  <w:endnote w:type="continuationNotice" w:id="1">
    <w:p w:rsidR="008C444C" w:rsidRDefault="008C4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5F57B8">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95081E">
      <w:rPr>
        <w:b/>
        <w:noProof/>
        <w:sz w:val="18"/>
      </w:rPr>
      <w:t>3</w:t>
    </w:r>
    <w:r w:rsidRPr="007012A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4C" w:rsidRPr="000B175B" w:rsidRDefault="008C444C" w:rsidP="000B175B">
      <w:pPr>
        <w:tabs>
          <w:tab w:val="right" w:pos="2155"/>
        </w:tabs>
        <w:spacing w:after="80"/>
        <w:ind w:left="680"/>
        <w:rPr>
          <w:u w:val="single"/>
        </w:rPr>
      </w:pPr>
      <w:r>
        <w:rPr>
          <w:u w:val="single"/>
        </w:rPr>
        <w:tab/>
      </w:r>
    </w:p>
  </w:footnote>
  <w:footnote w:type="continuationSeparator" w:id="0">
    <w:p w:rsidR="008C444C" w:rsidRPr="00FC68B7" w:rsidRDefault="008C444C" w:rsidP="00FC68B7">
      <w:pPr>
        <w:tabs>
          <w:tab w:val="left" w:pos="2155"/>
        </w:tabs>
        <w:spacing w:after="80"/>
        <w:ind w:left="680"/>
        <w:rPr>
          <w:u w:val="single"/>
        </w:rPr>
      </w:pPr>
      <w:r>
        <w:rPr>
          <w:u w:val="single"/>
        </w:rPr>
        <w:tab/>
      </w:r>
    </w:p>
  </w:footnote>
  <w:footnote w:type="continuationNotice" w:id="1">
    <w:p w:rsidR="008C444C" w:rsidRDefault="008C444C"/>
  </w:footnote>
  <w:footnote w:id="2">
    <w:p w:rsidR="00EA54EB" w:rsidRPr="00A106BC" w:rsidRDefault="00EA54EB" w:rsidP="0093584D">
      <w:pPr>
        <w:pStyle w:val="FootnoteText"/>
        <w:spacing w:line="240" w:lineRule="auto"/>
        <w:ind w:left="567" w:firstLine="0"/>
        <w:rPr>
          <w:lang w:val="fr-FR"/>
        </w:rPr>
      </w:pPr>
      <w:r w:rsidRPr="00EA54EB">
        <w:rPr>
          <w:rStyle w:val="FootnoteReference"/>
        </w:rPr>
        <w:sym w:font="Symbol" w:char="F02A"/>
      </w:r>
      <w:r>
        <w:t xml:space="preserve"> </w:t>
      </w:r>
      <w:r w:rsidRPr="00AD71E2">
        <w:rPr>
          <w:lang w:val="en-US"/>
        </w:rPr>
        <w:t>A concept for transposition was presented by the European Commission</w:t>
      </w:r>
      <w:r>
        <w:rPr>
          <w:lang w:val="en-US"/>
        </w:rPr>
        <w:t xml:space="preserve"> to GRPE in informal paper GRPE-</w:t>
      </w:r>
      <w:r w:rsidRPr="00AD71E2">
        <w:rPr>
          <w:lang w:val="en-US"/>
        </w:rPr>
        <w:t xml:space="preserve">71-19-rev.1 and to WP.29 in informal paper WP.29-167-20.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3E4E9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108"/>
      <w:gridCol w:w="4816"/>
      <w:gridCol w:w="287"/>
      <w:gridCol w:w="4341"/>
      <w:gridCol w:w="296"/>
    </w:tblGrid>
    <w:tr w:rsidR="007F7A9F" w:rsidRPr="007D3CE4" w:rsidTr="007F7A9F">
      <w:trPr>
        <w:gridBefore w:val="1"/>
        <w:gridAfter w:val="1"/>
        <w:wBefore w:w="108" w:type="dxa"/>
        <w:wAfter w:w="296" w:type="dxa"/>
        <w:trHeight w:hRule="exact" w:val="991"/>
      </w:trPr>
      <w:tc>
        <w:tcPr>
          <w:tcW w:w="5103" w:type="dxa"/>
          <w:gridSpan w:val="2"/>
          <w:shd w:val="clear" w:color="auto" w:fill="auto"/>
        </w:tcPr>
        <w:p w:rsidR="007F7A9F" w:rsidRPr="0035238E" w:rsidRDefault="007F7A9F" w:rsidP="007F7A9F">
          <w:pPr>
            <w:widowControl w:val="0"/>
            <w:spacing w:after="80" w:line="300" w:lineRule="exact"/>
            <w:rPr>
              <w:rFonts w:eastAsia="HGSGothicM"/>
              <w:kern w:val="2"/>
              <w:lang w:val="en-US" w:eastAsia="ja-JP"/>
            </w:rPr>
          </w:pPr>
          <w:r w:rsidRPr="0035238E">
            <w:rPr>
              <w:rFonts w:eastAsia="HGSGothicM"/>
              <w:kern w:val="2"/>
              <w:lang w:val="en-US" w:eastAsia="ko-KR"/>
            </w:rPr>
            <w:t>Submitted</w:t>
          </w:r>
          <w:r w:rsidR="00E832C2">
            <w:rPr>
              <w:rFonts w:eastAsia="HGSGothicM"/>
              <w:kern w:val="2"/>
              <w:lang w:val="en-US" w:eastAsia="ja-JP"/>
            </w:rPr>
            <w:t xml:space="preserve"> by </w:t>
          </w:r>
          <w:r w:rsidR="0033780E">
            <w:rPr>
              <w:rFonts w:eastAsia="HGSGothicM"/>
              <w:kern w:val="2"/>
              <w:lang w:val="en-US" w:eastAsia="ja-JP"/>
            </w:rPr>
            <w:t xml:space="preserve">the expert from </w:t>
          </w:r>
          <w:r w:rsidR="00E832C2">
            <w:rPr>
              <w:rFonts w:eastAsia="HGSGothicM"/>
              <w:kern w:val="2"/>
              <w:lang w:val="en-US" w:eastAsia="ja-JP"/>
            </w:rPr>
            <w:t>OICA</w:t>
          </w:r>
        </w:p>
      </w:tc>
      <w:tc>
        <w:tcPr>
          <w:tcW w:w="4341" w:type="dxa"/>
          <w:shd w:val="clear" w:color="auto" w:fill="auto"/>
        </w:tcPr>
        <w:p w:rsidR="00D57FBE" w:rsidRPr="005F57B8" w:rsidRDefault="007F7A9F" w:rsidP="00D57FBE">
          <w:pPr>
            <w:jc w:val="right"/>
            <w:rPr>
              <w:b/>
              <w:lang w:val="fr-CH"/>
            </w:rPr>
          </w:pPr>
          <w:r w:rsidRPr="005F57B8">
            <w:rPr>
              <w:lang w:val="fr-CH"/>
            </w:rPr>
            <w:t xml:space="preserve">Informal document </w:t>
          </w:r>
          <w:r w:rsidR="009B46A9" w:rsidRPr="005F57B8">
            <w:rPr>
              <w:b/>
              <w:lang w:val="fr-CH"/>
            </w:rPr>
            <w:t>GRPE-73</w:t>
          </w:r>
          <w:r w:rsidR="00D57FBE" w:rsidRPr="005F57B8">
            <w:rPr>
              <w:b/>
              <w:lang w:val="fr-CH"/>
            </w:rPr>
            <w:t>-</w:t>
          </w:r>
          <w:r w:rsidR="005F57B8" w:rsidRPr="005F57B8">
            <w:rPr>
              <w:b/>
              <w:lang w:val="fr-CH"/>
            </w:rPr>
            <w:t>05</w:t>
          </w:r>
        </w:p>
        <w:p w:rsidR="007F7A9F" w:rsidRPr="005F57B8" w:rsidRDefault="007F7A9F" w:rsidP="00D57FBE">
          <w:pPr>
            <w:jc w:val="right"/>
            <w:rPr>
              <w:rFonts w:eastAsia="HGSGothicM"/>
              <w:kern w:val="2"/>
              <w:lang w:val="fr-CH" w:eastAsia="ko-KR"/>
            </w:rPr>
          </w:pPr>
          <w:r w:rsidRPr="005F57B8">
            <w:rPr>
              <w:rFonts w:eastAsia="HGSGothicM"/>
              <w:kern w:val="2"/>
              <w:lang w:val="fr-CH" w:eastAsia="ar-SA"/>
            </w:rPr>
            <w:t>7</w:t>
          </w:r>
          <w:r w:rsidR="009B46A9" w:rsidRPr="005F57B8">
            <w:rPr>
              <w:rFonts w:eastAsia="HGSGothicM"/>
              <w:kern w:val="2"/>
              <w:lang w:val="fr-CH" w:eastAsia="ja-JP"/>
            </w:rPr>
            <w:t>3</w:t>
          </w:r>
          <w:r w:rsidR="009B46A9" w:rsidRPr="005F57B8">
            <w:rPr>
              <w:rFonts w:eastAsia="HGSGothicM"/>
              <w:kern w:val="2"/>
              <w:vertAlign w:val="superscript"/>
              <w:lang w:val="fr-CH" w:eastAsia="ja-JP"/>
            </w:rPr>
            <w:t>rd</w:t>
          </w:r>
          <w:r w:rsidR="00563815" w:rsidRPr="005F57B8">
            <w:rPr>
              <w:rFonts w:eastAsia="HGSGothicM"/>
              <w:kern w:val="2"/>
              <w:lang w:val="fr-CH" w:eastAsia="ar-SA"/>
            </w:rPr>
            <w:t xml:space="preserve"> GR</w:t>
          </w:r>
          <w:r w:rsidR="009B46A9" w:rsidRPr="005F57B8">
            <w:rPr>
              <w:rFonts w:eastAsia="HGSGothicM"/>
              <w:kern w:val="2"/>
              <w:lang w:val="fr-CH" w:eastAsia="ar-SA"/>
            </w:rPr>
            <w:t>P</w:t>
          </w:r>
          <w:r w:rsidRPr="005F57B8">
            <w:rPr>
              <w:rFonts w:eastAsia="HGSGothicM"/>
              <w:kern w:val="2"/>
              <w:lang w:val="fr-CH" w:eastAsia="ar-SA"/>
            </w:rPr>
            <w:t xml:space="preserve">E, </w:t>
          </w:r>
          <w:r w:rsidR="005F57B8" w:rsidRPr="005F57B8">
            <w:rPr>
              <w:rFonts w:eastAsia="HGSGothicM"/>
              <w:kern w:val="2"/>
              <w:lang w:val="fr-CH" w:eastAsia="ja-JP"/>
            </w:rPr>
            <w:t>6</w:t>
          </w:r>
          <w:r w:rsidRPr="005F57B8">
            <w:rPr>
              <w:rFonts w:eastAsia="HGSGothicM" w:hint="eastAsia"/>
              <w:kern w:val="2"/>
              <w:lang w:val="fr-CH" w:eastAsia="ja-JP"/>
            </w:rPr>
            <w:t>-</w:t>
          </w:r>
          <w:r w:rsidR="009B46A9" w:rsidRPr="005F57B8">
            <w:rPr>
              <w:rFonts w:eastAsia="HGSGothicM"/>
              <w:kern w:val="2"/>
              <w:lang w:val="fr-CH" w:eastAsia="ja-JP"/>
            </w:rPr>
            <w:t>10</w:t>
          </w:r>
          <w:r w:rsidR="009B46A9" w:rsidRPr="005F57B8">
            <w:rPr>
              <w:rFonts w:eastAsia="HGSGothicM"/>
              <w:kern w:val="2"/>
              <w:lang w:val="fr-CH" w:eastAsia="ar-SA"/>
            </w:rPr>
            <w:t xml:space="preserve"> </w:t>
          </w:r>
          <w:proofErr w:type="spellStart"/>
          <w:r w:rsidR="009B46A9" w:rsidRPr="005F57B8">
            <w:rPr>
              <w:rFonts w:eastAsia="HGSGothicM"/>
              <w:kern w:val="2"/>
              <w:lang w:val="fr-CH" w:eastAsia="ar-SA"/>
            </w:rPr>
            <w:t>June</w:t>
          </w:r>
          <w:proofErr w:type="spellEnd"/>
          <w:r w:rsidRPr="005F57B8">
            <w:rPr>
              <w:rFonts w:eastAsia="HGSGothicM"/>
              <w:kern w:val="2"/>
              <w:lang w:val="fr-CH" w:eastAsia="ar-SA"/>
            </w:rPr>
            <w:t xml:space="preserve"> 2016</w:t>
          </w:r>
          <w:r w:rsidRPr="005F57B8">
            <w:rPr>
              <w:rFonts w:eastAsia="HGSGothicM"/>
              <w:kern w:val="2"/>
              <w:lang w:val="fr-CH" w:eastAsia="ko-KR"/>
            </w:rPr>
            <w:t xml:space="preserve">, </w:t>
          </w:r>
        </w:p>
        <w:p w:rsidR="007F7A9F" w:rsidRPr="007D3CE4" w:rsidRDefault="007F7A9F" w:rsidP="007C080F">
          <w:pPr>
            <w:widowControl w:val="0"/>
            <w:tabs>
              <w:tab w:val="center" w:pos="4677"/>
              <w:tab w:val="right" w:pos="9355"/>
            </w:tabs>
            <w:ind w:left="567"/>
            <w:jc w:val="right"/>
            <w:rPr>
              <w:rFonts w:ascii="HGSGothicM" w:eastAsia="HGSGothicM" w:hAnsi="Century"/>
              <w:kern w:val="2"/>
              <w:lang w:val="en-US" w:eastAsia="ar-SA"/>
            </w:rPr>
          </w:pPr>
          <w:r w:rsidRPr="005F57B8">
            <w:rPr>
              <w:rFonts w:eastAsia="HGSGothicM"/>
              <w:kern w:val="2"/>
              <w:lang w:val="fr-CH" w:eastAsia="ko-KR"/>
            </w:rPr>
            <w:t xml:space="preserve"> </w:t>
          </w:r>
          <w:r w:rsidRPr="007D3CE4">
            <w:rPr>
              <w:rFonts w:eastAsia="HGSGothicM"/>
              <w:kern w:val="2"/>
              <w:lang w:val="en-US" w:eastAsia="ar-SA"/>
            </w:rPr>
            <w:t xml:space="preserve">agenda item </w:t>
          </w:r>
          <w:r w:rsidR="007D3CE4" w:rsidRPr="007D3CE4">
            <w:rPr>
              <w:rFonts w:eastAsia="HGSGothicM"/>
              <w:kern w:val="2"/>
              <w:lang w:val="en-US" w:eastAsia="ar-SA"/>
            </w:rPr>
            <w:t>3</w:t>
          </w:r>
          <w:r w:rsidR="002D62E4" w:rsidRPr="007D3CE4">
            <w:rPr>
              <w:rFonts w:eastAsia="HGSGothicM" w:hint="eastAsia"/>
              <w:kern w:val="2"/>
              <w:lang w:val="en-US" w:eastAsia="ja-JP"/>
            </w:rPr>
            <w:t>(</w:t>
          </w:r>
          <w:r w:rsidR="007D3CE4" w:rsidRPr="007D3CE4">
            <w:rPr>
              <w:rFonts w:eastAsia="HGSGothicM"/>
              <w:kern w:val="2"/>
              <w:lang w:val="en-US" w:eastAsia="ja-JP"/>
            </w:rPr>
            <w:t>b</w:t>
          </w:r>
          <w:r w:rsidRPr="007D3CE4">
            <w:rPr>
              <w:rFonts w:eastAsia="HGSGothicM"/>
              <w:kern w:val="2"/>
              <w:lang w:val="en-US" w:eastAsia="ja-JP"/>
            </w:rPr>
            <w:t>)</w:t>
          </w:r>
        </w:p>
      </w:tc>
    </w:tr>
    <w:tr w:rsidR="003811F4" w:rsidRPr="00510AA1" w:rsidTr="007F7A9F">
      <w:tblPrEx>
        <w:tblCellMar>
          <w:left w:w="108" w:type="dxa"/>
          <w:right w:w="108" w:type="dxa"/>
        </w:tblCellMar>
      </w:tblPrEx>
      <w:trPr>
        <w:trHeight w:val="71"/>
      </w:trPr>
      <w:tc>
        <w:tcPr>
          <w:tcW w:w="4924" w:type="dxa"/>
          <w:gridSpan w:val="2"/>
          <w:tcBorders>
            <w:left w:val="nil"/>
          </w:tcBorders>
        </w:tcPr>
        <w:p w:rsidR="003811F4" w:rsidRPr="003E4E9F" w:rsidRDefault="003811F4" w:rsidP="007F7A9F">
          <w:pPr>
            <w:spacing w:line="240" w:lineRule="auto"/>
            <w:ind w:left="119"/>
            <w:rPr>
              <w:sz w:val="24"/>
              <w:szCs w:val="24"/>
            </w:rPr>
          </w:pPr>
        </w:p>
      </w:tc>
      <w:tc>
        <w:tcPr>
          <w:tcW w:w="4924" w:type="dxa"/>
          <w:gridSpan w:val="3"/>
          <w:tcBorders>
            <w:left w:val="nil"/>
          </w:tcBorders>
        </w:tcPr>
        <w:p w:rsidR="003811F4" w:rsidRPr="00510AA1" w:rsidRDefault="003811F4" w:rsidP="007F7A9F">
          <w:pPr>
            <w:pStyle w:val="Header"/>
            <w:pBdr>
              <w:bottom w:val="none" w:sz="0" w:space="0" w:color="auto"/>
            </w:pBdr>
            <w:ind w:left="119"/>
            <w:rPr>
              <w:b w:val="0"/>
              <w:bCs/>
              <w:sz w:val="20"/>
              <w:lang w:val="en-US"/>
            </w:rPr>
          </w:pPr>
        </w:p>
      </w:tc>
    </w:tr>
  </w:tbl>
  <w:p w:rsidR="003811F4" w:rsidRDefault="003811F4" w:rsidP="007F7A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3D7331"/>
    <w:multiLevelType w:val="hybridMultilevel"/>
    <w:tmpl w:val="D59439A6"/>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5">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A73107"/>
    <w:multiLevelType w:val="hybridMultilevel"/>
    <w:tmpl w:val="269ECCFA"/>
    <w:lvl w:ilvl="0" w:tplc="040C0019">
      <w:start w:val="1"/>
      <w:numFmt w:val="lowerLetter"/>
      <w:lvlText w:val="%1."/>
      <w:lvlJc w:val="left"/>
      <w:pPr>
        <w:ind w:left="2986" w:hanging="360"/>
      </w:pPr>
    </w:lvl>
    <w:lvl w:ilvl="1" w:tplc="040C0019" w:tentative="1">
      <w:start w:val="1"/>
      <w:numFmt w:val="lowerLetter"/>
      <w:lvlText w:val="%2."/>
      <w:lvlJc w:val="left"/>
      <w:pPr>
        <w:ind w:left="3706" w:hanging="360"/>
      </w:pPr>
    </w:lvl>
    <w:lvl w:ilvl="2" w:tplc="040C001B" w:tentative="1">
      <w:start w:val="1"/>
      <w:numFmt w:val="lowerRoman"/>
      <w:lvlText w:val="%3."/>
      <w:lvlJc w:val="right"/>
      <w:pPr>
        <w:ind w:left="4426" w:hanging="180"/>
      </w:pPr>
    </w:lvl>
    <w:lvl w:ilvl="3" w:tplc="040C000F" w:tentative="1">
      <w:start w:val="1"/>
      <w:numFmt w:val="decimal"/>
      <w:lvlText w:val="%4."/>
      <w:lvlJc w:val="left"/>
      <w:pPr>
        <w:ind w:left="5146" w:hanging="360"/>
      </w:pPr>
    </w:lvl>
    <w:lvl w:ilvl="4" w:tplc="040C0019" w:tentative="1">
      <w:start w:val="1"/>
      <w:numFmt w:val="lowerLetter"/>
      <w:lvlText w:val="%5."/>
      <w:lvlJc w:val="left"/>
      <w:pPr>
        <w:ind w:left="5866" w:hanging="360"/>
      </w:pPr>
    </w:lvl>
    <w:lvl w:ilvl="5" w:tplc="040C001B" w:tentative="1">
      <w:start w:val="1"/>
      <w:numFmt w:val="lowerRoman"/>
      <w:lvlText w:val="%6."/>
      <w:lvlJc w:val="right"/>
      <w:pPr>
        <w:ind w:left="6586" w:hanging="180"/>
      </w:pPr>
    </w:lvl>
    <w:lvl w:ilvl="6" w:tplc="040C000F" w:tentative="1">
      <w:start w:val="1"/>
      <w:numFmt w:val="decimal"/>
      <w:lvlText w:val="%7."/>
      <w:lvlJc w:val="left"/>
      <w:pPr>
        <w:ind w:left="7306" w:hanging="360"/>
      </w:pPr>
    </w:lvl>
    <w:lvl w:ilvl="7" w:tplc="040C0019" w:tentative="1">
      <w:start w:val="1"/>
      <w:numFmt w:val="lowerLetter"/>
      <w:lvlText w:val="%8."/>
      <w:lvlJc w:val="left"/>
      <w:pPr>
        <w:ind w:left="8026" w:hanging="360"/>
      </w:pPr>
    </w:lvl>
    <w:lvl w:ilvl="8" w:tplc="040C001B" w:tentative="1">
      <w:start w:val="1"/>
      <w:numFmt w:val="lowerRoman"/>
      <w:lvlText w:val="%9."/>
      <w:lvlJc w:val="right"/>
      <w:pPr>
        <w:ind w:left="8746" w:hanging="180"/>
      </w:pPr>
    </w:lvl>
  </w:abstractNum>
  <w:abstractNum w:abstractNumId="18">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9">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73BA7AE1"/>
    <w:multiLevelType w:val="hybridMultilevel"/>
    <w:tmpl w:val="FEDA7F9E"/>
    <w:lvl w:ilvl="0" w:tplc="19BEF9DC">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1"/>
  </w:num>
  <w:num w:numId="14">
    <w:abstractNumId w:val="22"/>
  </w:num>
  <w:num w:numId="15">
    <w:abstractNumId w:val="25"/>
  </w:num>
  <w:num w:numId="16">
    <w:abstractNumId w:val="10"/>
  </w:num>
  <w:num w:numId="17">
    <w:abstractNumId w:val="16"/>
  </w:num>
  <w:num w:numId="18">
    <w:abstractNumId w:val="18"/>
  </w:num>
  <w:num w:numId="19">
    <w:abstractNumId w:val="19"/>
  </w:num>
  <w:num w:numId="20">
    <w:abstractNumId w:val="20"/>
  </w:num>
  <w:num w:numId="21">
    <w:abstractNumId w:val="23"/>
  </w:num>
  <w:num w:numId="22">
    <w:abstractNumId w:val="15"/>
  </w:num>
  <w:num w:numId="23">
    <w:abstractNumId w:val="14"/>
  </w:num>
  <w:num w:numId="24">
    <w:abstractNumId w:val="17"/>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111B6"/>
    <w:rsid w:val="0001170B"/>
    <w:rsid w:val="00013153"/>
    <w:rsid w:val="000203BE"/>
    <w:rsid w:val="0002084A"/>
    <w:rsid w:val="00020E5E"/>
    <w:rsid w:val="00022A06"/>
    <w:rsid w:val="00022E25"/>
    <w:rsid w:val="000269CA"/>
    <w:rsid w:val="0003055E"/>
    <w:rsid w:val="00040CBA"/>
    <w:rsid w:val="00046B1F"/>
    <w:rsid w:val="00050F6B"/>
    <w:rsid w:val="00052635"/>
    <w:rsid w:val="00056DBB"/>
    <w:rsid w:val="0005760E"/>
    <w:rsid w:val="00057E97"/>
    <w:rsid w:val="000634A3"/>
    <w:rsid w:val="000646F4"/>
    <w:rsid w:val="00071F3E"/>
    <w:rsid w:val="00072C8C"/>
    <w:rsid w:val="000733B5"/>
    <w:rsid w:val="00074E76"/>
    <w:rsid w:val="000752FE"/>
    <w:rsid w:val="00081815"/>
    <w:rsid w:val="00085C2A"/>
    <w:rsid w:val="000931C0"/>
    <w:rsid w:val="00097FBE"/>
    <w:rsid w:val="000A188B"/>
    <w:rsid w:val="000B0595"/>
    <w:rsid w:val="000B175B"/>
    <w:rsid w:val="000B2F02"/>
    <w:rsid w:val="000B38AE"/>
    <w:rsid w:val="000B3A0F"/>
    <w:rsid w:val="000B4EF7"/>
    <w:rsid w:val="000B7F59"/>
    <w:rsid w:val="000C1463"/>
    <w:rsid w:val="000C1F85"/>
    <w:rsid w:val="000C2C03"/>
    <w:rsid w:val="000C2D2E"/>
    <w:rsid w:val="000C7908"/>
    <w:rsid w:val="000D4046"/>
    <w:rsid w:val="000D5626"/>
    <w:rsid w:val="000D5B3C"/>
    <w:rsid w:val="000D753E"/>
    <w:rsid w:val="000E0415"/>
    <w:rsid w:val="000E19C6"/>
    <w:rsid w:val="000E342D"/>
    <w:rsid w:val="000E64D0"/>
    <w:rsid w:val="000F312E"/>
    <w:rsid w:val="000F7C1C"/>
    <w:rsid w:val="001052B0"/>
    <w:rsid w:val="001065EC"/>
    <w:rsid w:val="001103AA"/>
    <w:rsid w:val="0011340B"/>
    <w:rsid w:val="001157CE"/>
    <w:rsid w:val="0011666B"/>
    <w:rsid w:val="00123CCA"/>
    <w:rsid w:val="00126CDC"/>
    <w:rsid w:val="00127783"/>
    <w:rsid w:val="0013179E"/>
    <w:rsid w:val="00142378"/>
    <w:rsid w:val="00165F3A"/>
    <w:rsid w:val="001711BC"/>
    <w:rsid w:val="00182290"/>
    <w:rsid w:val="00182C8F"/>
    <w:rsid w:val="00185F1D"/>
    <w:rsid w:val="00186B16"/>
    <w:rsid w:val="001909F9"/>
    <w:rsid w:val="001912FF"/>
    <w:rsid w:val="00193F61"/>
    <w:rsid w:val="001A3955"/>
    <w:rsid w:val="001B36C6"/>
    <w:rsid w:val="001B4B04"/>
    <w:rsid w:val="001C6280"/>
    <w:rsid w:val="001C6663"/>
    <w:rsid w:val="001C7895"/>
    <w:rsid w:val="001D0C8C"/>
    <w:rsid w:val="001D0F13"/>
    <w:rsid w:val="001D1419"/>
    <w:rsid w:val="001D1468"/>
    <w:rsid w:val="001D1A85"/>
    <w:rsid w:val="001D26DF"/>
    <w:rsid w:val="001D36AC"/>
    <w:rsid w:val="001D3A03"/>
    <w:rsid w:val="001E5A54"/>
    <w:rsid w:val="001E6DAD"/>
    <w:rsid w:val="001E7837"/>
    <w:rsid w:val="001E7B67"/>
    <w:rsid w:val="001F3676"/>
    <w:rsid w:val="001F4351"/>
    <w:rsid w:val="001F5FF5"/>
    <w:rsid w:val="001F6C3E"/>
    <w:rsid w:val="001F760A"/>
    <w:rsid w:val="00202DA8"/>
    <w:rsid w:val="0020730C"/>
    <w:rsid w:val="00211E0B"/>
    <w:rsid w:val="00216658"/>
    <w:rsid w:val="0021711D"/>
    <w:rsid w:val="00222E07"/>
    <w:rsid w:val="00224FFB"/>
    <w:rsid w:val="00240F4C"/>
    <w:rsid w:val="0024772E"/>
    <w:rsid w:val="0025027F"/>
    <w:rsid w:val="002559CA"/>
    <w:rsid w:val="00261254"/>
    <w:rsid w:val="00261DE7"/>
    <w:rsid w:val="00267F5F"/>
    <w:rsid w:val="002702CF"/>
    <w:rsid w:val="00273594"/>
    <w:rsid w:val="002739CA"/>
    <w:rsid w:val="0027548C"/>
    <w:rsid w:val="0027557E"/>
    <w:rsid w:val="0027799F"/>
    <w:rsid w:val="002865A7"/>
    <w:rsid w:val="00286B4D"/>
    <w:rsid w:val="00290E71"/>
    <w:rsid w:val="00294FFB"/>
    <w:rsid w:val="002964A0"/>
    <w:rsid w:val="002A1D6E"/>
    <w:rsid w:val="002A6D6B"/>
    <w:rsid w:val="002B5C7F"/>
    <w:rsid w:val="002B6ACD"/>
    <w:rsid w:val="002B7532"/>
    <w:rsid w:val="002C1D9F"/>
    <w:rsid w:val="002C3F8C"/>
    <w:rsid w:val="002C6085"/>
    <w:rsid w:val="002C61EA"/>
    <w:rsid w:val="002D1072"/>
    <w:rsid w:val="002D4643"/>
    <w:rsid w:val="002D62E4"/>
    <w:rsid w:val="002D67C0"/>
    <w:rsid w:val="002D6A98"/>
    <w:rsid w:val="002E26D1"/>
    <w:rsid w:val="002E357F"/>
    <w:rsid w:val="002F175C"/>
    <w:rsid w:val="002F7DE0"/>
    <w:rsid w:val="00302E18"/>
    <w:rsid w:val="00304AE4"/>
    <w:rsid w:val="003229D8"/>
    <w:rsid w:val="00327D9E"/>
    <w:rsid w:val="00332333"/>
    <w:rsid w:val="00335235"/>
    <w:rsid w:val="00336B16"/>
    <w:rsid w:val="0033780E"/>
    <w:rsid w:val="003432B0"/>
    <w:rsid w:val="003449E3"/>
    <w:rsid w:val="00345727"/>
    <w:rsid w:val="00352709"/>
    <w:rsid w:val="0035505C"/>
    <w:rsid w:val="00360CFA"/>
    <w:rsid w:val="003619B5"/>
    <w:rsid w:val="00361AC3"/>
    <w:rsid w:val="00362D58"/>
    <w:rsid w:val="00365763"/>
    <w:rsid w:val="00366782"/>
    <w:rsid w:val="00371178"/>
    <w:rsid w:val="00380D09"/>
    <w:rsid w:val="003811F4"/>
    <w:rsid w:val="00385E7D"/>
    <w:rsid w:val="003861E2"/>
    <w:rsid w:val="00386D48"/>
    <w:rsid w:val="00387665"/>
    <w:rsid w:val="0039144F"/>
    <w:rsid w:val="003916D1"/>
    <w:rsid w:val="00392DD7"/>
    <w:rsid w:val="00392E47"/>
    <w:rsid w:val="0039768A"/>
    <w:rsid w:val="003A2038"/>
    <w:rsid w:val="003A6810"/>
    <w:rsid w:val="003B112A"/>
    <w:rsid w:val="003B23E3"/>
    <w:rsid w:val="003B32C2"/>
    <w:rsid w:val="003B59CA"/>
    <w:rsid w:val="003C22DF"/>
    <w:rsid w:val="003C2CC4"/>
    <w:rsid w:val="003C534D"/>
    <w:rsid w:val="003D4B23"/>
    <w:rsid w:val="003E130E"/>
    <w:rsid w:val="003E4E9F"/>
    <w:rsid w:val="003E7763"/>
    <w:rsid w:val="00401D87"/>
    <w:rsid w:val="00406026"/>
    <w:rsid w:val="00410C89"/>
    <w:rsid w:val="00422E03"/>
    <w:rsid w:val="00426B9B"/>
    <w:rsid w:val="004271E0"/>
    <w:rsid w:val="00427B64"/>
    <w:rsid w:val="00431F17"/>
    <w:rsid w:val="004325CB"/>
    <w:rsid w:val="00435AA2"/>
    <w:rsid w:val="0043691C"/>
    <w:rsid w:val="004426DF"/>
    <w:rsid w:val="00442A83"/>
    <w:rsid w:val="004525AE"/>
    <w:rsid w:val="0045495B"/>
    <w:rsid w:val="00454EAD"/>
    <w:rsid w:val="004561E5"/>
    <w:rsid w:val="004568F9"/>
    <w:rsid w:val="00460106"/>
    <w:rsid w:val="004758FE"/>
    <w:rsid w:val="004763EA"/>
    <w:rsid w:val="004817BA"/>
    <w:rsid w:val="00481E83"/>
    <w:rsid w:val="0048397A"/>
    <w:rsid w:val="00485CBB"/>
    <w:rsid w:val="004866B7"/>
    <w:rsid w:val="00491A20"/>
    <w:rsid w:val="00495470"/>
    <w:rsid w:val="004A03D5"/>
    <w:rsid w:val="004A4D11"/>
    <w:rsid w:val="004A7964"/>
    <w:rsid w:val="004A7CFA"/>
    <w:rsid w:val="004B4392"/>
    <w:rsid w:val="004C236C"/>
    <w:rsid w:val="004C2461"/>
    <w:rsid w:val="004C3036"/>
    <w:rsid w:val="004C7462"/>
    <w:rsid w:val="004D0A01"/>
    <w:rsid w:val="004D0D64"/>
    <w:rsid w:val="004D5AEB"/>
    <w:rsid w:val="004E47A3"/>
    <w:rsid w:val="004E6CDA"/>
    <w:rsid w:val="004E77B2"/>
    <w:rsid w:val="004F1941"/>
    <w:rsid w:val="004F451F"/>
    <w:rsid w:val="004F783D"/>
    <w:rsid w:val="00504B2D"/>
    <w:rsid w:val="00510AA1"/>
    <w:rsid w:val="00510B11"/>
    <w:rsid w:val="00520B76"/>
    <w:rsid w:val="00520D00"/>
    <w:rsid w:val="0052136D"/>
    <w:rsid w:val="005240B3"/>
    <w:rsid w:val="005249C2"/>
    <w:rsid w:val="00525264"/>
    <w:rsid w:val="00527358"/>
    <w:rsid w:val="0052775E"/>
    <w:rsid w:val="00531A31"/>
    <w:rsid w:val="00531A99"/>
    <w:rsid w:val="00534C51"/>
    <w:rsid w:val="00540AA6"/>
    <w:rsid w:val="005420F2"/>
    <w:rsid w:val="005427EF"/>
    <w:rsid w:val="00551FA6"/>
    <w:rsid w:val="00554A45"/>
    <w:rsid w:val="0055614A"/>
    <w:rsid w:val="00556337"/>
    <w:rsid w:val="0056081A"/>
    <w:rsid w:val="0056209A"/>
    <w:rsid w:val="005628B6"/>
    <w:rsid w:val="00563815"/>
    <w:rsid w:val="005664DB"/>
    <w:rsid w:val="005700FE"/>
    <w:rsid w:val="00576C31"/>
    <w:rsid w:val="00584721"/>
    <w:rsid w:val="00590356"/>
    <w:rsid w:val="00593181"/>
    <w:rsid w:val="005941EC"/>
    <w:rsid w:val="0059724D"/>
    <w:rsid w:val="005A04B9"/>
    <w:rsid w:val="005A310C"/>
    <w:rsid w:val="005B1894"/>
    <w:rsid w:val="005B2488"/>
    <w:rsid w:val="005B320C"/>
    <w:rsid w:val="005B3DB3"/>
    <w:rsid w:val="005B4CCA"/>
    <w:rsid w:val="005B4E13"/>
    <w:rsid w:val="005B5BE4"/>
    <w:rsid w:val="005C22BE"/>
    <w:rsid w:val="005C2C7B"/>
    <w:rsid w:val="005C342F"/>
    <w:rsid w:val="005C7D1E"/>
    <w:rsid w:val="005D5378"/>
    <w:rsid w:val="005E36D9"/>
    <w:rsid w:val="005E486E"/>
    <w:rsid w:val="005E7AD2"/>
    <w:rsid w:val="005F57B8"/>
    <w:rsid w:val="005F7B75"/>
    <w:rsid w:val="006001EE"/>
    <w:rsid w:val="00605042"/>
    <w:rsid w:val="00611A1D"/>
    <w:rsid w:val="00611FC4"/>
    <w:rsid w:val="006137F3"/>
    <w:rsid w:val="00616D41"/>
    <w:rsid w:val="006176FB"/>
    <w:rsid w:val="006230F5"/>
    <w:rsid w:val="006236D1"/>
    <w:rsid w:val="00630563"/>
    <w:rsid w:val="006343C6"/>
    <w:rsid w:val="006379CB"/>
    <w:rsid w:val="00640B26"/>
    <w:rsid w:val="00646461"/>
    <w:rsid w:val="00652D0A"/>
    <w:rsid w:val="006573C8"/>
    <w:rsid w:val="00661AD1"/>
    <w:rsid w:val="00662BB6"/>
    <w:rsid w:val="00663720"/>
    <w:rsid w:val="00664215"/>
    <w:rsid w:val="00671B51"/>
    <w:rsid w:val="0067362F"/>
    <w:rsid w:val="00673F29"/>
    <w:rsid w:val="00676606"/>
    <w:rsid w:val="00684C21"/>
    <w:rsid w:val="006916B3"/>
    <w:rsid w:val="006923CC"/>
    <w:rsid w:val="006951B9"/>
    <w:rsid w:val="00696333"/>
    <w:rsid w:val="006A1376"/>
    <w:rsid w:val="006A2530"/>
    <w:rsid w:val="006A2644"/>
    <w:rsid w:val="006A358C"/>
    <w:rsid w:val="006A37A4"/>
    <w:rsid w:val="006A74D1"/>
    <w:rsid w:val="006B73C4"/>
    <w:rsid w:val="006C0814"/>
    <w:rsid w:val="006C3589"/>
    <w:rsid w:val="006C43E1"/>
    <w:rsid w:val="006C52FF"/>
    <w:rsid w:val="006C6516"/>
    <w:rsid w:val="006D37AF"/>
    <w:rsid w:val="006D4F57"/>
    <w:rsid w:val="006D51D0"/>
    <w:rsid w:val="006D5FB9"/>
    <w:rsid w:val="006D658E"/>
    <w:rsid w:val="006E0708"/>
    <w:rsid w:val="006E46FF"/>
    <w:rsid w:val="006E4C58"/>
    <w:rsid w:val="006E564B"/>
    <w:rsid w:val="006E5C3B"/>
    <w:rsid w:val="006E7191"/>
    <w:rsid w:val="007012AD"/>
    <w:rsid w:val="00703577"/>
    <w:rsid w:val="00705894"/>
    <w:rsid w:val="00706931"/>
    <w:rsid w:val="00716440"/>
    <w:rsid w:val="00720346"/>
    <w:rsid w:val="00722C6D"/>
    <w:rsid w:val="00724E73"/>
    <w:rsid w:val="0072632A"/>
    <w:rsid w:val="007327D5"/>
    <w:rsid w:val="00732E66"/>
    <w:rsid w:val="00732F94"/>
    <w:rsid w:val="00737C02"/>
    <w:rsid w:val="007418BC"/>
    <w:rsid w:val="007425E3"/>
    <w:rsid w:val="007450D0"/>
    <w:rsid w:val="0075009A"/>
    <w:rsid w:val="00751B5A"/>
    <w:rsid w:val="0075390F"/>
    <w:rsid w:val="00754973"/>
    <w:rsid w:val="00760D84"/>
    <w:rsid w:val="007629C8"/>
    <w:rsid w:val="00770120"/>
    <w:rsid w:val="0077047D"/>
    <w:rsid w:val="00773CF1"/>
    <w:rsid w:val="00774379"/>
    <w:rsid w:val="007762EA"/>
    <w:rsid w:val="00776794"/>
    <w:rsid w:val="00777324"/>
    <w:rsid w:val="0077764F"/>
    <w:rsid w:val="00777913"/>
    <w:rsid w:val="0078186F"/>
    <w:rsid w:val="007863D7"/>
    <w:rsid w:val="00786B71"/>
    <w:rsid w:val="007906B1"/>
    <w:rsid w:val="0079571E"/>
    <w:rsid w:val="007B45FE"/>
    <w:rsid w:val="007B6BA5"/>
    <w:rsid w:val="007C080F"/>
    <w:rsid w:val="007C14CF"/>
    <w:rsid w:val="007C3390"/>
    <w:rsid w:val="007C4F4B"/>
    <w:rsid w:val="007C6734"/>
    <w:rsid w:val="007C72CB"/>
    <w:rsid w:val="007C7E67"/>
    <w:rsid w:val="007D0E2A"/>
    <w:rsid w:val="007D3CE4"/>
    <w:rsid w:val="007E01E9"/>
    <w:rsid w:val="007E0652"/>
    <w:rsid w:val="007E63F3"/>
    <w:rsid w:val="007F1E80"/>
    <w:rsid w:val="007F6611"/>
    <w:rsid w:val="007F664C"/>
    <w:rsid w:val="007F6D60"/>
    <w:rsid w:val="007F7A9F"/>
    <w:rsid w:val="00801694"/>
    <w:rsid w:val="008023B7"/>
    <w:rsid w:val="00811920"/>
    <w:rsid w:val="008122EE"/>
    <w:rsid w:val="0081366C"/>
    <w:rsid w:val="00815AD0"/>
    <w:rsid w:val="00815EDB"/>
    <w:rsid w:val="00817229"/>
    <w:rsid w:val="00823F4F"/>
    <w:rsid w:val="008242D7"/>
    <w:rsid w:val="008257B1"/>
    <w:rsid w:val="0083042A"/>
    <w:rsid w:val="00832334"/>
    <w:rsid w:val="00832EF2"/>
    <w:rsid w:val="00843767"/>
    <w:rsid w:val="008603C8"/>
    <w:rsid w:val="00862250"/>
    <w:rsid w:val="008679D9"/>
    <w:rsid w:val="00871868"/>
    <w:rsid w:val="0087289A"/>
    <w:rsid w:val="00876173"/>
    <w:rsid w:val="008863A1"/>
    <w:rsid w:val="008878DE"/>
    <w:rsid w:val="008979B1"/>
    <w:rsid w:val="00897B83"/>
    <w:rsid w:val="008A1ED5"/>
    <w:rsid w:val="008A4E3A"/>
    <w:rsid w:val="008A6B25"/>
    <w:rsid w:val="008A6C4F"/>
    <w:rsid w:val="008B2335"/>
    <w:rsid w:val="008B24B1"/>
    <w:rsid w:val="008B2E36"/>
    <w:rsid w:val="008B4B9C"/>
    <w:rsid w:val="008C0AAB"/>
    <w:rsid w:val="008C0DD6"/>
    <w:rsid w:val="008C444C"/>
    <w:rsid w:val="008C7FBC"/>
    <w:rsid w:val="008D142A"/>
    <w:rsid w:val="008D1C04"/>
    <w:rsid w:val="008D2907"/>
    <w:rsid w:val="008D2B69"/>
    <w:rsid w:val="008E0678"/>
    <w:rsid w:val="008E2825"/>
    <w:rsid w:val="008E446C"/>
    <w:rsid w:val="008F117E"/>
    <w:rsid w:val="008F31D2"/>
    <w:rsid w:val="00904F7C"/>
    <w:rsid w:val="00910DB5"/>
    <w:rsid w:val="00911C8F"/>
    <w:rsid w:val="00915EF6"/>
    <w:rsid w:val="00916934"/>
    <w:rsid w:val="00916B25"/>
    <w:rsid w:val="009223CA"/>
    <w:rsid w:val="00923338"/>
    <w:rsid w:val="00930BB4"/>
    <w:rsid w:val="009315AD"/>
    <w:rsid w:val="00931AD9"/>
    <w:rsid w:val="00931AE2"/>
    <w:rsid w:val="0093584D"/>
    <w:rsid w:val="00940F93"/>
    <w:rsid w:val="009448C3"/>
    <w:rsid w:val="0095081E"/>
    <w:rsid w:val="009614FB"/>
    <w:rsid w:val="00961D9D"/>
    <w:rsid w:val="00965EF9"/>
    <w:rsid w:val="0097151B"/>
    <w:rsid w:val="0097250F"/>
    <w:rsid w:val="0097275E"/>
    <w:rsid w:val="009731E0"/>
    <w:rsid w:val="009760F3"/>
    <w:rsid w:val="00976CFB"/>
    <w:rsid w:val="0098401E"/>
    <w:rsid w:val="009A0830"/>
    <w:rsid w:val="009A0E8D"/>
    <w:rsid w:val="009A1318"/>
    <w:rsid w:val="009B26E7"/>
    <w:rsid w:val="009B46A9"/>
    <w:rsid w:val="009B64BB"/>
    <w:rsid w:val="009B7B91"/>
    <w:rsid w:val="009C628C"/>
    <w:rsid w:val="009E360B"/>
    <w:rsid w:val="009E361E"/>
    <w:rsid w:val="009E5FC2"/>
    <w:rsid w:val="009E7003"/>
    <w:rsid w:val="009F4F13"/>
    <w:rsid w:val="009F68AA"/>
    <w:rsid w:val="00A00697"/>
    <w:rsid w:val="00A00A3F"/>
    <w:rsid w:val="00A01489"/>
    <w:rsid w:val="00A05754"/>
    <w:rsid w:val="00A106BC"/>
    <w:rsid w:val="00A10F0F"/>
    <w:rsid w:val="00A122B1"/>
    <w:rsid w:val="00A12EA4"/>
    <w:rsid w:val="00A210C4"/>
    <w:rsid w:val="00A26369"/>
    <w:rsid w:val="00A2706D"/>
    <w:rsid w:val="00A3026E"/>
    <w:rsid w:val="00A338F1"/>
    <w:rsid w:val="00A35114"/>
    <w:rsid w:val="00A35BE0"/>
    <w:rsid w:val="00A35D95"/>
    <w:rsid w:val="00A40A57"/>
    <w:rsid w:val="00A4402B"/>
    <w:rsid w:val="00A46243"/>
    <w:rsid w:val="00A4653C"/>
    <w:rsid w:val="00A6129C"/>
    <w:rsid w:val="00A6560E"/>
    <w:rsid w:val="00A66D91"/>
    <w:rsid w:val="00A713CD"/>
    <w:rsid w:val="00A71D7C"/>
    <w:rsid w:val="00A72F22"/>
    <w:rsid w:val="00A7360F"/>
    <w:rsid w:val="00A748A6"/>
    <w:rsid w:val="00A769F4"/>
    <w:rsid w:val="00A77643"/>
    <w:rsid w:val="00A776B4"/>
    <w:rsid w:val="00A77748"/>
    <w:rsid w:val="00A82B12"/>
    <w:rsid w:val="00A83C83"/>
    <w:rsid w:val="00A867AA"/>
    <w:rsid w:val="00A94361"/>
    <w:rsid w:val="00A94715"/>
    <w:rsid w:val="00A962D9"/>
    <w:rsid w:val="00AA007B"/>
    <w:rsid w:val="00AA184B"/>
    <w:rsid w:val="00AA2513"/>
    <w:rsid w:val="00AA293C"/>
    <w:rsid w:val="00AA30FD"/>
    <w:rsid w:val="00AA7BDD"/>
    <w:rsid w:val="00AC0B1D"/>
    <w:rsid w:val="00AD2AAE"/>
    <w:rsid w:val="00AD71E2"/>
    <w:rsid w:val="00AE6440"/>
    <w:rsid w:val="00AF0AE1"/>
    <w:rsid w:val="00AF1F7C"/>
    <w:rsid w:val="00AF3714"/>
    <w:rsid w:val="00B01166"/>
    <w:rsid w:val="00B015F2"/>
    <w:rsid w:val="00B0427B"/>
    <w:rsid w:val="00B0637B"/>
    <w:rsid w:val="00B07CCA"/>
    <w:rsid w:val="00B11505"/>
    <w:rsid w:val="00B20C6A"/>
    <w:rsid w:val="00B23661"/>
    <w:rsid w:val="00B25D6A"/>
    <w:rsid w:val="00B30179"/>
    <w:rsid w:val="00B34E72"/>
    <w:rsid w:val="00B421C1"/>
    <w:rsid w:val="00B47DD3"/>
    <w:rsid w:val="00B53C21"/>
    <w:rsid w:val="00B54A12"/>
    <w:rsid w:val="00B55C71"/>
    <w:rsid w:val="00B562AA"/>
    <w:rsid w:val="00B56E4A"/>
    <w:rsid w:val="00B56E9C"/>
    <w:rsid w:val="00B60945"/>
    <w:rsid w:val="00B63ACE"/>
    <w:rsid w:val="00B64B1F"/>
    <w:rsid w:val="00B6553F"/>
    <w:rsid w:val="00B76373"/>
    <w:rsid w:val="00B76B3E"/>
    <w:rsid w:val="00B77D05"/>
    <w:rsid w:val="00B8021B"/>
    <w:rsid w:val="00B81206"/>
    <w:rsid w:val="00B81E12"/>
    <w:rsid w:val="00B86314"/>
    <w:rsid w:val="00B900A3"/>
    <w:rsid w:val="00B926A9"/>
    <w:rsid w:val="00B92CAA"/>
    <w:rsid w:val="00B94320"/>
    <w:rsid w:val="00BA10AD"/>
    <w:rsid w:val="00BA6B93"/>
    <w:rsid w:val="00BA7A6A"/>
    <w:rsid w:val="00BB0306"/>
    <w:rsid w:val="00BB35CF"/>
    <w:rsid w:val="00BB4C56"/>
    <w:rsid w:val="00BB6567"/>
    <w:rsid w:val="00BC1E7A"/>
    <w:rsid w:val="00BC3FA0"/>
    <w:rsid w:val="00BC4E03"/>
    <w:rsid w:val="00BC5724"/>
    <w:rsid w:val="00BC74E9"/>
    <w:rsid w:val="00BD3C4C"/>
    <w:rsid w:val="00BD7808"/>
    <w:rsid w:val="00BF1EB4"/>
    <w:rsid w:val="00BF4B3B"/>
    <w:rsid w:val="00BF4D9B"/>
    <w:rsid w:val="00BF68A8"/>
    <w:rsid w:val="00C0346B"/>
    <w:rsid w:val="00C05192"/>
    <w:rsid w:val="00C059A2"/>
    <w:rsid w:val="00C07327"/>
    <w:rsid w:val="00C10602"/>
    <w:rsid w:val="00C11A03"/>
    <w:rsid w:val="00C14952"/>
    <w:rsid w:val="00C160BE"/>
    <w:rsid w:val="00C22C0C"/>
    <w:rsid w:val="00C26D21"/>
    <w:rsid w:val="00C32C20"/>
    <w:rsid w:val="00C357E6"/>
    <w:rsid w:val="00C4527F"/>
    <w:rsid w:val="00C463DD"/>
    <w:rsid w:val="00C4724C"/>
    <w:rsid w:val="00C512F9"/>
    <w:rsid w:val="00C514E5"/>
    <w:rsid w:val="00C51F92"/>
    <w:rsid w:val="00C5249A"/>
    <w:rsid w:val="00C5703D"/>
    <w:rsid w:val="00C629A0"/>
    <w:rsid w:val="00C64629"/>
    <w:rsid w:val="00C7054F"/>
    <w:rsid w:val="00C719B8"/>
    <w:rsid w:val="00C730D4"/>
    <w:rsid w:val="00C745C3"/>
    <w:rsid w:val="00C75D43"/>
    <w:rsid w:val="00C81DCA"/>
    <w:rsid w:val="00C9068E"/>
    <w:rsid w:val="00C90C70"/>
    <w:rsid w:val="00C930F7"/>
    <w:rsid w:val="00C943FA"/>
    <w:rsid w:val="00C96DF2"/>
    <w:rsid w:val="00CA0E19"/>
    <w:rsid w:val="00CA2F0B"/>
    <w:rsid w:val="00CA7600"/>
    <w:rsid w:val="00CB3E03"/>
    <w:rsid w:val="00CB4794"/>
    <w:rsid w:val="00CC52F5"/>
    <w:rsid w:val="00CD0F98"/>
    <w:rsid w:val="00CD4A4A"/>
    <w:rsid w:val="00CD4AA6"/>
    <w:rsid w:val="00CD6EFA"/>
    <w:rsid w:val="00CE4A8F"/>
    <w:rsid w:val="00CE694B"/>
    <w:rsid w:val="00CE7088"/>
    <w:rsid w:val="00CF5099"/>
    <w:rsid w:val="00D00E45"/>
    <w:rsid w:val="00D0576E"/>
    <w:rsid w:val="00D10BD8"/>
    <w:rsid w:val="00D2031B"/>
    <w:rsid w:val="00D21840"/>
    <w:rsid w:val="00D248B6"/>
    <w:rsid w:val="00D25FE2"/>
    <w:rsid w:val="00D26E07"/>
    <w:rsid w:val="00D34613"/>
    <w:rsid w:val="00D37A57"/>
    <w:rsid w:val="00D43252"/>
    <w:rsid w:val="00D43CF9"/>
    <w:rsid w:val="00D4601A"/>
    <w:rsid w:val="00D47EEA"/>
    <w:rsid w:val="00D50293"/>
    <w:rsid w:val="00D52DAA"/>
    <w:rsid w:val="00D556B9"/>
    <w:rsid w:val="00D5758D"/>
    <w:rsid w:val="00D57D40"/>
    <w:rsid w:val="00D57FBE"/>
    <w:rsid w:val="00D61422"/>
    <w:rsid w:val="00D67E58"/>
    <w:rsid w:val="00D70FC8"/>
    <w:rsid w:val="00D723CF"/>
    <w:rsid w:val="00D773DF"/>
    <w:rsid w:val="00D8475D"/>
    <w:rsid w:val="00D85B0C"/>
    <w:rsid w:val="00D90DD2"/>
    <w:rsid w:val="00D90F0A"/>
    <w:rsid w:val="00D90FAE"/>
    <w:rsid w:val="00D94A45"/>
    <w:rsid w:val="00D95303"/>
    <w:rsid w:val="00D959B3"/>
    <w:rsid w:val="00D96963"/>
    <w:rsid w:val="00D96C51"/>
    <w:rsid w:val="00D978C6"/>
    <w:rsid w:val="00DA3C1C"/>
    <w:rsid w:val="00DC20E3"/>
    <w:rsid w:val="00DC4DEC"/>
    <w:rsid w:val="00DC6D39"/>
    <w:rsid w:val="00DE36BC"/>
    <w:rsid w:val="00DE5E7D"/>
    <w:rsid w:val="00DF218B"/>
    <w:rsid w:val="00DF2648"/>
    <w:rsid w:val="00DF3E33"/>
    <w:rsid w:val="00DF3ED2"/>
    <w:rsid w:val="00DF76B2"/>
    <w:rsid w:val="00E046DF"/>
    <w:rsid w:val="00E06C0A"/>
    <w:rsid w:val="00E071ED"/>
    <w:rsid w:val="00E17667"/>
    <w:rsid w:val="00E22B0C"/>
    <w:rsid w:val="00E27346"/>
    <w:rsid w:val="00E33C90"/>
    <w:rsid w:val="00E404A0"/>
    <w:rsid w:val="00E40A45"/>
    <w:rsid w:val="00E5031B"/>
    <w:rsid w:val="00E54AFE"/>
    <w:rsid w:val="00E560CA"/>
    <w:rsid w:val="00E6103E"/>
    <w:rsid w:val="00E65FF5"/>
    <w:rsid w:val="00E71BC8"/>
    <w:rsid w:val="00E7260F"/>
    <w:rsid w:val="00E72F09"/>
    <w:rsid w:val="00E73F5D"/>
    <w:rsid w:val="00E746BA"/>
    <w:rsid w:val="00E77E4E"/>
    <w:rsid w:val="00E81859"/>
    <w:rsid w:val="00E82BE6"/>
    <w:rsid w:val="00E82ECA"/>
    <w:rsid w:val="00E832C2"/>
    <w:rsid w:val="00E92B94"/>
    <w:rsid w:val="00E93B57"/>
    <w:rsid w:val="00E96630"/>
    <w:rsid w:val="00EA2A77"/>
    <w:rsid w:val="00EA54EB"/>
    <w:rsid w:val="00EB1216"/>
    <w:rsid w:val="00EB5770"/>
    <w:rsid w:val="00EC0B20"/>
    <w:rsid w:val="00EC2353"/>
    <w:rsid w:val="00EC39A0"/>
    <w:rsid w:val="00EC6CA0"/>
    <w:rsid w:val="00EC6FA5"/>
    <w:rsid w:val="00ED035E"/>
    <w:rsid w:val="00ED6B7D"/>
    <w:rsid w:val="00ED7A2A"/>
    <w:rsid w:val="00EE01F8"/>
    <w:rsid w:val="00EE4105"/>
    <w:rsid w:val="00EE69A7"/>
    <w:rsid w:val="00EE7E27"/>
    <w:rsid w:val="00EE7E38"/>
    <w:rsid w:val="00EF1D7F"/>
    <w:rsid w:val="00F123C3"/>
    <w:rsid w:val="00F12C0D"/>
    <w:rsid w:val="00F15B16"/>
    <w:rsid w:val="00F169D6"/>
    <w:rsid w:val="00F2569B"/>
    <w:rsid w:val="00F26704"/>
    <w:rsid w:val="00F26ED3"/>
    <w:rsid w:val="00F31E5F"/>
    <w:rsid w:val="00F420CF"/>
    <w:rsid w:val="00F42426"/>
    <w:rsid w:val="00F53066"/>
    <w:rsid w:val="00F60A4B"/>
    <w:rsid w:val="00F6100A"/>
    <w:rsid w:val="00F66F22"/>
    <w:rsid w:val="00F67BD7"/>
    <w:rsid w:val="00F73D90"/>
    <w:rsid w:val="00F74323"/>
    <w:rsid w:val="00F76163"/>
    <w:rsid w:val="00F81B1A"/>
    <w:rsid w:val="00F82A40"/>
    <w:rsid w:val="00F8390E"/>
    <w:rsid w:val="00F84AD9"/>
    <w:rsid w:val="00F853A6"/>
    <w:rsid w:val="00F90293"/>
    <w:rsid w:val="00F9280F"/>
    <w:rsid w:val="00F932F3"/>
    <w:rsid w:val="00F93781"/>
    <w:rsid w:val="00FA33E9"/>
    <w:rsid w:val="00FA721A"/>
    <w:rsid w:val="00FB613B"/>
    <w:rsid w:val="00FB61B3"/>
    <w:rsid w:val="00FC68B7"/>
    <w:rsid w:val="00FD364E"/>
    <w:rsid w:val="00FD3F98"/>
    <w:rsid w:val="00FD7120"/>
    <w:rsid w:val="00FE106A"/>
    <w:rsid w:val="00FE55EC"/>
    <w:rsid w:val="00FE7450"/>
    <w:rsid w:val="00FF145D"/>
    <w:rsid w:val="00FF3D3C"/>
    <w:rsid w:val="00FF68A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290E71"/>
    <w:rPr>
      <w:sz w:val="24"/>
      <w:szCs w:val="24"/>
      <w:lang w:val="en-GB" w:eastAsia="en-US"/>
    </w:rPr>
  </w:style>
  <w:style w:type="paragraph" w:customStyle="1" w:styleId="Applicationdirecte">
    <w:name w:val="Application directe"/>
    <w:basedOn w:val="Normal"/>
    <w:next w:val="Normal"/>
    <w:semiHidden/>
    <w:rsid w:val="008023B7"/>
    <w:pPr>
      <w:suppressAutoHyphens w:val="0"/>
      <w:spacing w:before="480" w:after="120" w:line="240" w:lineRule="auto"/>
      <w:jc w:val="both"/>
    </w:pPr>
    <w:rPr>
      <w:sz w:val="24"/>
      <w:lang w:eastAsia="en-GB"/>
    </w:rPr>
  </w:style>
  <w:style w:type="paragraph" w:styleId="Revision">
    <w:name w:val="Revision"/>
    <w:hidden/>
    <w:uiPriority w:val="99"/>
    <w:semiHidden/>
    <w:rsid w:val="00E5031B"/>
    <w:rPr>
      <w:lang w:val="en-GB" w:eastAsia="en-US"/>
    </w:rPr>
  </w:style>
  <w:style w:type="paragraph" w:styleId="ListParagraph">
    <w:name w:val="List Paragraph"/>
    <w:basedOn w:val="Normal"/>
    <w:uiPriority w:val="34"/>
    <w:qFormat/>
    <w:rsid w:val="00751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290E71"/>
    <w:rPr>
      <w:sz w:val="24"/>
      <w:szCs w:val="24"/>
      <w:lang w:val="en-GB" w:eastAsia="en-US"/>
    </w:rPr>
  </w:style>
  <w:style w:type="paragraph" w:customStyle="1" w:styleId="Applicationdirecte">
    <w:name w:val="Application directe"/>
    <w:basedOn w:val="Normal"/>
    <w:next w:val="Normal"/>
    <w:semiHidden/>
    <w:rsid w:val="008023B7"/>
    <w:pPr>
      <w:suppressAutoHyphens w:val="0"/>
      <w:spacing w:before="480" w:after="120" w:line="240" w:lineRule="auto"/>
      <w:jc w:val="both"/>
    </w:pPr>
    <w:rPr>
      <w:sz w:val="24"/>
      <w:lang w:eastAsia="en-GB"/>
    </w:rPr>
  </w:style>
  <w:style w:type="paragraph" w:styleId="Revision">
    <w:name w:val="Revision"/>
    <w:hidden/>
    <w:uiPriority w:val="99"/>
    <w:semiHidden/>
    <w:rsid w:val="00E5031B"/>
    <w:rPr>
      <w:lang w:val="en-GB" w:eastAsia="en-US"/>
    </w:rPr>
  </w:style>
  <w:style w:type="paragraph" w:styleId="ListParagraph">
    <w:name w:val="List Paragraph"/>
    <w:basedOn w:val="Normal"/>
    <w:uiPriority w:val="34"/>
    <w:qFormat/>
    <w:rsid w:val="00751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7BDF-FA6C-4199-9867-DDD468A5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TotalTime>
  <Pages>2</Pages>
  <Words>602</Words>
  <Characters>3436</Characters>
  <Application>Microsoft Office Word</Application>
  <DocSecurity>0</DocSecurity>
  <Lines>28</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lpstr>Proposal for amendments to the 06 and 07 series of amendments to Regulation No</vt:lpstr>
    </vt:vector>
  </TitlesOfParts>
  <Company>MIT</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United Nations</cp:lastModifiedBy>
  <cp:revision>2</cp:revision>
  <cp:lastPrinted>2016-04-01T13:42:00Z</cp:lastPrinted>
  <dcterms:created xsi:type="dcterms:W3CDTF">2016-05-31T13:24:00Z</dcterms:created>
  <dcterms:modified xsi:type="dcterms:W3CDTF">2016-05-31T13:24:00Z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