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31" w:rsidRPr="00A66D91" w:rsidRDefault="00427B64" w:rsidP="00D5758D">
      <w:pPr>
        <w:pStyle w:val="HChG"/>
        <w:ind w:left="567" w:firstLine="0"/>
        <w:jc w:val="both"/>
        <w:rPr>
          <w:lang w:val="en-US"/>
        </w:rPr>
      </w:pPr>
      <w:bookmarkStart w:id="0" w:name="_GoBack"/>
      <w:bookmarkEnd w:id="0"/>
      <w:r w:rsidRPr="00A66D91">
        <w:t xml:space="preserve">Proposal for amendments to </w:t>
      </w:r>
      <w:r w:rsidR="004A4D11">
        <w:t xml:space="preserve">the </w:t>
      </w:r>
      <w:r w:rsidR="004A4D11" w:rsidRPr="004A4D11">
        <w:t>0</w:t>
      </w:r>
      <w:r w:rsidR="00C07327">
        <w:t>6</w:t>
      </w:r>
      <w:r w:rsidR="004A4D11" w:rsidRPr="004A4D11">
        <w:t xml:space="preserve"> series of amendments to</w:t>
      </w:r>
      <w:r w:rsidR="004A4D11">
        <w:t xml:space="preserve"> </w:t>
      </w:r>
      <w:r w:rsidR="00C730D4">
        <w:t>Regulation No. 83</w:t>
      </w:r>
      <w:r w:rsidR="00D5758D">
        <w:t xml:space="preserve"> (</w:t>
      </w:r>
      <w:r w:rsidR="0097250F">
        <w:t>E</w:t>
      </w:r>
      <w:r w:rsidR="001909F9" w:rsidRPr="001909F9">
        <w:t>missions of M</w:t>
      </w:r>
      <w:r w:rsidR="001909F9" w:rsidRPr="002D62E4">
        <w:rPr>
          <w:vertAlign w:val="subscript"/>
        </w:rPr>
        <w:t>1</w:t>
      </w:r>
      <w:r w:rsidR="001909F9" w:rsidRPr="001909F9">
        <w:t xml:space="preserve"> and N</w:t>
      </w:r>
      <w:r w:rsidR="001909F9" w:rsidRPr="002D62E4">
        <w:rPr>
          <w:vertAlign w:val="subscript"/>
        </w:rPr>
        <w:t>1</w:t>
      </w:r>
      <w:r w:rsidR="001909F9" w:rsidRPr="001909F9">
        <w:t xml:space="preserve"> vehicles</w:t>
      </w:r>
      <w:r w:rsidR="00D5758D">
        <w:t>)</w:t>
      </w:r>
    </w:p>
    <w:p w:rsidR="00A66D91" w:rsidRPr="00A66D91" w:rsidRDefault="00085C2A" w:rsidP="00085C2A">
      <w:pPr>
        <w:ind w:left="600" w:right="1134"/>
        <w:jc w:val="both"/>
      </w:pPr>
      <w:r>
        <w:t>T</w:t>
      </w:r>
      <w:r w:rsidR="00D5758D">
        <w:t xml:space="preserve">he text reproduced below was prepared by the expert from </w:t>
      </w:r>
      <w:r w:rsidR="00C24813">
        <w:t>the European Commission</w:t>
      </w:r>
      <w:r w:rsidR="00D5758D">
        <w:t xml:space="preserve"> </w:t>
      </w:r>
      <w:r w:rsidR="00C730D4">
        <w:t xml:space="preserve">to </w:t>
      </w:r>
      <w:r w:rsidR="00150237">
        <w:t xml:space="preserve">provide clarifications and </w:t>
      </w:r>
      <w:r w:rsidR="00C24813">
        <w:t xml:space="preserve">correct errors in the </w:t>
      </w:r>
      <w:r w:rsidR="00C24813" w:rsidRPr="00C24813">
        <w:t>06 series of amendments to Regulation No.</w:t>
      </w:r>
      <w:r w:rsidR="006051C6">
        <w:t> </w:t>
      </w:r>
      <w:r w:rsidR="00C24813" w:rsidRPr="00C24813">
        <w:t>83</w:t>
      </w:r>
      <w:r w:rsidR="001909F9">
        <w:t>.</w:t>
      </w:r>
    </w:p>
    <w:p w:rsidR="002D6A98" w:rsidRPr="007F7A9F" w:rsidRDefault="002B6ACD" w:rsidP="007F7A9F">
      <w:pPr>
        <w:pStyle w:val="HChG"/>
        <w:tabs>
          <w:tab w:val="clear" w:pos="851"/>
        </w:tabs>
        <w:ind w:hanging="567"/>
        <w:rPr>
          <w:lang w:val="en-US"/>
        </w:rPr>
      </w:pPr>
      <w:r w:rsidRPr="007F7A9F">
        <w:rPr>
          <w:lang w:val="en-US"/>
        </w:rPr>
        <w:t>I.</w:t>
      </w:r>
      <w:r w:rsidR="002D62E4">
        <w:rPr>
          <w:lang w:val="en-US"/>
        </w:rPr>
        <w:tab/>
        <w:t>Proposal</w:t>
      </w:r>
    </w:p>
    <w:p w:rsidR="00064BF2" w:rsidRPr="00B94C87" w:rsidRDefault="00064BF2" w:rsidP="00064BF2">
      <w:pPr>
        <w:pStyle w:val="SingleTxtG"/>
        <w:rPr>
          <w:i/>
        </w:rPr>
      </w:pPr>
      <w:r>
        <w:rPr>
          <w:i/>
        </w:rPr>
        <w:t>Paragraph 7.1.4.1.</w:t>
      </w:r>
      <w:r w:rsidRPr="0083042A">
        <w:rPr>
          <w:i/>
        </w:rPr>
        <w:t xml:space="preserve">, </w:t>
      </w:r>
      <w:r w:rsidRPr="00AC4F20">
        <w:t xml:space="preserve">amend </w:t>
      </w:r>
      <w:r w:rsidR="008357BC">
        <w:t xml:space="preserve">format of </w:t>
      </w:r>
      <w:r w:rsidR="00CD1531">
        <w:t xml:space="preserve">text </w:t>
      </w:r>
      <w:r w:rsidRPr="00AC4F20">
        <w:t>to read</w:t>
      </w:r>
      <w:r>
        <w:t>:</w:t>
      </w:r>
    </w:p>
    <w:p w:rsidR="00064BF2" w:rsidRDefault="00064BF2" w:rsidP="00064BF2">
      <w:pPr>
        <w:pStyle w:val="SingleTxtG"/>
        <w:ind w:left="0"/>
      </w:pPr>
      <w:r w:rsidRPr="00086FAD">
        <w:rPr>
          <w:lang w:val="en-US"/>
        </w:rPr>
        <w:t>"</w:t>
      </w:r>
      <w:r>
        <w:rPr>
          <w:lang w:val="en-US"/>
        </w:rPr>
        <w:t>7.1.4.1.</w:t>
      </w:r>
      <w:r>
        <w:rPr>
          <w:lang w:val="en-US"/>
        </w:rPr>
        <w:tab/>
      </w:r>
      <w:proofErr w:type="gramStart"/>
      <w:r>
        <w:t>Identical</w:t>
      </w:r>
      <w:proofErr w:type="gramEnd"/>
      <w:r>
        <w:t xml:space="preserve"> parameters for extending approval are:</w:t>
      </w:r>
    </w:p>
    <w:p w:rsidR="00064BF2" w:rsidRDefault="00064BF2" w:rsidP="00064BF2">
      <w:pPr>
        <w:pStyle w:val="SingleTxtG"/>
      </w:pPr>
      <w:r>
        <w:t>Engine:</w:t>
      </w:r>
    </w:p>
    <w:p w:rsidR="00064BF2" w:rsidRDefault="00064BF2" w:rsidP="00064BF2">
      <w:pPr>
        <w:pStyle w:val="SingleTxtG"/>
      </w:pPr>
      <w:r>
        <w:t>(a)</w:t>
      </w:r>
      <w:r>
        <w:tab/>
        <w:t>Combustion process.</w:t>
      </w:r>
    </w:p>
    <w:p w:rsidR="00064BF2" w:rsidRDefault="00064BF2" w:rsidP="00064BF2">
      <w:pPr>
        <w:pStyle w:val="SingleTxtG"/>
      </w:pPr>
      <w:r>
        <w:t>Periodically regenerating system (i.e. catalyst, particulate trap):</w:t>
      </w:r>
    </w:p>
    <w:p w:rsidR="00064BF2" w:rsidRDefault="00064BF2" w:rsidP="00064BF2">
      <w:pPr>
        <w:pStyle w:val="SingleTxtG"/>
      </w:pPr>
      <w:r>
        <w:t>(a)</w:t>
      </w:r>
      <w:r>
        <w:tab/>
        <w:t xml:space="preserve">Construction (i.e. type of enclosure, type of precious metal, type of </w:t>
      </w:r>
      <w:r>
        <w:tab/>
        <w:t>substrate, cell density);</w:t>
      </w:r>
    </w:p>
    <w:p w:rsidR="00064BF2" w:rsidRDefault="00064BF2" w:rsidP="00064BF2">
      <w:pPr>
        <w:pStyle w:val="SingleTxtG"/>
      </w:pPr>
      <w:r>
        <w:t>(b)</w:t>
      </w:r>
      <w:r>
        <w:tab/>
        <w:t>Type and working principle;</w:t>
      </w:r>
    </w:p>
    <w:p w:rsidR="00064BF2" w:rsidRDefault="00064BF2" w:rsidP="00064BF2">
      <w:pPr>
        <w:pStyle w:val="SingleTxtG"/>
      </w:pPr>
      <w:r>
        <w:t>(c)</w:t>
      </w:r>
      <w:r>
        <w:tab/>
        <w:t>Dosage and additive system;</w:t>
      </w:r>
    </w:p>
    <w:p w:rsidR="00064BF2" w:rsidRDefault="00064BF2" w:rsidP="00064BF2">
      <w:pPr>
        <w:pStyle w:val="SingleTxtG"/>
      </w:pPr>
      <w:r>
        <w:t>(d)</w:t>
      </w:r>
      <w:r>
        <w:tab/>
        <w:t>Volume ±10 per cent;</w:t>
      </w:r>
    </w:p>
    <w:p w:rsidR="00481F3F" w:rsidRDefault="00064BF2" w:rsidP="00064BF2">
      <w:pPr>
        <w:pStyle w:val="SingleTxtG"/>
        <w:ind w:left="1701" w:hanging="567"/>
        <w:rPr>
          <w:i/>
        </w:rPr>
      </w:pPr>
      <w:proofErr w:type="gramStart"/>
      <w:r>
        <w:t>(e)</w:t>
      </w:r>
      <w:r>
        <w:tab/>
        <w:t>Location (temperature ±50 °C at 120 km/h or 5 per cent difference of maximum temperature/pressure).</w:t>
      </w:r>
      <w:r w:rsidRPr="00086FAD">
        <w:rPr>
          <w:lang w:val="en-US"/>
        </w:rPr>
        <w:t>"</w:t>
      </w:r>
      <w:proofErr w:type="gramEnd"/>
    </w:p>
    <w:p w:rsidR="00241F1C" w:rsidRDefault="00241F1C" w:rsidP="002D62E4">
      <w:pPr>
        <w:pStyle w:val="SingleTxtG"/>
        <w:rPr>
          <w:i/>
        </w:rPr>
      </w:pPr>
    </w:p>
    <w:p w:rsidR="002C1D9F" w:rsidRPr="0083042A" w:rsidRDefault="00C24813" w:rsidP="002D62E4">
      <w:pPr>
        <w:pStyle w:val="SingleTxtG"/>
        <w:rPr>
          <w:i/>
        </w:rPr>
      </w:pPr>
      <w:proofErr w:type="gramStart"/>
      <w:r>
        <w:rPr>
          <w:i/>
        </w:rPr>
        <w:t>Paragraph 1.2.12.6.</w:t>
      </w:r>
      <w:proofErr w:type="gramEnd"/>
      <w:r>
        <w:rPr>
          <w:i/>
        </w:rPr>
        <w:t xml:space="preserve"> </w:t>
      </w:r>
      <w:proofErr w:type="gramStart"/>
      <w:r>
        <w:rPr>
          <w:i/>
        </w:rPr>
        <w:t>of</w:t>
      </w:r>
      <w:proofErr w:type="gramEnd"/>
      <w:r>
        <w:rPr>
          <w:i/>
        </w:rPr>
        <w:t xml:space="preserve"> Appendix 3 to Annex 4a</w:t>
      </w:r>
      <w:r w:rsidR="0083042A" w:rsidRPr="0083042A">
        <w:rPr>
          <w:i/>
        </w:rPr>
        <w:t xml:space="preserve">, </w:t>
      </w:r>
      <w:r w:rsidRPr="00C24813">
        <w:t>amend</w:t>
      </w:r>
      <w:r w:rsidR="0083042A" w:rsidRPr="00C24813">
        <w:t xml:space="preserve"> </w:t>
      </w:r>
      <w:r w:rsidR="0083042A" w:rsidRPr="002D62E4">
        <w:t>to read:</w:t>
      </w:r>
    </w:p>
    <w:p w:rsidR="00A0104B" w:rsidRDefault="00A0104B" w:rsidP="00A0104B">
      <w:pPr>
        <w:spacing w:after="120" w:line="240" w:lineRule="auto"/>
        <w:ind w:left="1134" w:right="1134" w:hanging="1134"/>
        <w:jc w:val="both"/>
        <w:rPr>
          <w:lang w:val="en-US"/>
        </w:rPr>
      </w:pPr>
      <w:r w:rsidRPr="00086FAD">
        <w:rPr>
          <w:lang w:val="en-US"/>
        </w:rPr>
        <w:t>"</w:t>
      </w:r>
      <w:r w:rsidR="00C24813">
        <w:rPr>
          <w:lang w:val="en-US"/>
        </w:rPr>
        <w:t>1.2.12.6.</w:t>
      </w:r>
      <w:r w:rsidR="00C24813">
        <w:rPr>
          <w:lang w:val="en-US"/>
        </w:rPr>
        <w:tab/>
      </w:r>
      <w:r w:rsidRPr="00A0104B">
        <w:rPr>
          <w:lang w:val="en-US"/>
        </w:rPr>
        <w:t xml:space="preserve">The HFID shall be used with a constant flow (heat exchanger) system to ensure a </w:t>
      </w:r>
      <w:r>
        <w:rPr>
          <w:lang w:val="en-US"/>
        </w:rPr>
        <w:t>r</w:t>
      </w:r>
      <w:r w:rsidRPr="00A0104B">
        <w:rPr>
          <w:lang w:val="en-US"/>
        </w:rPr>
        <w:t xml:space="preserve">epresentative sample, unless compensation for varying </w:t>
      </w:r>
      <w:r w:rsidRPr="00A628AF">
        <w:rPr>
          <w:strike/>
          <w:lang w:val="en-US"/>
        </w:rPr>
        <w:t>CFV or CFO</w:t>
      </w:r>
      <w:r w:rsidRPr="00A0104B">
        <w:rPr>
          <w:lang w:val="en-US"/>
        </w:rPr>
        <w:t xml:space="preserve"> </w:t>
      </w:r>
      <w:r w:rsidR="00A628AF" w:rsidRPr="00A628AF">
        <w:rPr>
          <w:b/>
          <w:lang w:val="en-US"/>
        </w:rPr>
        <w:t>CVS volume</w:t>
      </w:r>
      <w:r w:rsidR="00A628AF">
        <w:rPr>
          <w:lang w:val="en-US"/>
        </w:rPr>
        <w:t xml:space="preserve"> </w:t>
      </w:r>
      <w:r w:rsidRPr="00A0104B">
        <w:rPr>
          <w:lang w:val="en-US"/>
        </w:rPr>
        <w:t>flow is made.</w:t>
      </w:r>
      <w:r w:rsidRPr="00086FAD">
        <w:rPr>
          <w:lang w:val="en-US"/>
        </w:rPr>
        <w:t>"</w:t>
      </w:r>
    </w:p>
    <w:p w:rsidR="00241F1C" w:rsidRDefault="00241F1C" w:rsidP="006A0A7F">
      <w:pPr>
        <w:pStyle w:val="SingleTxtG"/>
        <w:rPr>
          <w:i/>
        </w:rPr>
      </w:pPr>
    </w:p>
    <w:p w:rsidR="006A0A7F" w:rsidRPr="0083042A" w:rsidRDefault="006A0A7F" w:rsidP="006A0A7F">
      <w:pPr>
        <w:pStyle w:val="SingleTxtG"/>
        <w:rPr>
          <w:i/>
        </w:rPr>
      </w:pPr>
      <w:proofErr w:type="gramStart"/>
      <w:r>
        <w:rPr>
          <w:i/>
        </w:rPr>
        <w:t>Paragraph 7.5.2.</w:t>
      </w:r>
      <w:proofErr w:type="gramEnd"/>
      <w:r>
        <w:rPr>
          <w:i/>
        </w:rPr>
        <w:t xml:space="preserve"> </w:t>
      </w:r>
      <w:proofErr w:type="gramStart"/>
      <w:r>
        <w:rPr>
          <w:i/>
        </w:rPr>
        <w:t>of</w:t>
      </w:r>
      <w:proofErr w:type="gramEnd"/>
      <w:r>
        <w:rPr>
          <w:i/>
        </w:rPr>
        <w:t xml:space="preserve"> Annex 7</w:t>
      </w:r>
      <w:r w:rsidRPr="0083042A">
        <w:rPr>
          <w:i/>
        </w:rPr>
        <w:t xml:space="preserve">, </w:t>
      </w:r>
      <w:r w:rsidRPr="00C24813">
        <w:t xml:space="preserve">amend </w:t>
      </w:r>
      <w:r w:rsidRPr="002D62E4">
        <w:t>to read:</w:t>
      </w:r>
    </w:p>
    <w:p w:rsidR="006A0A7F" w:rsidRDefault="006A0A7F" w:rsidP="006A0A7F">
      <w:pPr>
        <w:spacing w:after="120"/>
        <w:ind w:left="1134" w:right="1134" w:hanging="1134"/>
        <w:jc w:val="both"/>
        <w:rPr>
          <w:lang w:val="en-US"/>
        </w:rPr>
      </w:pPr>
      <w:r w:rsidRPr="00086FAD">
        <w:rPr>
          <w:lang w:val="en-US"/>
        </w:rPr>
        <w:t>"</w:t>
      </w:r>
      <w:r w:rsidRPr="006A0A7F">
        <w:rPr>
          <w:lang w:val="en-US"/>
        </w:rPr>
        <w:t>7.5.2.</w:t>
      </w:r>
      <w:r w:rsidRPr="006A0A7F">
        <w:rPr>
          <w:lang w:val="en-US"/>
        </w:rPr>
        <w:tab/>
        <w:t xml:space="preserve">The inspector may test these vehicles by application of </w:t>
      </w:r>
      <w:r w:rsidRPr="006A0A7F">
        <w:rPr>
          <w:strike/>
          <w:lang w:val="en-US"/>
        </w:rPr>
        <w:t xml:space="preserve">paragraph 8.2.5. </w:t>
      </w:r>
      <w:proofErr w:type="gramStart"/>
      <w:r w:rsidRPr="006A0A7F">
        <w:rPr>
          <w:strike/>
          <w:lang w:val="en-US"/>
        </w:rPr>
        <w:t>of</w:t>
      </w:r>
      <w:proofErr w:type="gramEnd"/>
      <w:r w:rsidRPr="006A0A7F">
        <w:rPr>
          <w:strike/>
          <w:lang w:val="en-US"/>
        </w:rPr>
        <w:t xml:space="preserve"> this Regulation</w:t>
      </w:r>
      <w:r>
        <w:rPr>
          <w:lang w:val="en-US"/>
        </w:rPr>
        <w:t xml:space="preserve"> </w:t>
      </w:r>
      <w:r w:rsidRPr="006A0A7F">
        <w:rPr>
          <w:b/>
          <w:lang w:val="en-US"/>
        </w:rPr>
        <w:t xml:space="preserve">paragraph 7.1. </w:t>
      </w:r>
      <w:proofErr w:type="gramStart"/>
      <w:r w:rsidRPr="006A0A7F">
        <w:rPr>
          <w:b/>
          <w:lang w:val="en-US"/>
        </w:rPr>
        <w:t>of</w:t>
      </w:r>
      <w:proofErr w:type="gramEnd"/>
      <w:r w:rsidRPr="006A0A7F">
        <w:rPr>
          <w:b/>
          <w:lang w:val="en-US"/>
        </w:rPr>
        <w:t xml:space="preserve"> this annex</w:t>
      </w:r>
      <w:r w:rsidRPr="006A0A7F">
        <w:rPr>
          <w:lang w:val="en-US"/>
        </w:rPr>
        <w:t>.</w:t>
      </w:r>
      <w:r w:rsidRPr="00086FAD">
        <w:rPr>
          <w:lang w:val="en-US"/>
        </w:rPr>
        <w:t>"</w:t>
      </w:r>
    </w:p>
    <w:p w:rsidR="00241F1C" w:rsidRDefault="00241F1C" w:rsidP="00A0104B">
      <w:pPr>
        <w:pStyle w:val="SingleTxtG"/>
        <w:rPr>
          <w:i/>
        </w:rPr>
      </w:pPr>
    </w:p>
    <w:p w:rsidR="00A0104B" w:rsidRPr="0083042A" w:rsidRDefault="00A0104B" w:rsidP="00A0104B">
      <w:pPr>
        <w:pStyle w:val="SingleTxtG"/>
        <w:rPr>
          <w:i/>
        </w:rPr>
      </w:pPr>
      <w:proofErr w:type="gramStart"/>
      <w:r>
        <w:rPr>
          <w:i/>
        </w:rPr>
        <w:t>Paragraph 3</w:t>
      </w:r>
      <w:r w:rsidR="00A628AF">
        <w:rPr>
          <w:i/>
        </w:rPr>
        <w:t>.</w:t>
      </w:r>
      <w:r>
        <w:rPr>
          <w:i/>
        </w:rPr>
        <w:t>3.3.1.</w:t>
      </w:r>
      <w:proofErr w:type="gramEnd"/>
      <w:r>
        <w:rPr>
          <w:i/>
        </w:rPr>
        <w:t xml:space="preserve"> </w:t>
      </w:r>
      <w:proofErr w:type="gramStart"/>
      <w:r>
        <w:rPr>
          <w:i/>
        </w:rPr>
        <w:t>of</w:t>
      </w:r>
      <w:proofErr w:type="gramEnd"/>
      <w:r>
        <w:rPr>
          <w:i/>
        </w:rPr>
        <w:t xml:space="preserve"> Annex </w:t>
      </w:r>
      <w:r w:rsidR="00A628AF">
        <w:rPr>
          <w:i/>
        </w:rPr>
        <w:t>11</w:t>
      </w:r>
      <w:r w:rsidRPr="0083042A">
        <w:rPr>
          <w:i/>
        </w:rPr>
        <w:t xml:space="preserve">, </w:t>
      </w:r>
      <w:r w:rsidRPr="00C24813">
        <w:t xml:space="preserve">amend </w:t>
      </w:r>
      <w:r w:rsidRPr="002D62E4">
        <w:t>to read:</w:t>
      </w:r>
    </w:p>
    <w:p w:rsidR="00A46243" w:rsidRDefault="00C24813" w:rsidP="002D62E4">
      <w:pPr>
        <w:spacing w:after="120"/>
        <w:ind w:left="1134" w:right="1134" w:hanging="1134"/>
        <w:jc w:val="both"/>
        <w:rPr>
          <w:lang w:val="en-US"/>
        </w:rPr>
      </w:pPr>
      <w:proofErr w:type="gramStart"/>
      <w:r w:rsidRPr="00086FAD">
        <w:rPr>
          <w:lang w:val="en-US"/>
        </w:rPr>
        <w:t>"</w:t>
      </w:r>
      <w:r>
        <w:rPr>
          <w:lang w:val="en-US"/>
        </w:rPr>
        <w:t>3.3.3.1.</w:t>
      </w:r>
      <w:r>
        <w:rPr>
          <w:lang w:val="en-US"/>
        </w:rPr>
        <w:tab/>
      </w:r>
      <w:r w:rsidR="00A0104B" w:rsidRPr="00A0104B">
        <w:rPr>
          <w:lang w:val="en-US"/>
        </w:rPr>
        <w:t xml:space="preserve">The reduction in the efficiency of the catalytic converter with respect to emissions of </w:t>
      </w:r>
      <w:r w:rsidR="00A0104B" w:rsidRPr="00A0104B">
        <w:rPr>
          <w:strike/>
          <w:lang w:val="en-US"/>
        </w:rPr>
        <w:t>THC</w:t>
      </w:r>
      <w:r w:rsidR="00A0104B" w:rsidRPr="00A0104B">
        <w:rPr>
          <w:lang w:val="en-US"/>
        </w:rPr>
        <w:t xml:space="preserve"> </w:t>
      </w:r>
      <w:r w:rsidR="00A0104B" w:rsidRPr="00A0104B">
        <w:rPr>
          <w:b/>
          <w:lang w:val="en-US"/>
        </w:rPr>
        <w:t>NMHC</w:t>
      </w:r>
      <w:r w:rsidR="00A0104B">
        <w:rPr>
          <w:lang w:val="en-US"/>
        </w:rPr>
        <w:t xml:space="preserve"> </w:t>
      </w:r>
      <w:r w:rsidR="00A0104B" w:rsidRPr="00A0104B">
        <w:rPr>
          <w:lang w:val="en-US"/>
        </w:rPr>
        <w:t>and NO</w:t>
      </w:r>
      <w:r w:rsidR="00A0104B" w:rsidRPr="00ED1FBD">
        <w:rPr>
          <w:vertAlign w:val="subscript"/>
          <w:lang w:val="en-US"/>
        </w:rPr>
        <w:t>x</w:t>
      </w:r>
      <w:r w:rsidR="00A0104B" w:rsidRPr="00A0104B">
        <w:rPr>
          <w:lang w:val="en-US"/>
        </w:rPr>
        <w:t>.</w:t>
      </w:r>
      <w:proofErr w:type="gramEnd"/>
      <w:r w:rsidR="00A0104B" w:rsidRPr="00A0104B">
        <w:rPr>
          <w:lang w:val="en-US"/>
        </w:rPr>
        <w:t xml:space="preserve"> Manufacturers may monitor the front catalyst alone or in combination with the next catalyst(s) downstream. Each monitored catalyst or catalyst combination shall be considered malfunctioning when the emissions exceed the NMHC or NO</w:t>
      </w:r>
      <w:r w:rsidR="00A0104B" w:rsidRPr="00ED1FBD">
        <w:rPr>
          <w:vertAlign w:val="subscript"/>
          <w:lang w:val="en-US"/>
        </w:rPr>
        <w:t>x</w:t>
      </w:r>
      <w:r w:rsidR="00A0104B" w:rsidRPr="00A0104B">
        <w:rPr>
          <w:lang w:val="en-US"/>
        </w:rPr>
        <w:t xml:space="preserve"> threshold limits provided for by paragraph 3.3.2. </w:t>
      </w:r>
      <w:proofErr w:type="gramStart"/>
      <w:r w:rsidR="00A0104B" w:rsidRPr="00A0104B">
        <w:rPr>
          <w:lang w:val="en-US"/>
        </w:rPr>
        <w:t>of</w:t>
      </w:r>
      <w:proofErr w:type="gramEnd"/>
      <w:r w:rsidR="00A0104B" w:rsidRPr="00A0104B">
        <w:rPr>
          <w:lang w:val="en-US"/>
        </w:rPr>
        <w:t xml:space="preserve"> this annex.</w:t>
      </w:r>
      <w:r w:rsidR="00137996">
        <w:rPr>
          <w:lang w:val="en-US"/>
        </w:rPr>
        <w:t xml:space="preserve"> By way of derogation the requirement of monitoring the reduction in the efficiency of the catalytic converter with respect to NO</w:t>
      </w:r>
      <w:r w:rsidR="00137996" w:rsidRPr="00137996">
        <w:rPr>
          <w:vertAlign w:val="subscript"/>
          <w:lang w:val="en-US"/>
        </w:rPr>
        <w:t>x</w:t>
      </w:r>
      <w:r w:rsidR="00137996">
        <w:rPr>
          <w:lang w:val="en-US"/>
        </w:rPr>
        <w:t xml:space="preserve"> emissions shall only apply as from the dates set out in paragraph 12.1.4.</w:t>
      </w:r>
      <w:r w:rsidR="002D62E4" w:rsidRPr="00086FAD">
        <w:rPr>
          <w:lang w:val="en-US"/>
        </w:rPr>
        <w:t>"</w:t>
      </w:r>
    </w:p>
    <w:p w:rsidR="00CD1531" w:rsidRDefault="00CD1531" w:rsidP="004375DB">
      <w:pPr>
        <w:pStyle w:val="SingleTxtG"/>
        <w:rPr>
          <w:i/>
        </w:rPr>
      </w:pPr>
    </w:p>
    <w:p w:rsidR="004375DB" w:rsidRPr="00A969EB" w:rsidRDefault="004375DB" w:rsidP="004375DB">
      <w:pPr>
        <w:pStyle w:val="SingleTxtG"/>
        <w:rPr>
          <w:i/>
        </w:rPr>
      </w:pPr>
      <w:proofErr w:type="gramStart"/>
      <w:r w:rsidRPr="00A969EB">
        <w:rPr>
          <w:i/>
        </w:rPr>
        <w:lastRenderedPageBreak/>
        <w:t>Paragraph 3.3.3.4.</w:t>
      </w:r>
      <w:proofErr w:type="gramEnd"/>
      <w:r w:rsidRPr="00A969EB">
        <w:rPr>
          <w:i/>
        </w:rPr>
        <w:t xml:space="preserve"> </w:t>
      </w:r>
      <w:proofErr w:type="gramStart"/>
      <w:r w:rsidRPr="00A969EB">
        <w:rPr>
          <w:i/>
        </w:rPr>
        <w:t>of</w:t>
      </w:r>
      <w:proofErr w:type="gramEnd"/>
      <w:r w:rsidRPr="00A969EB">
        <w:rPr>
          <w:i/>
        </w:rPr>
        <w:t xml:space="preserve"> Annex 11, </w:t>
      </w:r>
      <w:r w:rsidRPr="00A969EB">
        <w:t>amend to read:</w:t>
      </w:r>
    </w:p>
    <w:p w:rsidR="004375DB" w:rsidRPr="00A969EB" w:rsidRDefault="004375DB" w:rsidP="004375DB">
      <w:pPr>
        <w:spacing w:after="120"/>
        <w:ind w:left="1134" w:right="1134" w:hanging="1134"/>
        <w:jc w:val="both"/>
        <w:rPr>
          <w:lang w:val="en-US"/>
        </w:rPr>
      </w:pPr>
      <w:r w:rsidRPr="00A969EB">
        <w:rPr>
          <w:lang w:val="en-US"/>
        </w:rPr>
        <w:t>"3.3.3.4.</w:t>
      </w:r>
      <w:r w:rsidRPr="00A969EB">
        <w:rPr>
          <w:lang w:val="en-US"/>
        </w:rPr>
        <w:tab/>
        <w:t xml:space="preserve">If active on the selected fuel, other emission control system components or systems, or emission related power train components or systems which are connected to a computer, the failure of which may result in tailpipe emissions exceeding the </w:t>
      </w:r>
      <w:r w:rsidRPr="00A969EB">
        <w:rPr>
          <w:b/>
          <w:lang w:val="en-US"/>
        </w:rPr>
        <w:t>OBD threshold</w:t>
      </w:r>
      <w:r w:rsidRPr="00A969EB">
        <w:rPr>
          <w:lang w:val="en-US"/>
        </w:rPr>
        <w:t xml:space="preserve"> limits given in </w:t>
      </w:r>
      <w:r w:rsidR="00CD1531">
        <w:rPr>
          <w:lang w:val="en-US"/>
        </w:rPr>
        <w:t xml:space="preserve">paragraph 3.3.2. </w:t>
      </w:r>
      <w:proofErr w:type="gramStart"/>
      <w:r w:rsidR="00CD1531">
        <w:rPr>
          <w:lang w:val="en-US"/>
        </w:rPr>
        <w:t>of</w:t>
      </w:r>
      <w:proofErr w:type="gramEnd"/>
      <w:r w:rsidR="00CD1531">
        <w:rPr>
          <w:lang w:val="en-US"/>
        </w:rPr>
        <w:t xml:space="preserve"> this annex.</w:t>
      </w:r>
      <w:r w:rsidRPr="00A969EB">
        <w:rPr>
          <w:lang w:val="en-US"/>
        </w:rPr>
        <w:t>"</w:t>
      </w:r>
    </w:p>
    <w:p w:rsidR="00CD1531" w:rsidRDefault="00CD1531" w:rsidP="004375DB">
      <w:pPr>
        <w:spacing w:after="120"/>
        <w:ind w:left="1134" w:right="1134"/>
        <w:jc w:val="both"/>
        <w:rPr>
          <w:i/>
        </w:rPr>
      </w:pPr>
    </w:p>
    <w:p w:rsidR="004375DB" w:rsidRPr="00A969EB" w:rsidRDefault="004375DB" w:rsidP="004375DB">
      <w:pPr>
        <w:spacing w:after="120"/>
        <w:ind w:left="1134" w:right="1134"/>
        <w:jc w:val="both"/>
        <w:rPr>
          <w:i/>
        </w:rPr>
      </w:pPr>
      <w:proofErr w:type="gramStart"/>
      <w:r w:rsidRPr="00A969EB">
        <w:rPr>
          <w:i/>
        </w:rPr>
        <w:t>Paragraph 3.3.</w:t>
      </w:r>
      <w:r w:rsidR="002909C5">
        <w:rPr>
          <w:i/>
        </w:rPr>
        <w:t>4.</w:t>
      </w:r>
      <w:r w:rsidRPr="00A969EB">
        <w:rPr>
          <w:i/>
        </w:rPr>
        <w:t>4.</w:t>
      </w:r>
      <w:proofErr w:type="gramEnd"/>
      <w:r w:rsidRPr="00A969EB">
        <w:rPr>
          <w:i/>
        </w:rPr>
        <w:t xml:space="preserve"> </w:t>
      </w:r>
      <w:proofErr w:type="gramStart"/>
      <w:r w:rsidRPr="00A969EB">
        <w:rPr>
          <w:i/>
        </w:rPr>
        <w:t>of</w:t>
      </w:r>
      <w:proofErr w:type="gramEnd"/>
      <w:r w:rsidRPr="00A969EB">
        <w:rPr>
          <w:i/>
        </w:rPr>
        <w:t xml:space="preserve"> Annex 11, amend to read:</w:t>
      </w:r>
    </w:p>
    <w:p w:rsidR="004375DB" w:rsidRPr="00A969EB" w:rsidRDefault="004375DB" w:rsidP="004375DB">
      <w:pPr>
        <w:spacing w:after="120"/>
        <w:ind w:left="1134" w:right="1134" w:hanging="1134"/>
        <w:jc w:val="both"/>
        <w:rPr>
          <w:lang w:val="en-US"/>
        </w:rPr>
      </w:pPr>
      <w:proofErr w:type="gramStart"/>
      <w:r w:rsidRPr="00A969EB">
        <w:rPr>
          <w:lang w:val="en-US"/>
        </w:rPr>
        <w:t>"3.3.4.4.</w:t>
      </w:r>
      <w:r w:rsidRPr="00A969EB">
        <w:rPr>
          <w:lang w:val="en-US"/>
        </w:rPr>
        <w:tab/>
        <w:t xml:space="preserve">Other emission control system components or systems, or emission-related power-train components or systems, which are connected to a computer, the failure of which may result in exhaust emissions exceeding the </w:t>
      </w:r>
      <w:r w:rsidRPr="00A969EB">
        <w:rPr>
          <w:b/>
          <w:lang w:val="en-US"/>
        </w:rPr>
        <w:t>OBD threshold</w:t>
      </w:r>
      <w:r w:rsidRPr="00A969EB">
        <w:rPr>
          <w:lang w:val="en-US"/>
        </w:rPr>
        <w:t xml:space="preserve"> limits given in paragraph 3.3.2.</w:t>
      </w:r>
      <w:proofErr w:type="gramEnd"/>
      <w:r w:rsidRPr="00A969EB">
        <w:rPr>
          <w:lang w:val="en-US"/>
        </w:rPr>
        <w:t xml:space="preserve"> </w:t>
      </w:r>
      <w:proofErr w:type="gramStart"/>
      <w:r w:rsidRPr="00A969EB">
        <w:rPr>
          <w:lang w:val="en-US"/>
        </w:rPr>
        <w:t>of</w:t>
      </w:r>
      <w:proofErr w:type="gramEnd"/>
      <w:r w:rsidRPr="00A969EB">
        <w:rPr>
          <w:lang w:val="en-US"/>
        </w:rPr>
        <w:t xml:space="preserve"> this annex. Examples of such systems or components are those for monitoring and control of air mass-flow, air volumetric flow (and temperature), boost pressure and inlet manifold pressure (and relevant sensors to enable these functions to be carried out).</w:t>
      </w:r>
      <w:r w:rsidR="002909C5" w:rsidRPr="002909C5">
        <w:rPr>
          <w:lang w:val="en-US"/>
        </w:rPr>
        <w:t>"</w:t>
      </w:r>
    </w:p>
    <w:p w:rsidR="00CD1531" w:rsidRDefault="00CD1531" w:rsidP="00CF3B0F">
      <w:pPr>
        <w:pStyle w:val="SingleTxtG"/>
        <w:rPr>
          <w:i/>
        </w:rPr>
      </w:pPr>
    </w:p>
    <w:p w:rsidR="00CF3B0F" w:rsidRPr="002909C5" w:rsidRDefault="00CF3B0F" w:rsidP="00CF3B0F">
      <w:pPr>
        <w:pStyle w:val="SingleTxtG"/>
        <w:rPr>
          <w:i/>
        </w:rPr>
      </w:pPr>
      <w:proofErr w:type="gramStart"/>
      <w:r w:rsidRPr="002909C5">
        <w:rPr>
          <w:i/>
        </w:rPr>
        <w:t>Paragraph 3.3.5.</w:t>
      </w:r>
      <w:proofErr w:type="gramEnd"/>
      <w:r w:rsidRPr="002909C5">
        <w:rPr>
          <w:i/>
        </w:rPr>
        <w:t xml:space="preserve"> </w:t>
      </w:r>
      <w:proofErr w:type="gramStart"/>
      <w:r w:rsidRPr="002909C5">
        <w:rPr>
          <w:i/>
        </w:rPr>
        <w:t>of</w:t>
      </w:r>
      <w:proofErr w:type="gramEnd"/>
      <w:r w:rsidRPr="002909C5">
        <w:rPr>
          <w:i/>
        </w:rPr>
        <w:t xml:space="preserve"> Annex 11, </w:t>
      </w:r>
      <w:r w:rsidRPr="002909C5">
        <w:t>amend to read:</w:t>
      </w:r>
    </w:p>
    <w:p w:rsidR="00CF3B0F" w:rsidRPr="0083042A" w:rsidRDefault="00CF3B0F" w:rsidP="00CF3B0F">
      <w:pPr>
        <w:spacing w:after="120"/>
        <w:ind w:left="1134" w:right="1134" w:hanging="1134"/>
        <w:jc w:val="both"/>
      </w:pPr>
      <w:r w:rsidRPr="002909C5">
        <w:rPr>
          <w:lang w:val="en-US"/>
        </w:rPr>
        <w:t>"3.3.5.</w:t>
      </w:r>
      <w:r w:rsidRPr="002909C5">
        <w:rPr>
          <w:lang w:val="en-US"/>
        </w:rPr>
        <w:tab/>
        <w:t xml:space="preserve">Manufacturers may demonstrate to the Type Approval Authority that certain components or systems need not be monitored if, in the event of their total failure or removal, emissions do not exceed the </w:t>
      </w:r>
      <w:r w:rsidRPr="002909C5">
        <w:rPr>
          <w:strike/>
          <w:lang w:val="en-US"/>
        </w:rPr>
        <w:t>emission</w:t>
      </w:r>
      <w:r w:rsidRPr="002909C5">
        <w:rPr>
          <w:lang w:val="en-US"/>
        </w:rPr>
        <w:t xml:space="preserve"> </w:t>
      </w:r>
      <w:r w:rsidRPr="002909C5">
        <w:rPr>
          <w:b/>
          <w:lang w:val="en-US"/>
        </w:rPr>
        <w:t>OBD threshold</w:t>
      </w:r>
      <w:r w:rsidRPr="002909C5">
        <w:rPr>
          <w:lang w:val="en-US"/>
        </w:rPr>
        <w:t xml:space="preserve"> limits given in paragraph 3.3.2. </w:t>
      </w:r>
      <w:proofErr w:type="gramStart"/>
      <w:r w:rsidRPr="002909C5">
        <w:rPr>
          <w:lang w:val="en-US"/>
        </w:rPr>
        <w:t>of</w:t>
      </w:r>
      <w:proofErr w:type="gramEnd"/>
      <w:r w:rsidRPr="002909C5">
        <w:rPr>
          <w:lang w:val="en-US"/>
        </w:rPr>
        <w:t xml:space="preserve"> this annex."</w:t>
      </w:r>
    </w:p>
    <w:p w:rsidR="002B6ACD" w:rsidRPr="00A66D91" w:rsidRDefault="002B6ACD" w:rsidP="007F7A9F">
      <w:pPr>
        <w:pStyle w:val="HChG"/>
        <w:tabs>
          <w:tab w:val="clear" w:pos="851"/>
        </w:tabs>
        <w:ind w:hanging="567"/>
      </w:pPr>
      <w:r w:rsidRPr="007F7A9F">
        <w:rPr>
          <w:lang w:val="en-US"/>
        </w:rPr>
        <w:t>II.</w:t>
      </w:r>
      <w:r w:rsidRPr="007F7A9F">
        <w:rPr>
          <w:lang w:val="en-US"/>
        </w:rPr>
        <w:tab/>
        <w:t>Justification</w:t>
      </w:r>
    </w:p>
    <w:p w:rsidR="00481F3F" w:rsidRDefault="00064BF2" w:rsidP="00481F3F">
      <w:pPr>
        <w:pStyle w:val="SingleTxtG"/>
        <w:rPr>
          <w:rFonts w:eastAsia="MS Mincho"/>
        </w:rPr>
      </w:pPr>
      <w:proofErr w:type="gramStart"/>
      <w:r>
        <w:rPr>
          <w:rFonts w:eastAsia="MS Mincho"/>
        </w:rPr>
        <w:t>The amendment to the format of the text in p</w:t>
      </w:r>
      <w:r w:rsidRPr="00353A11">
        <w:rPr>
          <w:rFonts w:eastAsia="MS Mincho"/>
        </w:rPr>
        <w:t>aragraph 7.1.4.1.</w:t>
      </w:r>
      <w:proofErr w:type="gramEnd"/>
      <w:r>
        <w:rPr>
          <w:rFonts w:eastAsia="MS Mincho"/>
        </w:rPr>
        <w:t xml:space="preserve"> </w:t>
      </w:r>
      <w:proofErr w:type="gramStart"/>
      <w:r>
        <w:rPr>
          <w:rFonts w:eastAsia="MS Mincho"/>
        </w:rPr>
        <w:t>is</w:t>
      </w:r>
      <w:proofErr w:type="gramEnd"/>
      <w:r>
        <w:rPr>
          <w:rFonts w:eastAsia="MS Mincho"/>
        </w:rPr>
        <w:t xml:space="preserve"> to improve accuracy and align with the equivalent text in paragraph 2.1.1. </w:t>
      </w:r>
      <w:proofErr w:type="gramStart"/>
      <w:r>
        <w:rPr>
          <w:rFonts w:eastAsia="MS Mincho"/>
        </w:rPr>
        <w:t>of</w:t>
      </w:r>
      <w:proofErr w:type="gramEnd"/>
      <w:r>
        <w:rPr>
          <w:rFonts w:eastAsia="MS Mincho"/>
        </w:rPr>
        <w:t xml:space="preserve"> Annex 13. </w:t>
      </w:r>
      <w:r>
        <w:t>The terms</w:t>
      </w:r>
      <w:r w:rsidRPr="00B94C87">
        <w:t xml:space="preserve"> </w:t>
      </w:r>
      <w:r w:rsidR="00CD1531" w:rsidRPr="00A969EB">
        <w:rPr>
          <w:lang w:val="en-US"/>
        </w:rPr>
        <w:t>"</w:t>
      </w:r>
      <w:r w:rsidRPr="00B94C87">
        <w:t>Engine</w:t>
      </w:r>
      <w:r w:rsidR="00CD1531" w:rsidRPr="00A969EB">
        <w:rPr>
          <w:lang w:val="en-US"/>
        </w:rPr>
        <w:t>"</w:t>
      </w:r>
      <w:r w:rsidRPr="00B94C87">
        <w:t xml:space="preserve"> and </w:t>
      </w:r>
      <w:r w:rsidR="00CD1531" w:rsidRPr="00A969EB">
        <w:rPr>
          <w:lang w:val="en-US"/>
        </w:rPr>
        <w:t>"</w:t>
      </w:r>
      <w:r w:rsidRPr="00B94C87">
        <w:t>Periodically regenerating system</w:t>
      </w:r>
      <w:r w:rsidR="00CD1531" w:rsidRPr="00A969EB">
        <w:rPr>
          <w:lang w:val="en-US"/>
        </w:rPr>
        <w:t>"</w:t>
      </w:r>
      <w:r w:rsidRPr="00B94C87">
        <w:t xml:space="preserve"> </w:t>
      </w:r>
      <w:r>
        <w:t>should both be</w:t>
      </w:r>
      <w:r w:rsidRPr="00B94C87">
        <w:t xml:space="preserve"> sub-headings and not just part of the list of elements</w:t>
      </w:r>
      <w:r>
        <w:t>, as they are currently in paragraph 7.1.4.1.</w:t>
      </w:r>
    </w:p>
    <w:p w:rsidR="007F7A9F" w:rsidRDefault="00AA36B6" w:rsidP="00385FC9">
      <w:pPr>
        <w:pStyle w:val="SingleTxtG"/>
        <w:rPr>
          <w:rFonts w:eastAsia="MS Mincho"/>
        </w:rPr>
      </w:pPr>
      <w:proofErr w:type="gramStart"/>
      <w:r>
        <w:rPr>
          <w:rFonts w:eastAsia="MS Mincho"/>
        </w:rPr>
        <w:t xml:space="preserve">The amendment to </w:t>
      </w:r>
      <w:r>
        <w:t>p</w:t>
      </w:r>
      <w:r w:rsidRPr="00AA36B6">
        <w:t>aragraph 1.2.12.6.</w:t>
      </w:r>
      <w:proofErr w:type="gramEnd"/>
      <w:r w:rsidRPr="00AA36B6">
        <w:t xml:space="preserve"> </w:t>
      </w:r>
      <w:proofErr w:type="gramStart"/>
      <w:r w:rsidRPr="00AA36B6">
        <w:t>of</w:t>
      </w:r>
      <w:proofErr w:type="gramEnd"/>
      <w:r w:rsidRPr="00AA36B6">
        <w:t xml:space="preserve"> Appendix 3 to Annex 4a</w:t>
      </w:r>
      <w:r>
        <w:rPr>
          <w:rFonts w:eastAsia="MS Mincho"/>
        </w:rPr>
        <w:t xml:space="preserve"> </w:t>
      </w:r>
      <w:r w:rsidR="00385FC9">
        <w:rPr>
          <w:rFonts w:eastAsia="MS Mincho"/>
        </w:rPr>
        <w:t>to change “</w:t>
      </w:r>
      <w:r w:rsidR="00385FC9" w:rsidRPr="00385FC9">
        <w:rPr>
          <w:rFonts w:eastAsia="MS Mincho"/>
        </w:rPr>
        <w:t xml:space="preserve">CFV or CFO </w:t>
      </w:r>
      <w:r w:rsidR="00385FC9">
        <w:rPr>
          <w:rFonts w:eastAsia="MS Mincho"/>
        </w:rPr>
        <w:t>flow” to “</w:t>
      </w:r>
      <w:r w:rsidR="00385FC9" w:rsidRPr="00385FC9">
        <w:rPr>
          <w:rFonts w:eastAsia="MS Mincho"/>
        </w:rPr>
        <w:t>CVS volume flow</w:t>
      </w:r>
      <w:r w:rsidR="00385FC9">
        <w:rPr>
          <w:rFonts w:eastAsia="MS Mincho"/>
        </w:rPr>
        <w:t>”</w:t>
      </w:r>
      <w:r w:rsidR="00385FC9" w:rsidRPr="00385FC9">
        <w:rPr>
          <w:rFonts w:eastAsia="MS Mincho"/>
        </w:rPr>
        <w:t xml:space="preserve"> is </w:t>
      </w:r>
      <w:r w:rsidR="00385FC9">
        <w:rPr>
          <w:rFonts w:eastAsia="MS Mincho"/>
        </w:rPr>
        <w:t>correct inaccurate terminology</w:t>
      </w:r>
      <w:r>
        <w:rPr>
          <w:rFonts w:eastAsia="MS Mincho"/>
        </w:rPr>
        <w:t>.</w:t>
      </w:r>
    </w:p>
    <w:p w:rsidR="00AA36B6" w:rsidRDefault="00AA36B6" w:rsidP="00AA36B6">
      <w:pPr>
        <w:pStyle w:val="SingleTxtG"/>
        <w:rPr>
          <w:rFonts w:eastAsia="MS Mincho"/>
        </w:rPr>
      </w:pPr>
      <w:proofErr w:type="gramStart"/>
      <w:r>
        <w:rPr>
          <w:rFonts w:eastAsia="MS Mincho"/>
        </w:rPr>
        <w:t>The amendment to p</w:t>
      </w:r>
      <w:r w:rsidRPr="00AA36B6">
        <w:rPr>
          <w:rFonts w:eastAsia="MS Mincho"/>
        </w:rPr>
        <w:t>aragraph 7.5.2.</w:t>
      </w:r>
      <w:proofErr w:type="gramEnd"/>
      <w:r w:rsidRPr="00AA36B6">
        <w:rPr>
          <w:rFonts w:eastAsia="MS Mincho"/>
        </w:rPr>
        <w:t xml:space="preserve"> </w:t>
      </w:r>
      <w:proofErr w:type="gramStart"/>
      <w:r w:rsidRPr="00AA36B6">
        <w:rPr>
          <w:rFonts w:eastAsia="MS Mincho"/>
        </w:rPr>
        <w:t>of</w:t>
      </w:r>
      <w:proofErr w:type="gramEnd"/>
      <w:r w:rsidRPr="00AA36B6">
        <w:rPr>
          <w:rFonts w:eastAsia="MS Mincho"/>
        </w:rPr>
        <w:t xml:space="preserve"> Annex 7</w:t>
      </w:r>
      <w:r>
        <w:rPr>
          <w:rFonts w:eastAsia="MS Mincho"/>
        </w:rPr>
        <w:t xml:space="preserve"> is to correct a cross-referencing error that remains in the 06 series</w:t>
      </w:r>
      <w:r w:rsidR="00CD1531">
        <w:rPr>
          <w:rFonts w:eastAsia="MS Mincho"/>
        </w:rPr>
        <w:t xml:space="preserve"> of amendments</w:t>
      </w:r>
      <w:r>
        <w:rPr>
          <w:rFonts w:eastAsia="MS Mincho"/>
        </w:rPr>
        <w:t xml:space="preserve">. </w:t>
      </w:r>
    </w:p>
    <w:p w:rsidR="00AA36B6" w:rsidRDefault="00A6239F" w:rsidP="00AA36B6">
      <w:pPr>
        <w:pStyle w:val="SingleTxtG"/>
        <w:rPr>
          <w:rFonts w:eastAsia="MS Mincho"/>
        </w:rPr>
      </w:pPr>
      <w:proofErr w:type="gramStart"/>
      <w:r>
        <w:rPr>
          <w:rFonts w:eastAsia="MS Mincho"/>
        </w:rPr>
        <w:t>The amendment to p</w:t>
      </w:r>
      <w:r w:rsidRPr="00AA36B6">
        <w:rPr>
          <w:rFonts w:eastAsia="MS Mincho"/>
        </w:rPr>
        <w:t>aragraph</w:t>
      </w:r>
      <w:r>
        <w:rPr>
          <w:rFonts w:eastAsia="MS Mincho"/>
        </w:rPr>
        <w:t xml:space="preserve"> </w:t>
      </w:r>
      <w:r w:rsidRPr="00AA36B6">
        <w:rPr>
          <w:rFonts w:eastAsia="MS Mincho"/>
        </w:rPr>
        <w:t>3.3.3.1.</w:t>
      </w:r>
      <w:proofErr w:type="gramEnd"/>
      <w:r w:rsidRPr="00AA36B6">
        <w:rPr>
          <w:rFonts w:eastAsia="MS Mincho"/>
        </w:rPr>
        <w:t xml:space="preserve"> </w:t>
      </w:r>
      <w:proofErr w:type="gramStart"/>
      <w:r w:rsidRPr="00AA36B6">
        <w:rPr>
          <w:rFonts w:eastAsia="MS Mincho"/>
        </w:rPr>
        <w:t>of</w:t>
      </w:r>
      <w:proofErr w:type="gramEnd"/>
      <w:r w:rsidRPr="00AA36B6">
        <w:rPr>
          <w:rFonts w:eastAsia="MS Mincho"/>
        </w:rPr>
        <w:t xml:space="preserve"> Annex 11</w:t>
      </w:r>
      <w:r>
        <w:rPr>
          <w:rFonts w:eastAsia="MS Mincho"/>
        </w:rPr>
        <w:t xml:space="preserve"> is to correct an error. The reference should be to emissions of ‘non-methane hydrocarbons’ (NMHC) and not ‘total hydrocarbons’ (THC). It is NMHC for which the limits are provided in the tables in paragraph 3.3.2.</w:t>
      </w:r>
      <w:r w:rsidR="00301DA8">
        <w:rPr>
          <w:rFonts w:eastAsia="MS Mincho"/>
        </w:rPr>
        <w:t xml:space="preserve"> </w:t>
      </w:r>
      <w:proofErr w:type="gramStart"/>
      <w:r w:rsidR="00301DA8">
        <w:rPr>
          <w:rFonts w:eastAsia="MS Mincho"/>
        </w:rPr>
        <w:t>of</w:t>
      </w:r>
      <w:proofErr w:type="gramEnd"/>
      <w:r w:rsidR="00301DA8">
        <w:rPr>
          <w:rFonts w:eastAsia="MS Mincho"/>
        </w:rPr>
        <w:t xml:space="preserve"> Annex XI.</w:t>
      </w:r>
    </w:p>
    <w:p w:rsidR="002909C5" w:rsidRDefault="002909C5" w:rsidP="002909C5">
      <w:pPr>
        <w:pStyle w:val="SingleTxtG"/>
        <w:rPr>
          <w:rFonts w:eastAsia="MS Mincho"/>
        </w:rPr>
      </w:pPr>
      <w:proofErr w:type="gramStart"/>
      <w:r>
        <w:rPr>
          <w:rFonts w:eastAsia="MS Mincho"/>
        </w:rPr>
        <w:t>The amendments to p</w:t>
      </w:r>
      <w:r w:rsidRPr="00E14260">
        <w:rPr>
          <w:rFonts w:eastAsia="MS Mincho"/>
        </w:rPr>
        <w:t>aragraph</w:t>
      </w:r>
      <w:r>
        <w:rPr>
          <w:rFonts w:eastAsia="MS Mincho"/>
        </w:rPr>
        <w:t>s</w:t>
      </w:r>
      <w:r w:rsidRPr="00E14260">
        <w:rPr>
          <w:rFonts w:eastAsia="MS Mincho"/>
        </w:rPr>
        <w:t xml:space="preserve"> 3.3.</w:t>
      </w:r>
      <w:r>
        <w:rPr>
          <w:rFonts w:eastAsia="MS Mincho"/>
        </w:rPr>
        <w:t>3</w:t>
      </w:r>
      <w:r w:rsidRPr="00E14260">
        <w:rPr>
          <w:rFonts w:eastAsia="MS Mincho"/>
        </w:rPr>
        <w:t>.</w:t>
      </w:r>
      <w:r>
        <w:rPr>
          <w:rFonts w:eastAsia="MS Mincho"/>
        </w:rPr>
        <w:t>4.</w:t>
      </w:r>
      <w:proofErr w:type="gramEnd"/>
      <w:r w:rsidRPr="00E14260">
        <w:rPr>
          <w:rFonts w:eastAsia="MS Mincho"/>
        </w:rPr>
        <w:t xml:space="preserve"> </w:t>
      </w:r>
      <w:proofErr w:type="gramStart"/>
      <w:r>
        <w:rPr>
          <w:rFonts w:eastAsia="MS Mincho"/>
        </w:rPr>
        <w:t>and</w:t>
      </w:r>
      <w:proofErr w:type="gramEnd"/>
      <w:r>
        <w:rPr>
          <w:rFonts w:eastAsia="MS Mincho"/>
        </w:rPr>
        <w:t xml:space="preserve"> 3.3.4.4. </w:t>
      </w:r>
      <w:proofErr w:type="gramStart"/>
      <w:r w:rsidRPr="00E14260">
        <w:rPr>
          <w:rFonts w:eastAsia="MS Mincho"/>
        </w:rPr>
        <w:t>of</w:t>
      </w:r>
      <w:proofErr w:type="gramEnd"/>
      <w:r w:rsidRPr="00E14260">
        <w:rPr>
          <w:rFonts w:eastAsia="MS Mincho"/>
        </w:rPr>
        <w:t xml:space="preserve"> Annex 11</w:t>
      </w:r>
      <w:r>
        <w:rPr>
          <w:rFonts w:eastAsia="MS Mincho"/>
        </w:rPr>
        <w:t xml:space="preserve">, to replace </w:t>
      </w:r>
      <w:r w:rsidR="00CD1531" w:rsidRPr="00A969EB">
        <w:rPr>
          <w:lang w:val="en-US"/>
        </w:rPr>
        <w:t>"</w:t>
      </w:r>
      <w:r>
        <w:rPr>
          <w:rFonts w:eastAsia="MS Mincho"/>
        </w:rPr>
        <w:t>limits</w:t>
      </w:r>
      <w:r w:rsidR="00CD1531" w:rsidRPr="00A969EB">
        <w:rPr>
          <w:lang w:val="en-US"/>
        </w:rPr>
        <w:t>"</w:t>
      </w:r>
      <w:r>
        <w:rPr>
          <w:rFonts w:eastAsia="MS Mincho"/>
        </w:rPr>
        <w:t xml:space="preserve"> with </w:t>
      </w:r>
      <w:r w:rsidR="00CD1531" w:rsidRPr="00A969EB">
        <w:rPr>
          <w:lang w:val="en-US"/>
        </w:rPr>
        <w:t>"</w:t>
      </w:r>
      <w:r>
        <w:rPr>
          <w:rFonts w:eastAsia="MS Mincho"/>
        </w:rPr>
        <w:t>OBD threshold limits</w:t>
      </w:r>
      <w:r w:rsidR="00CD1531" w:rsidRPr="00A969EB">
        <w:rPr>
          <w:lang w:val="en-US"/>
        </w:rPr>
        <w:t>"</w:t>
      </w:r>
      <w:r>
        <w:rPr>
          <w:rFonts w:eastAsia="MS Mincho"/>
        </w:rPr>
        <w:t xml:space="preserve"> is to provide </w:t>
      </w:r>
      <w:r w:rsidR="00CD1531">
        <w:rPr>
          <w:rFonts w:eastAsia="MS Mincho"/>
        </w:rPr>
        <w:t xml:space="preserve">absolute </w:t>
      </w:r>
      <w:r>
        <w:rPr>
          <w:rFonts w:eastAsia="MS Mincho"/>
        </w:rPr>
        <w:t xml:space="preserve">clarity that this is a reference to the OBD threshold limits and not the emissions limits in Table 1 in paragraph 5.3.1.4. </w:t>
      </w:r>
      <w:proofErr w:type="gramStart"/>
      <w:r>
        <w:rPr>
          <w:rFonts w:eastAsia="MS Mincho"/>
        </w:rPr>
        <w:t>of  the</w:t>
      </w:r>
      <w:proofErr w:type="gramEnd"/>
      <w:r>
        <w:rPr>
          <w:rFonts w:eastAsia="MS Mincho"/>
        </w:rPr>
        <w:t xml:space="preserve"> Regulation.</w:t>
      </w:r>
    </w:p>
    <w:p w:rsidR="00CF3B0F" w:rsidRPr="00AA36B6" w:rsidRDefault="00CF3B0F" w:rsidP="00AA36B6">
      <w:pPr>
        <w:pStyle w:val="SingleTxtG"/>
        <w:rPr>
          <w:lang w:val="en-US"/>
        </w:rPr>
      </w:pPr>
      <w:proofErr w:type="gramStart"/>
      <w:r>
        <w:rPr>
          <w:rFonts w:eastAsia="MS Mincho"/>
        </w:rPr>
        <w:t>The amendment to p</w:t>
      </w:r>
      <w:r w:rsidRPr="00E14260">
        <w:rPr>
          <w:rFonts w:eastAsia="MS Mincho"/>
        </w:rPr>
        <w:t>aragraph 3.3.5.</w:t>
      </w:r>
      <w:proofErr w:type="gramEnd"/>
      <w:r w:rsidRPr="00E14260">
        <w:rPr>
          <w:rFonts w:eastAsia="MS Mincho"/>
        </w:rPr>
        <w:t xml:space="preserve"> </w:t>
      </w:r>
      <w:proofErr w:type="gramStart"/>
      <w:r w:rsidRPr="00E14260">
        <w:rPr>
          <w:rFonts w:eastAsia="MS Mincho"/>
        </w:rPr>
        <w:t>of</w:t>
      </w:r>
      <w:proofErr w:type="gramEnd"/>
      <w:r w:rsidRPr="00E14260">
        <w:rPr>
          <w:rFonts w:eastAsia="MS Mincho"/>
        </w:rPr>
        <w:t xml:space="preserve"> Annex 11</w:t>
      </w:r>
      <w:r>
        <w:rPr>
          <w:rFonts w:eastAsia="MS Mincho"/>
        </w:rPr>
        <w:t xml:space="preserve"> is to provide absolute clarity that this is a reference to the OBD threshold limits and not the emissions limits in Table</w:t>
      </w:r>
      <w:r w:rsidR="00CD1531">
        <w:rPr>
          <w:rFonts w:eastAsia="MS Mincho"/>
        </w:rPr>
        <w:t> </w:t>
      </w:r>
      <w:r>
        <w:rPr>
          <w:rFonts w:eastAsia="MS Mincho"/>
        </w:rPr>
        <w:t>1 in paragraph 5.3.1.4.</w:t>
      </w:r>
      <w:r w:rsidR="00CD1531" w:rsidRPr="00CD1531">
        <w:rPr>
          <w:rFonts w:eastAsia="MS Mincho"/>
        </w:rPr>
        <w:t xml:space="preserve"> </w:t>
      </w:r>
      <w:proofErr w:type="gramStart"/>
      <w:r w:rsidR="00CD1531">
        <w:rPr>
          <w:rFonts w:eastAsia="MS Mincho"/>
        </w:rPr>
        <w:t>of</w:t>
      </w:r>
      <w:proofErr w:type="gramEnd"/>
      <w:r w:rsidR="00CD1531">
        <w:rPr>
          <w:rFonts w:eastAsia="MS Mincho"/>
        </w:rPr>
        <w:t xml:space="preserve"> the Regulation</w:t>
      </w:r>
      <w:r>
        <w:rPr>
          <w:rFonts w:eastAsia="MS Mincho"/>
        </w:rPr>
        <w:t>.</w:t>
      </w:r>
    </w:p>
    <w:p w:rsidR="007F7A9F" w:rsidRPr="00DF5A31" w:rsidRDefault="007F7A9F" w:rsidP="007F7A9F">
      <w:pPr>
        <w:spacing w:after="120"/>
        <w:ind w:left="1134" w:right="1134"/>
        <w:jc w:val="center"/>
        <w:rPr>
          <w:u w:val="single"/>
        </w:rPr>
      </w:pPr>
      <w:r>
        <w:rPr>
          <w:u w:val="single"/>
        </w:rPr>
        <w:tab/>
      </w:r>
      <w:r>
        <w:rPr>
          <w:u w:val="single"/>
        </w:rPr>
        <w:tab/>
      </w:r>
      <w:r>
        <w:rPr>
          <w:u w:val="single"/>
        </w:rPr>
        <w:tab/>
      </w:r>
    </w:p>
    <w:sectPr w:rsidR="007F7A9F" w:rsidRPr="00DF5A31" w:rsidSect="00150237">
      <w:headerReference w:type="default" r:id="rId8"/>
      <w:footerReference w:type="even" r:id="rId9"/>
      <w:footerReference w:type="default" r:id="rId10"/>
      <w:headerReference w:type="first" r:id="rId11"/>
      <w:endnotePr>
        <w:numFmt w:val="decimal"/>
      </w:endnotePr>
      <w:pgSz w:w="11907" w:h="16840" w:code="9"/>
      <w:pgMar w:top="1440" w:right="1440" w:bottom="1440" w:left="1440"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A7F" w:rsidRDefault="006A0A7F"/>
  </w:endnote>
  <w:endnote w:type="continuationSeparator" w:id="0">
    <w:p w:rsidR="006A0A7F" w:rsidRDefault="006A0A7F"/>
  </w:endnote>
  <w:endnote w:type="continuationNotice" w:id="1">
    <w:p w:rsidR="006A0A7F" w:rsidRDefault="006A0A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7F" w:rsidRPr="007012AD" w:rsidRDefault="006A0A7F" w:rsidP="007012AD">
    <w:pPr>
      <w:pStyle w:val="Footer"/>
      <w:tabs>
        <w:tab w:val="right" w:pos="9638"/>
      </w:tabs>
      <w:rPr>
        <w:sz w:val="18"/>
      </w:rPr>
    </w:pPr>
    <w:r w:rsidRPr="007012AD">
      <w:rPr>
        <w:b/>
        <w:sz w:val="18"/>
      </w:rPr>
      <w:fldChar w:fldCharType="begin"/>
    </w:r>
    <w:r w:rsidRPr="007012AD">
      <w:rPr>
        <w:b/>
        <w:sz w:val="18"/>
      </w:rPr>
      <w:instrText xml:space="preserve"> PAGE  \* MERGEFORMAT </w:instrText>
    </w:r>
    <w:r w:rsidRPr="007012AD">
      <w:rPr>
        <w:b/>
        <w:sz w:val="18"/>
      </w:rPr>
      <w:fldChar w:fldCharType="separate"/>
    </w:r>
    <w:r w:rsidR="000E00A3">
      <w:rPr>
        <w:b/>
        <w:noProof/>
        <w:sz w:val="18"/>
      </w:rPr>
      <w:t>2</w:t>
    </w:r>
    <w:r w:rsidRPr="007012A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7F" w:rsidRPr="007012AD" w:rsidRDefault="006A0A7F" w:rsidP="007012AD">
    <w:pPr>
      <w:pStyle w:val="Footer"/>
      <w:tabs>
        <w:tab w:val="right" w:pos="9638"/>
      </w:tabs>
      <w:rPr>
        <w:b/>
        <w:sz w:val="18"/>
      </w:rPr>
    </w:pPr>
    <w:r>
      <w:tab/>
    </w:r>
    <w:r w:rsidRPr="007012AD">
      <w:rPr>
        <w:b/>
        <w:sz w:val="18"/>
      </w:rPr>
      <w:fldChar w:fldCharType="begin"/>
    </w:r>
    <w:r w:rsidRPr="007012AD">
      <w:rPr>
        <w:b/>
        <w:sz w:val="18"/>
      </w:rPr>
      <w:instrText xml:space="preserve"> PAGE  \* MERGEFORMAT </w:instrText>
    </w:r>
    <w:r w:rsidRPr="007012AD">
      <w:rPr>
        <w:b/>
        <w:sz w:val="18"/>
      </w:rPr>
      <w:fldChar w:fldCharType="separate"/>
    </w:r>
    <w:r w:rsidR="002909C5">
      <w:rPr>
        <w:b/>
        <w:noProof/>
        <w:sz w:val="18"/>
      </w:rPr>
      <w:t>3</w:t>
    </w:r>
    <w:r w:rsidRPr="007012A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A7F" w:rsidRPr="000B175B" w:rsidRDefault="006A0A7F" w:rsidP="000B175B">
      <w:pPr>
        <w:tabs>
          <w:tab w:val="right" w:pos="2155"/>
        </w:tabs>
        <w:spacing w:after="80"/>
        <w:ind w:left="680"/>
        <w:rPr>
          <w:u w:val="single"/>
        </w:rPr>
      </w:pPr>
      <w:r>
        <w:rPr>
          <w:u w:val="single"/>
        </w:rPr>
        <w:tab/>
      </w:r>
    </w:p>
  </w:footnote>
  <w:footnote w:type="continuationSeparator" w:id="0">
    <w:p w:rsidR="006A0A7F" w:rsidRPr="00FC68B7" w:rsidRDefault="006A0A7F" w:rsidP="00FC68B7">
      <w:pPr>
        <w:tabs>
          <w:tab w:val="left" w:pos="2155"/>
        </w:tabs>
        <w:spacing w:after="80"/>
        <w:ind w:left="680"/>
        <w:rPr>
          <w:u w:val="single"/>
        </w:rPr>
      </w:pPr>
      <w:r>
        <w:rPr>
          <w:u w:val="single"/>
        </w:rPr>
        <w:tab/>
      </w:r>
    </w:p>
  </w:footnote>
  <w:footnote w:type="continuationNotice" w:id="1">
    <w:p w:rsidR="006A0A7F" w:rsidRDefault="006A0A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7F" w:rsidRPr="007012AD" w:rsidRDefault="006A0A7F" w:rsidP="003E4E9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Layout w:type="fixed"/>
      <w:tblCellMar>
        <w:left w:w="0" w:type="dxa"/>
        <w:right w:w="0" w:type="dxa"/>
      </w:tblCellMar>
      <w:tblLook w:val="0000" w:firstRow="0" w:lastRow="0" w:firstColumn="0" w:lastColumn="0" w:noHBand="0" w:noVBand="0"/>
    </w:tblPr>
    <w:tblGrid>
      <w:gridCol w:w="5103"/>
      <w:gridCol w:w="4341"/>
      <w:gridCol w:w="54"/>
    </w:tblGrid>
    <w:tr w:rsidR="006A0A7F" w:rsidRPr="0035238E" w:rsidTr="00150237">
      <w:trPr>
        <w:gridAfter w:val="1"/>
        <w:wAfter w:w="54" w:type="dxa"/>
        <w:trHeight w:hRule="exact" w:val="991"/>
      </w:trPr>
      <w:tc>
        <w:tcPr>
          <w:tcW w:w="5103" w:type="dxa"/>
          <w:shd w:val="clear" w:color="auto" w:fill="auto"/>
        </w:tcPr>
        <w:p w:rsidR="006A0A7F" w:rsidRPr="0035238E" w:rsidRDefault="006A0A7F" w:rsidP="00C24813">
          <w:pPr>
            <w:widowControl w:val="0"/>
            <w:spacing w:after="80" w:line="300" w:lineRule="exact"/>
            <w:rPr>
              <w:rFonts w:eastAsia="HGSGothicM"/>
              <w:kern w:val="2"/>
              <w:lang w:val="en-US" w:eastAsia="ja-JP"/>
            </w:rPr>
          </w:pPr>
          <w:r w:rsidRPr="0035238E">
            <w:rPr>
              <w:rFonts w:eastAsia="HGSGothicM"/>
              <w:kern w:val="2"/>
              <w:lang w:val="en-US" w:eastAsia="ko-KR"/>
            </w:rPr>
            <w:t>Submitted</w:t>
          </w:r>
          <w:r w:rsidRPr="0035238E">
            <w:rPr>
              <w:rFonts w:eastAsia="HGSGothicM"/>
              <w:kern w:val="2"/>
              <w:lang w:val="en-US" w:eastAsia="ja-JP"/>
            </w:rPr>
            <w:t xml:space="preserve"> by the </w:t>
          </w:r>
          <w:r>
            <w:rPr>
              <w:rFonts w:eastAsia="HGSGothicM"/>
              <w:kern w:val="2"/>
              <w:lang w:val="en-US" w:eastAsia="ja-JP"/>
            </w:rPr>
            <w:t>expert from the European Commission</w:t>
          </w:r>
        </w:p>
      </w:tc>
      <w:tc>
        <w:tcPr>
          <w:tcW w:w="4341" w:type="dxa"/>
          <w:shd w:val="clear" w:color="auto" w:fill="auto"/>
        </w:tcPr>
        <w:p w:rsidR="006A0A7F" w:rsidRPr="007F7A9F" w:rsidRDefault="006A0A7F" w:rsidP="006C52FF">
          <w:pPr>
            <w:jc w:val="right"/>
            <w:rPr>
              <w:lang w:val="en-US"/>
            </w:rPr>
          </w:pPr>
          <w:r w:rsidRPr="007F7A9F">
            <w:rPr>
              <w:lang w:val="en-US"/>
            </w:rPr>
            <w:t xml:space="preserve">Informal document </w:t>
          </w:r>
          <w:r w:rsidRPr="007F7A9F">
            <w:rPr>
              <w:b/>
              <w:lang w:val="en-US"/>
            </w:rPr>
            <w:t>GRPE-72</w:t>
          </w:r>
          <w:r>
            <w:rPr>
              <w:b/>
              <w:lang w:val="en-US"/>
            </w:rPr>
            <w:t>-</w:t>
          </w:r>
          <w:r w:rsidR="000E00A3">
            <w:rPr>
              <w:b/>
              <w:lang w:val="en-US"/>
            </w:rPr>
            <w:t>14</w:t>
          </w:r>
        </w:p>
        <w:p w:rsidR="006A0A7F" w:rsidRPr="007F7A9F" w:rsidRDefault="006A0A7F" w:rsidP="006C52FF">
          <w:pPr>
            <w:widowControl w:val="0"/>
            <w:tabs>
              <w:tab w:val="center" w:pos="4677"/>
              <w:tab w:val="right" w:pos="9355"/>
            </w:tabs>
            <w:ind w:left="567"/>
            <w:jc w:val="right"/>
            <w:rPr>
              <w:rFonts w:eastAsia="HGSGothicM"/>
              <w:kern w:val="2"/>
              <w:lang w:val="en-US" w:eastAsia="ko-KR"/>
            </w:rPr>
          </w:pPr>
          <w:r w:rsidRPr="007F7A9F">
            <w:rPr>
              <w:rFonts w:eastAsia="HGSGothicM"/>
              <w:kern w:val="2"/>
              <w:lang w:val="en-US" w:eastAsia="ar-SA"/>
            </w:rPr>
            <w:t>7</w:t>
          </w:r>
          <w:r w:rsidRPr="007F7A9F">
            <w:rPr>
              <w:rFonts w:eastAsia="HGSGothicM"/>
              <w:kern w:val="2"/>
              <w:lang w:val="en-US" w:eastAsia="ja-JP"/>
            </w:rPr>
            <w:t>2</w:t>
          </w:r>
          <w:r w:rsidRPr="007F7A9F">
            <w:rPr>
              <w:rFonts w:eastAsia="HGSGothicM"/>
              <w:kern w:val="2"/>
              <w:vertAlign w:val="superscript"/>
              <w:lang w:val="en-US" w:eastAsia="ja-JP"/>
            </w:rPr>
            <w:t>nd</w:t>
          </w:r>
          <w:r w:rsidRPr="007F7A9F">
            <w:rPr>
              <w:rFonts w:eastAsia="HGSGothicM"/>
              <w:kern w:val="2"/>
              <w:lang w:val="en-US" w:eastAsia="ar-SA"/>
            </w:rPr>
            <w:t xml:space="preserve"> GRPE, </w:t>
          </w:r>
          <w:r w:rsidRPr="007F7A9F">
            <w:rPr>
              <w:rFonts w:eastAsia="HGSGothicM"/>
              <w:kern w:val="2"/>
              <w:lang w:val="en-US" w:eastAsia="ja-JP"/>
            </w:rPr>
            <w:t>11</w:t>
          </w:r>
          <w:r w:rsidRPr="007F7A9F">
            <w:rPr>
              <w:rFonts w:eastAsia="HGSGothicM" w:hint="eastAsia"/>
              <w:kern w:val="2"/>
              <w:lang w:val="en-US" w:eastAsia="ja-JP"/>
            </w:rPr>
            <w:t>-</w:t>
          </w:r>
          <w:r w:rsidRPr="007F7A9F">
            <w:rPr>
              <w:rFonts w:eastAsia="HGSGothicM"/>
              <w:kern w:val="2"/>
              <w:lang w:val="en-US" w:eastAsia="ja-JP"/>
            </w:rPr>
            <w:t>15</w:t>
          </w:r>
          <w:r w:rsidRPr="007F7A9F">
            <w:rPr>
              <w:rFonts w:eastAsia="HGSGothicM"/>
              <w:kern w:val="2"/>
              <w:lang w:val="en-US" w:eastAsia="ar-SA"/>
            </w:rPr>
            <w:t xml:space="preserve"> J</w:t>
          </w:r>
          <w:r w:rsidRPr="007F7A9F">
            <w:rPr>
              <w:rFonts w:eastAsia="HGSGothicM"/>
              <w:kern w:val="2"/>
              <w:lang w:val="en-US" w:eastAsia="ja-JP"/>
            </w:rPr>
            <w:t>anuary</w:t>
          </w:r>
          <w:r w:rsidRPr="007F7A9F">
            <w:rPr>
              <w:rFonts w:eastAsia="HGSGothicM"/>
              <w:kern w:val="2"/>
              <w:lang w:val="en-US" w:eastAsia="ar-SA"/>
            </w:rPr>
            <w:t xml:space="preserve"> 2016</w:t>
          </w:r>
          <w:r w:rsidRPr="007F7A9F">
            <w:rPr>
              <w:rFonts w:eastAsia="HGSGothicM"/>
              <w:kern w:val="2"/>
              <w:lang w:val="en-US" w:eastAsia="ko-KR"/>
            </w:rPr>
            <w:t xml:space="preserve">, </w:t>
          </w:r>
        </w:p>
        <w:p w:rsidR="006A0A7F" w:rsidRPr="0035238E" w:rsidRDefault="006A0A7F" w:rsidP="006C52FF">
          <w:pPr>
            <w:widowControl w:val="0"/>
            <w:tabs>
              <w:tab w:val="center" w:pos="4677"/>
              <w:tab w:val="right" w:pos="9355"/>
            </w:tabs>
            <w:ind w:left="567"/>
            <w:jc w:val="right"/>
            <w:rPr>
              <w:rFonts w:ascii="HGSGothicM" w:eastAsia="HGSGothicM" w:hAnsi="Century"/>
              <w:kern w:val="2"/>
              <w:lang w:val="en-US" w:eastAsia="ar-SA"/>
            </w:rPr>
          </w:pPr>
          <w:r w:rsidRPr="007F7A9F">
            <w:rPr>
              <w:rFonts w:eastAsia="HGSGothicM"/>
              <w:kern w:val="2"/>
              <w:lang w:val="en-US" w:eastAsia="ko-KR"/>
            </w:rPr>
            <w:t xml:space="preserve"> </w:t>
          </w:r>
          <w:r w:rsidRPr="0035238E">
            <w:rPr>
              <w:rFonts w:eastAsia="HGSGothicM"/>
              <w:kern w:val="2"/>
              <w:lang w:val="en-US" w:eastAsia="ar-SA"/>
            </w:rPr>
            <w:t xml:space="preserve">agenda item </w:t>
          </w:r>
          <w:r>
            <w:rPr>
              <w:rFonts w:eastAsia="HGSGothicM" w:hint="eastAsia"/>
              <w:kern w:val="2"/>
              <w:lang w:val="en-US" w:eastAsia="ja-JP"/>
            </w:rPr>
            <w:t>3(</w:t>
          </w:r>
          <w:r>
            <w:rPr>
              <w:rFonts w:eastAsia="HGSGothicM"/>
              <w:kern w:val="2"/>
              <w:lang w:val="en-US" w:eastAsia="ja-JP"/>
            </w:rPr>
            <w:t>a)</w:t>
          </w:r>
        </w:p>
      </w:tc>
    </w:tr>
    <w:tr w:rsidR="006A0A7F" w:rsidRPr="00510AA1" w:rsidTr="00150237">
      <w:tblPrEx>
        <w:tblCellMar>
          <w:left w:w="108" w:type="dxa"/>
          <w:right w:w="108" w:type="dxa"/>
        </w:tblCellMar>
      </w:tblPrEx>
      <w:trPr>
        <w:trHeight w:val="71"/>
      </w:trPr>
      <w:tc>
        <w:tcPr>
          <w:tcW w:w="5103" w:type="dxa"/>
          <w:tcBorders>
            <w:left w:val="nil"/>
          </w:tcBorders>
        </w:tcPr>
        <w:p w:rsidR="006A0A7F" w:rsidRPr="003E4E9F" w:rsidRDefault="006A0A7F" w:rsidP="007F7A9F">
          <w:pPr>
            <w:spacing w:line="240" w:lineRule="auto"/>
            <w:ind w:left="119"/>
            <w:rPr>
              <w:sz w:val="24"/>
              <w:szCs w:val="24"/>
            </w:rPr>
          </w:pPr>
        </w:p>
      </w:tc>
      <w:tc>
        <w:tcPr>
          <w:tcW w:w="4395" w:type="dxa"/>
          <w:gridSpan w:val="2"/>
          <w:tcBorders>
            <w:left w:val="nil"/>
          </w:tcBorders>
        </w:tcPr>
        <w:p w:rsidR="006A0A7F" w:rsidRPr="00510AA1" w:rsidRDefault="006A0A7F" w:rsidP="007F7A9F">
          <w:pPr>
            <w:pStyle w:val="Header"/>
            <w:pBdr>
              <w:bottom w:val="none" w:sz="0" w:space="0" w:color="auto"/>
            </w:pBdr>
            <w:ind w:left="119"/>
            <w:rPr>
              <w:b w:val="0"/>
              <w:bCs/>
              <w:sz w:val="20"/>
              <w:lang w:val="en-US"/>
            </w:rPr>
          </w:pPr>
        </w:p>
      </w:tc>
    </w:tr>
  </w:tbl>
  <w:p w:rsidR="006A0A7F" w:rsidRDefault="006A0A7F" w:rsidP="007F7A9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DA7E89"/>
    <w:multiLevelType w:val="hybridMultilevel"/>
    <w:tmpl w:val="87BCC876"/>
    <w:lvl w:ilvl="0" w:tplc="BA40BA6E">
      <w:start w:val="1"/>
      <w:numFmt w:val="decimal"/>
      <w:lvlText w:val="%1."/>
      <w:lvlJc w:val="left"/>
      <w:pPr>
        <w:ind w:left="2055" w:hanging="360"/>
      </w:pPr>
      <w:rPr>
        <w:rFonts w:hint="default"/>
      </w:rPr>
    </w:lvl>
    <w:lvl w:ilvl="1" w:tplc="04100019" w:tentative="1">
      <w:start w:val="1"/>
      <w:numFmt w:val="lowerLetter"/>
      <w:lvlText w:val="%2."/>
      <w:lvlJc w:val="left"/>
      <w:pPr>
        <w:ind w:left="2775" w:hanging="360"/>
      </w:pPr>
    </w:lvl>
    <w:lvl w:ilvl="2" w:tplc="0410001B" w:tentative="1">
      <w:start w:val="1"/>
      <w:numFmt w:val="lowerRoman"/>
      <w:lvlText w:val="%3."/>
      <w:lvlJc w:val="right"/>
      <w:pPr>
        <w:ind w:left="3495" w:hanging="180"/>
      </w:pPr>
    </w:lvl>
    <w:lvl w:ilvl="3" w:tplc="0410000F" w:tentative="1">
      <w:start w:val="1"/>
      <w:numFmt w:val="decimal"/>
      <w:lvlText w:val="%4."/>
      <w:lvlJc w:val="left"/>
      <w:pPr>
        <w:ind w:left="4215" w:hanging="360"/>
      </w:pPr>
    </w:lvl>
    <w:lvl w:ilvl="4" w:tplc="04100019" w:tentative="1">
      <w:start w:val="1"/>
      <w:numFmt w:val="lowerLetter"/>
      <w:lvlText w:val="%5."/>
      <w:lvlJc w:val="left"/>
      <w:pPr>
        <w:ind w:left="4935" w:hanging="360"/>
      </w:pPr>
    </w:lvl>
    <w:lvl w:ilvl="5" w:tplc="0410001B" w:tentative="1">
      <w:start w:val="1"/>
      <w:numFmt w:val="lowerRoman"/>
      <w:lvlText w:val="%6."/>
      <w:lvlJc w:val="right"/>
      <w:pPr>
        <w:ind w:left="5655" w:hanging="180"/>
      </w:pPr>
    </w:lvl>
    <w:lvl w:ilvl="6" w:tplc="0410000F" w:tentative="1">
      <w:start w:val="1"/>
      <w:numFmt w:val="decimal"/>
      <w:lvlText w:val="%7."/>
      <w:lvlJc w:val="left"/>
      <w:pPr>
        <w:ind w:left="6375" w:hanging="360"/>
      </w:pPr>
    </w:lvl>
    <w:lvl w:ilvl="7" w:tplc="04100019" w:tentative="1">
      <w:start w:val="1"/>
      <w:numFmt w:val="lowerLetter"/>
      <w:lvlText w:val="%8."/>
      <w:lvlJc w:val="left"/>
      <w:pPr>
        <w:ind w:left="7095" w:hanging="360"/>
      </w:pPr>
    </w:lvl>
    <w:lvl w:ilvl="8" w:tplc="0410001B" w:tentative="1">
      <w:start w:val="1"/>
      <w:numFmt w:val="lowerRoman"/>
      <w:lvlText w:val="%9."/>
      <w:lvlJc w:val="right"/>
      <w:pPr>
        <w:ind w:left="7815" w:hanging="180"/>
      </w:pPr>
    </w:lvl>
  </w:abstractNum>
  <w:abstractNum w:abstractNumId="14">
    <w:nsid w:val="1E6429F7"/>
    <w:multiLevelType w:val="hybridMultilevel"/>
    <w:tmpl w:val="32007D94"/>
    <w:lvl w:ilvl="0" w:tplc="399EF3B0">
      <w:start w:val="1"/>
      <w:numFmt w:val="upp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A011BC"/>
    <w:multiLevelType w:val="hybridMultilevel"/>
    <w:tmpl w:val="E80CC2F4"/>
    <w:lvl w:ilvl="0" w:tplc="7924E3C0">
      <w:start w:val="1"/>
      <w:numFmt w:val="bullet"/>
      <w:lvlText w:val=""/>
      <w:lvlJc w:val="left"/>
      <w:pPr>
        <w:ind w:left="2992" w:hanging="360"/>
      </w:pPr>
      <w:rPr>
        <w:rFonts w:ascii="Symbol" w:hAnsi="Symbol" w:hint="default"/>
      </w:rPr>
    </w:lvl>
    <w:lvl w:ilvl="1" w:tplc="08090003" w:tentative="1">
      <w:start w:val="1"/>
      <w:numFmt w:val="bullet"/>
      <w:lvlText w:val="o"/>
      <w:lvlJc w:val="left"/>
      <w:pPr>
        <w:ind w:left="3712" w:hanging="360"/>
      </w:pPr>
      <w:rPr>
        <w:rFonts w:ascii="Courier New" w:hAnsi="Courier New" w:cs="Courier New" w:hint="default"/>
      </w:rPr>
    </w:lvl>
    <w:lvl w:ilvl="2" w:tplc="08090005" w:tentative="1">
      <w:start w:val="1"/>
      <w:numFmt w:val="bullet"/>
      <w:lvlText w:val=""/>
      <w:lvlJc w:val="left"/>
      <w:pPr>
        <w:ind w:left="4432" w:hanging="360"/>
      </w:pPr>
      <w:rPr>
        <w:rFonts w:ascii="Wingdings" w:hAnsi="Wingdings" w:hint="default"/>
      </w:rPr>
    </w:lvl>
    <w:lvl w:ilvl="3" w:tplc="08090001" w:tentative="1">
      <w:start w:val="1"/>
      <w:numFmt w:val="bullet"/>
      <w:lvlText w:val=""/>
      <w:lvlJc w:val="left"/>
      <w:pPr>
        <w:ind w:left="5152" w:hanging="360"/>
      </w:pPr>
      <w:rPr>
        <w:rFonts w:ascii="Symbol" w:hAnsi="Symbol" w:hint="default"/>
      </w:rPr>
    </w:lvl>
    <w:lvl w:ilvl="4" w:tplc="08090003" w:tentative="1">
      <w:start w:val="1"/>
      <w:numFmt w:val="bullet"/>
      <w:lvlText w:val="o"/>
      <w:lvlJc w:val="left"/>
      <w:pPr>
        <w:ind w:left="5872" w:hanging="360"/>
      </w:pPr>
      <w:rPr>
        <w:rFonts w:ascii="Courier New" w:hAnsi="Courier New" w:cs="Courier New" w:hint="default"/>
      </w:rPr>
    </w:lvl>
    <w:lvl w:ilvl="5" w:tplc="08090005" w:tentative="1">
      <w:start w:val="1"/>
      <w:numFmt w:val="bullet"/>
      <w:lvlText w:val=""/>
      <w:lvlJc w:val="left"/>
      <w:pPr>
        <w:ind w:left="6592" w:hanging="360"/>
      </w:pPr>
      <w:rPr>
        <w:rFonts w:ascii="Wingdings" w:hAnsi="Wingdings" w:hint="default"/>
      </w:rPr>
    </w:lvl>
    <w:lvl w:ilvl="6" w:tplc="08090001" w:tentative="1">
      <w:start w:val="1"/>
      <w:numFmt w:val="bullet"/>
      <w:lvlText w:val=""/>
      <w:lvlJc w:val="left"/>
      <w:pPr>
        <w:ind w:left="7312" w:hanging="360"/>
      </w:pPr>
      <w:rPr>
        <w:rFonts w:ascii="Symbol" w:hAnsi="Symbol" w:hint="default"/>
      </w:rPr>
    </w:lvl>
    <w:lvl w:ilvl="7" w:tplc="08090003" w:tentative="1">
      <w:start w:val="1"/>
      <w:numFmt w:val="bullet"/>
      <w:lvlText w:val="o"/>
      <w:lvlJc w:val="left"/>
      <w:pPr>
        <w:ind w:left="8032" w:hanging="360"/>
      </w:pPr>
      <w:rPr>
        <w:rFonts w:ascii="Courier New" w:hAnsi="Courier New" w:cs="Courier New" w:hint="default"/>
      </w:rPr>
    </w:lvl>
    <w:lvl w:ilvl="8" w:tplc="08090005" w:tentative="1">
      <w:start w:val="1"/>
      <w:numFmt w:val="bullet"/>
      <w:lvlText w:val=""/>
      <w:lvlJc w:val="left"/>
      <w:pPr>
        <w:ind w:left="8752" w:hanging="360"/>
      </w:pPr>
      <w:rPr>
        <w:rFonts w:ascii="Wingdings" w:hAnsi="Wingdings" w:hint="default"/>
      </w:rPr>
    </w:lvl>
  </w:abstractNum>
  <w:abstractNum w:abstractNumId="17">
    <w:nsid w:val="3B707D58"/>
    <w:multiLevelType w:val="hybridMultilevel"/>
    <w:tmpl w:val="F5DC97DC"/>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4AC34EF2"/>
    <w:multiLevelType w:val="hybridMultilevel"/>
    <w:tmpl w:val="54BAF034"/>
    <w:lvl w:ilvl="0" w:tplc="42DEC50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18B41CD"/>
    <w:multiLevelType w:val="hybridMultilevel"/>
    <w:tmpl w:val="406002FE"/>
    <w:lvl w:ilvl="0" w:tplc="7924E3C0">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2"/>
  </w:num>
  <w:num w:numId="13">
    <w:abstractNumId w:val="11"/>
  </w:num>
  <w:num w:numId="14">
    <w:abstractNumId w:val="20"/>
  </w:num>
  <w:num w:numId="15">
    <w:abstractNumId w:val="22"/>
  </w:num>
  <w:num w:numId="16">
    <w:abstractNumId w:val="10"/>
  </w:num>
  <w:num w:numId="17">
    <w:abstractNumId w:val="15"/>
  </w:num>
  <w:num w:numId="18">
    <w:abstractNumId w:val="16"/>
  </w:num>
  <w:num w:numId="19">
    <w:abstractNumId w:val="17"/>
  </w:num>
  <w:num w:numId="20">
    <w:abstractNumId w:val="18"/>
  </w:num>
  <w:num w:numId="21">
    <w:abstractNumId w:val="21"/>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7012AD"/>
    <w:rsid w:val="000111B6"/>
    <w:rsid w:val="0001170B"/>
    <w:rsid w:val="00013153"/>
    <w:rsid w:val="00020E5E"/>
    <w:rsid w:val="00040CBA"/>
    <w:rsid w:val="00046B1F"/>
    <w:rsid w:val="00050F6B"/>
    <w:rsid w:val="00052635"/>
    <w:rsid w:val="00056DBB"/>
    <w:rsid w:val="0005760E"/>
    <w:rsid w:val="00057E97"/>
    <w:rsid w:val="000634A3"/>
    <w:rsid w:val="000646F4"/>
    <w:rsid w:val="00064BF2"/>
    <w:rsid w:val="00071F3E"/>
    <w:rsid w:val="00072C8C"/>
    <w:rsid w:val="000733B5"/>
    <w:rsid w:val="00074E76"/>
    <w:rsid w:val="00081815"/>
    <w:rsid w:val="00085C2A"/>
    <w:rsid w:val="000931C0"/>
    <w:rsid w:val="000960D2"/>
    <w:rsid w:val="00097FBE"/>
    <w:rsid w:val="000B0595"/>
    <w:rsid w:val="000B175B"/>
    <w:rsid w:val="000B2F02"/>
    <w:rsid w:val="000B38AE"/>
    <w:rsid w:val="000B3A0F"/>
    <w:rsid w:val="000B4EF7"/>
    <w:rsid w:val="000C1463"/>
    <w:rsid w:val="000C1F85"/>
    <w:rsid w:val="000C2C03"/>
    <w:rsid w:val="000C2D2E"/>
    <w:rsid w:val="000C7908"/>
    <w:rsid w:val="000D4046"/>
    <w:rsid w:val="000D5626"/>
    <w:rsid w:val="000D5B3C"/>
    <w:rsid w:val="000D753E"/>
    <w:rsid w:val="000E00A3"/>
    <w:rsid w:val="000E0415"/>
    <w:rsid w:val="000E342D"/>
    <w:rsid w:val="000E64D0"/>
    <w:rsid w:val="000F7C1C"/>
    <w:rsid w:val="001052B0"/>
    <w:rsid w:val="001065EC"/>
    <w:rsid w:val="001103AA"/>
    <w:rsid w:val="0011340B"/>
    <w:rsid w:val="0011666B"/>
    <w:rsid w:val="00123CCA"/>
    <w:rsid w:val="00127783"/>
    <w:rsid w:val="00137996"/>
    <w:rsid w:val="00150237"/>
    <w:rsid w:val="00165F3A"/>
    <w:rsid w:val="001711BC"/>
    <w:rsid w:val="00182290"/>
    <w:rsid w:val="001909F9"/>
    <w:rsid w:val="001912FF"/>
    <w:rsid w:val="00193F61"/>
    <w:rsid w:val="001A3955"/>
    <w:rsid w:val="001B36C6"/>
    <w:rsid w:val="001B4B04"/>
    <w:rsid w:val="001C6663"/>
    <w:rsid w:val="001C7895"/>
    <w:rsid w:val="001D0C8C"/>
    <w:rsid w:val="001D0F13"/>
    <w:rsid w:val="001D1419"/>
    <w:rsid w:val="001D26DF"/>
    <w:rsid w:val="001D3A03"/>
    <w:rsid w:val="001E5A54"/>
    <w:rsid w:val="001E6DAD"/>
    <w:rsid w:val="001E7837"/>
    <w:rsid w:val="001E7B67"/>
    <w:rsid w:val="001F4351"/>
    <w:rsid w:val="001F6C3E"/>
    <w:rsid w:val="00202DA8"/>
    <w:rsid w:val="00211E0B"/>
    <w:rsid w:val="00216658"/>
    <w:rsid w:val="00222E07"/>
    <w:rsid w:val="00240F4C"/>
    <w:rsid w:val="00241F1C"/>
    <w:rsid w:val="0024772E"/>
    <w:rsid w:val="00261254"/>
    <w:rsid w:val="00261DE7"/>
    <w:rsid w:val="00267F5F"/>
    <w:rsid w:val="002702CF"/>
    <w:rsid w:val="002739CA"/>
    <w:rsid w:val="0027548C"/>
    <w:rsid w:val="0027799F"/>
    <w:rsid w:val="00286B4D"/>
    <w:rsid w:val="002909C5"/>
    <w:rsid w:val="002A1D6E"/>
    <w:rsid w:val="002B6ACD"/>
    <w:rsid w:val="002C1D9F"/>
    <w:rsid w:val="002C61EA"/>
    <w:rsid w:val="002D1072"/>
    <w:rsid w:val="002D4643"/>
    <w:rsid w:val="002D62E4"/>
    <w:rsid w:val="002D6A98"/>
    <w:rsid w:val="002E26D1"/>
    <w:rsid w:val="002F175C"/>
    <w:rsid w:val="002F7DE0"/>
    <w:rsid w:val="00301DA8"/>
    <w:rsid w:val="00302E18"/>
    <w:rsid w:val="00304AE4"/>
    <w:rsid w:val="003229D8"/>
    <w:rsid w:val="00332333"/>
    <w:rsid w:val="00335235"/>
    <w:rsid w:val="003432B0"/>
    <w:rsid w:val="003449E3"/>
    <w:rsid w:val="00352709"/>
    <w:rsid w:val="00360CFA"/>
    <w:rsid w:val="003619B5"/>
    <w:rsid w:val="00361AC3"/>
    <w:rsid w:val="00362D58"/>
    <w:rsid w:val="00365763"/>
    <w:rsid w:val="00371178"/>
    <w:rsid w:val="00380D09"/>
    <w:rsid w:val="003811F4"/>
    <w:rsid w:val="00385E7D"/>
    <w:rsid w:val="00385FC9"/>
    <w:rsid w:val="00387665"/>
    <w:rsid w:val="00392DD7"/>
    <w:rsid w:val="00392E47"/>
    <w:rsid w:val="0039768A"/>
    <w:rsid w:val="003A2038"/>
    <w:rsid w:val="003A6810"/>
    <w:rsid w:val="003B112A"/>
    <w:rsid w:val="003B32C2"/>
    <w:rsid w:val="003B59CA"/>
    <w:rsid w:val="003C2CC4"/>
    <w:rsid w:val="003C534D"/>
    <w:rsid w:val="003D4B23"/>
    <w:rsid w:val="003E130E"/>
    <w:rsid w:val="003E4E9F"/>
    <w:rsid w:val="003E7763"/>
    <w:rsid w:val="00400D85"/>
    <w:rsid w:val="00401D87"/>
    <w:rsid w:val="00410C89"/>
    <w:rsid w:val="00422E03"/>
    <w:rsid w:val="00426B9B"/>
    <w:rsid w:val="004271E0"/>
    <w:rsid w:val="00427B64"/>
    <w:rsid w:val="00431F17"/>
    <w:rsid w:val="004325CB"/>
    <w:rsid w:val="00435AA2"/>
    <w:rsid w:val="004375DB"/>
    <w:rsid w:val="004426DF"/>
    <w:rsid w:val="00442A83"/>
    <w:rsid w:val="004525AE"/>
    <w:rsid w:val="0045495B"/>
    <w:rsid w:val="00454EAD"/>
    <w:rsid w:val="004561E5"/>
    <w:rsid w:val="004568F9"/>
    <w:rsid w:val="004758FE"/>
    <w:rsid w:val="004763EA"/>
    <w:rsid w:val="004817BA"/>
    <w:rsid w:val="00481E83"/>
    <w:rsid w:val="00481F3F"/>
    <w:rsid w:val="0048397A"/>
    <w:rsid w:val="00485CBB"/>
    <w:rsid w:val="004866B7"/>
    <w:rsid w:val="004A03D5"/>
    <w:rsid w:val="004A4D11"/>
    <w:rsid w:val="004A7964"/>
    <w:rsid w:val="004A7CFA"/>
    <w:rsid w:val="004B4392"/>
    <w:rsid w:val="004C2461"/>
    <w:rsid w:val="004C3036"/>
    <w:rsid w:val="004C7462"/>
    <w:rsid w:val="004D0A01"/>
    <w:rsid w:val="004E6CDA"/>
    <w:rsid w:val="004E77B2"/>
    <w:rsid w:val="004F1941"/>
    <w:rsid w:val="004F783D"/>
    <w:rsid w:val="00504B2D"/>
    <w:rsid w:val="00510AA1"/>
    <w:rsid w:val="00510B11"/>
    <w:rsid w:val="00520B76"/>
    <w:rsid w:val="00520D00"/>
    <w:rsid w:val="0052136D"/>
    <w:rsid w:val="005249C2"/>
    <w:rsid w:val="00527358"/>
    <w:rsid w:val="0052775E"/>
    <w:rsid w:val="00531A99"/>
    <w:rsid w:val="00540AA6"/>
    <w:rsid w:val="005420F2"/>
    <w:rsid w:val="00554A45"/>
    <w:rsid w:val="0055614A"/>
    <w:rsid w:val="0056081A"/>
    <w:rsid w:val="0056209A"/>
    <w:rsid w:val="005628B6"/>
    <w:rsid w:val="005664DB"/>
    <w:rsid w:val="005700FE"/>
    <w:rsid w:val="00576C31"/>
    <w:rsid w:val="00584721"/>
    <w:rsid w:val="00590356"/>
    <w:rsid w:val="00593181"/>
    <w:rsid w:val="005941EC"/>
    <w:rsid w:val="0059724D"/>
    <w:rsid w:val="005A04B9"/>
    <w:rsid w:val="005A310C"/>
    <w:rsid w:val="005B1894"/>
    <w:rsid w:val="005B320C"/>
    <w:rsid w:val="005B3DB3"/>
    <w:rsid w:val="005B4CCA"/>
    <w:rsid w:val="005B4E13"/>
    <w:rsid w:val="005B5BE4"/>
    <w:rsid w:val="005C22BE"/>
    <w:rsid w:val="005C2C7B"/>
    <w:rsid w:val="005C342F"/>
    <w:rsid w:val="005C7D1E"/>
    <w:rsid w:val="005E36D9"/>
    <w:rsid w:val="005E7AD2"/>
    <w:rsid w:val="005F7B75"/>
    <w:rsid w:val="006001EE"/>
    <w:rsid w:val="00605042"/>
    <w:rsid w:val="006051C6"/>
    <w:rsid w:val="00611A1D"/>
    <w:rsid w:val="00611FC4"/>
    <w:rsid w:val="006176FB"/>
    <w:rsid w:val="006236D1"/>
    <w:rsid w:val="00630563"/>
    <w:rsid w:val="006343C6"/>
    <w:rsid w:val="00640B26"/>
    <w:rsid w:val="00652D0A"/>
    <w:rsid w:val="00662BB6"/>
    <w:rsid w:val="00671B51"/>
    <w:rsid w:val="0067362F"/>
    <w:rsid w:val="00676606"/>
    <w:rsid w:val="00684C21"/>
    <w:rsid w:val="00696333"/>
    <w:rsid w:val="006A0A7F"/>
    <w:rsid w:val="006A2530"/>
    <w:rsid w:val="006A2644"/>
    <w:rsid w:val="006A358C"/>
    <w:rsid w:val="006A37A4"/>
    <w:rsid w:val="006A74D1"/>
    <w:rsid w:val="006B73C4"/>
    <w:rsid w:val="006C0814"/>
    <w:rsid w:val="006C3589"/>
    <w:rsid w:val="006C43E1"/>
    <w:rsid w:val="006C52FF"/>
    <w:rsid w:val="006D37AF"/>
    <w:rsid w:val="006D51D0"/>
    <w:rsid w:val="006D5FB9"/>
    <w:rsid w:val="006D658E"/>
    <w:rsid w:val="006E0708"/>
    <w:rsid w:val="006E46FF"/>
    <w:rsid w:val="006E564B"/>
    <w:rsid w:val="006E5C3B"/>
    <w:rsid w:val="006E7191"/>
    <w:rsid w:val="007012AD"/>
    <w:rsid w:val="00703577"/>
    <w:rsid w:val="00705894"/>
    <w:rsid w:val="00706931"/>
    <w:rsid w:val="00716440"/>
    <w:rsid w:val="00720346"/>
    <w:rsid w:val="00724E73"/>
    <w:rsid w:val="0072632A"/>
    <w:rsid w:val="007327D5"/>
    <w:rsid w:val="00732E66"/>
    <w:rsid w:val="00737C02"/>
    <w:rsid w:val="007418BC"/>
    <w:rsid w:val="007425E3"/>
    <w:rsid w:val="007450D0"/>
    <w:rsid w:val="0075009A"/>
    <w:rsid w:val="0075390F"/>
    <w:rsid w:val="00754973"/>
    <w:rsid w:val="007629C8"/>
    <w:rsid w:val="0077047D"/>
    <w:rsid w:val="00773CF1"/>
    <w:rsid w:val="007762EA"/>
    <w:rsid w:val="00776794"/>
    <w:rsid w:val="0077764F"/>
    <w:rsid w:val="00777913"/>
    <w:rsid w:val="0078186F"/>
    <w:rsid w:val="007863D7"/>
    <w:rsid w:val="0079571E"/>
    <w:rsid w:val="007B45FE"/>
    <w:rsid w:val="007B6BA5"/>
    <w:rsid w:val="007C3390"/>
    <w:rsid w:val="007C4F4B"/>
    <w:rsid w:val="007C72CB"/>
    <w:rsid w:val="007C7E67"/>
    <w:rsid w:val="007D0E2A"/>
    <w:rsid w:val="007E01E9"/>
    <w:rsid w:val="007E63F3"/>
    <w:rsid w:val="007F1E80"/>
    <w:rsid w:val="007F6611"/>
    <w:rsid w:val="007F6D60"/>
    <w:rsid w:val="007F7A9F"/>
    <w:rsid w:val="00801694"/>
    <w:rsid w:val="00811920"/>
    <w:rsid w:val="008122EE"/>
    <w:rsid w:val="00815AD0"/>
    <w:rsid w:val="00815EDB"/>
    <w:rsid w:val="00823F4F"/>
    <w:rsid w:val="008242D7"/>
    <w:rsid w:val="008257B1"/>
    <w:rsid w:val="0083042A"/>
    <w:rsid w:val="00831395"/>
    <w:rsid w:val="00832334"/>
    <w:rsid w:val="00832EF2"/>
    <w:rsid w:val="008357BC"/>
    <w:rsid w:val="00843767"/>
    <w:rsid w:val="008603C8"/>
    <w:rsid w:val="008679D9"/>
    <w:rsid w:val="00871868"/>
    <w:rsid w:val="00876173"/>
    <w:rsid w:val="008863A1"/>
    <w:rsid w:val="008878DE"/>
    <w:rsid w:val="008979B1"/>
    <w:rsid w:val="008A1ED5"/>
    <w:rsid w:val="008A4E3A"/>
    <w:rsid w:val="008A4F30"/>
    <w:rsid w:val="008A6B25"/>
    <w:rsid w:val="008A6C4F"/>
    <w:rsid w:val="008B2335"/>
    <w:rsid w:val="008B24B1"/>
    <w:rsid w:val="008B2E36"/>
    <w:rsid w:val="008B4B9C"/>
    <w:rsid w:val="008C0AAB"/>
    <w:rsid w:val="008C0DD6"/>
    <w:rsid w:val="008D142A"/>
    <w:rsid w:val="008D2907"/>
    <w:rsid w:val="008D2B69"/>
    <w:rsid w:val="008E0678"/>
    <w:rsid w:val="008E2825"/>
    <w:rsid w:val="008E446C"/>
    <w:rsid w:val="008F31D2"/>
    <w:rsid w:val="00910DB5"/>
    <w:rsid w:val="00911C8F"/>
    <w:rsid w:val="00915EF6"/>
    <w:rsid w:val="00916B25"/>
    <w:rsid w:val="009223CA"/>
    <w:rsid w:val="00923338"/>
    <w:rsid w:val="00930BB4"/>
    <w:rsid w:val="009315AD"/>
    <w:rsid w:val="00931AD9"/>
    <w:rsid w:val="00931AE2"/>
    <w:rsid w:val="00940F93"/>
    <w:rsid w:val="009448C3"/>
    <w:rsid w:val="009614FB"/>
    <w:rsid w:val="00961D9D"/>
    <w:rsid w:val="0097151B"/>
    <w:rsid w:val="0097249F"/>
    <w:rsid w:val="0097250F"/>
    <w:rsid w:val="009760F3"/>
    <w:rsid w:val="00976CFB"/>
    <w:rsid w:val="0098401E"/>
    <w:rsid w:val="009A0830"/>
    <w:rsid w:val="009A0E8D"/>
    <w:rsid w:val="009B26E7"/>
    <w:rsid w:val="009B64BB"/>
    <w:rsid w:val="009B7B91"/>
    <w:rsid w:val="009E360B"/>
    <w:rsid w:val="009E5FC2"/>
    <w:rsid w:val="009F4F13"/>
    <w:rsid w:val="009F68AA"/>
    <w:rsid w:val="00A00697"/>
    <w:rsid w:val="00A00A3F"/>
    <w:rsid w:val="00A0104B"/>
    <w:rsid w:val="00A01489"/>
    <w:rsid w:val="00A10F0F"/>
    <w:rsid w:val="00A122B1"/>
    <w:rsid w:val="00A12EA4"/>
    <w:rsid w:val="00A26369"/>
    <w:rsid w:val="00A3026E"/>
    <w:rsid w:val="00A338F1"/>
    <w:rsid w:val="00A35114"/>
    <w:rsid w:val="00A35BE0"/>
    <w:rsid w:val="00A35D95"/>
    <w:rsid w:val="00A40A57"/>
    <w:rsid w:val="00A4402B"/>
    <w:rsid w:val="00A46243"/>
    <w:rsid w:val="00A6129C"/>
    <w:rsid w:val="00A6239F"/>
    <w:rsid w:val="00A628AF"/>
    <w:rsid w:val="00A6560E"/>
    <w:rsid w:val="00A66D91"/>
    <w:rsid w:val="00A713CD"/>
    <w:rsid w:val="00A71D7C"/>
    <w:rsid w:val="00A72F22"/>
    <w:rsid w:val="00A7360F"/>
    <w:rsid w:val="00A748A6"/>
    <w:rsid w:val="00A769F4"/>
    <w:rsid w:val="00A776B4"/>
    <w:rsid w:val="00A77748"/>
    <w:rsid w:val="00A94361"/>
    <w:rsid w:val="00A94715"/>
    <w:rsid w:val="00AA007B"/>
    <w:rsid w:val="00AA184B"/>
    <w:rsid w:val="00AA2513"/>
    <w:rsid w:val="00AA293C"/>
    <w:rsid w:val="00AA30FD"/>
    <w:rsid w:val="00AA36B6"/>
    <w:rsid w:val="00AC0B1D"/>
    <w:rsid w:val="00AD2AAE"/>
    <w:rsid w:val="00AF0AE1"/>
    <w:rsid w:val="00AF1F7C"/>
    <w:rsid w:val="00B0427B"/>
    <w:rsid w:val="00B25D6A"/>
    <w:rsid w:val="00B30179"/>
    <w:rsid w:val="00B421C1"/>
    <w:rsid w:val="00B53C21"/>
    <w:rsid w:val="00B55C71"/>
    <w:rsid w:val="00B562AA"/>
    <w:rsid w:val="00B56E4A"/>
    <w:rsid w:val="00B56E9C"/>
    <w:rsid w:val="00B60945"/>
    <w:rsid w:val="00B64B1F"/>
    <w:rsid w:val="00B6553F"/>
    <w:rsid w:val="00B76B3E"/>
    <w:rsid w:val="00B77D05"/>
    <w:rsid w:val="00B8021B"/>
    <w:rsid w:val="00B81206"/>
    <w:rsid w:val="00B81E12"/>
    <w:rsid w:val="00B900A3"/>
    <w:rsid w:val="00B92CAA"/>
    <w:rsid w:val="00BA10AD"/>
    <w:rsid w:val="00BA7A6A"/>
    <w:rsid w:val="00BB0306"/>
    <w:rsid w:val="00BB35CF"/>
    <w:rsid w:val="00BB6567"/>
    <w:rsid w:val="00BC3FA0"/>
    <w:rsid w:val="00BC4E03"/>
    <w:rsid w:val="00BC5724"/>
    <w:rsid w:val="00BC74E9"/>
    <w:rsid w:val="00BD3C4C"/>
    <w:rsid w:val="00BD7808"/>
    <w:rsid w:val="00BE4B97"/>
    <w:rsid w:val="00BF1EB4"/>
    <w:rsid w:val="00BF4B3B"/>
    <w:rsid w:val="00BF4D9B"/>
    <w:rsid w:val="00BF68A8"/>
    <w:rsid w:val="00C0346B"/>
    <w:rsid w:val="00C05192"/>
    <w:rsid w:val="00C059A2"/>
    <w:rsid w:val="00C07327"/>
    <w:rsid w:val="00C10602"/>
    <w:rsid w:val="00C11A03"/>
    <w:rsid w:val="00C160BE"/>
    <w:rsid w:val="00C22C0C"/>
    <w:rsid w:val="00C24813"/>
    <w:rsid w:val="00C26D21"/>
    <w:rsid w:val="00C32C20"/>
    <w:rsid w:val="00C357E6"/>
    <w:rsid w:val="00C4527F"/>
    <w:rsid w:val="00C463DD"/>
    <w:rsid w:val="00C4724C"/>
    <w:rsid w:val="00C512F9"/>
    <w:rsid w:val="00C51F92"/>
    <w:rsid w:val="00C629A0"/>
    <w:rsid w:val="00C64629"/>
    <w:rsid w:val="00C730D4"/>
    <w:rsid w:val="00C745C3"/>
    <w:rsid w:val="00C75D43"/>
    <w:rsid w:val="00C9068E"/>
    <w:rsid w:val="00C90C70"/>
    <w:rsid w:val="00C930F7"/>
    <w:rsid w:val="00C943FA"/>
    <w:rsid w:val="00C96DF2"/>
    <w:rsid w:val="00CA0E19"/>
    <w:rsid w:val="00CA2F0B"/>
    <w:rsid w:val="00CA7600"/>
    <w:rsid w:val="00CB3E03"/>
    <w:rsid w:val="00CD1531"/>
    <w:rsid w:val="00CD4AA6"/>
    <w:rsid w:val="00CE4A8F"/>
    <w:rsid w:val="00CE694B"/>
    <w:rsid w:val="00CE7088"/>
    <w:rsid w:val="00CF3B0F"/>
    <w:rsid w:val="00CF5099"/>
    <w:rsid w:val="00D0576E"/>
    <w:rsid w:val="00D2031B"/>
    <w:rsid w:val="00D21840"/>
    <w:rsid w:val="00D248B6"/>
    <w:rsid w:val="00D25FE2"/>
    <w:rsid w:val="00D26E07"/>
    <w:rsid w:val="00D34613"/>
    <w:rsid w:val="00D37A57"/>
    <w:rsid w:val="00D43252"/>
    <w:rsid w:val="00D43CF9"/>
    <w:rsid w:val="00D4601A"/>
    <w:rsid w:val="00D47EEA"/>
    <w:rsid w:val="00D50293"/>
    <w:rsid w:val="00D556B9"/>
    <w:rsid w:val="00D5758D"/>
    <w:rsid w:val="00D57D40"/>
    <w:rsid w:val="00D70FC8"/>
    <w:rsid w:val="00D773DF"/>
    <w:rsid w:val="00D85B0C"/>
    <w:rsid w:val="00D90F0A"/>
    <w:rsid w:val="00D94A45"/>
    <w:rsid w:val="00D95303"/>
    <w:rsid w:val="00D959B3"/>
    <w:rsid w:val="00D96963"/>
    <w:rsid w:val="00D978C6"/>
    <w:rsid w:val="00DA3C1C"/>
    <w:rsid w:val="00DC20E3"/>
    <w:rsid w:val="00DC6D39"/>
    <w:rsid w:val="00DE36BC"/>
    <w:rsid w:val="00DE5E7D"/>
    <w:rsid w:val="00DF218B"/>
    <w:rsid w:val="00DF2648"/>
    <w:rsid w:val="00DF3ED2"/>
    <w:rsid w:val="00DF76B2"/>
    <w:rsid w:val="00E046DF"/>
    <w:rsid w:val="00E06C0A"/>
    <w:rsid w:val="00E071ED"/>
    <w:rsid w:val="00E22B0C"/>
    <w:rsid w:val="00E26BA7"/>
    <w:rsid w:val="00E27346"/>
    <w:rsid w:val="00E404A0"/>
    <w:rsid w:val="00E40A45"/>
    <w:rsid w:val="00E560CA"/>
    <w:rsid w:val="00E65FF5"/>
    <w:rsid w:val="00E71BC8"/>
    <w:rsid w:val="00E7260F"/>
    <w:rsid w:val="00E73F5D"/>
    <w:rsid w:val="00E746BA"/>
    <w:rsid w:val="00E77E4E"/>
    <w:rsid w:val="00E81859"/>
    <w:rsid w:val="00E82BE6"/>
    <w:rsid w:val="00E833B6"/>
    <w:rsid w:val="00E92B94"/>
    <w:rsid w:val="00E93B57"/>
    <w:rsid w:val="00E96630"/>
    <w:rsid w:val="00EA2A77"/>
    <w:rsid w:val="00EB5770"/>
    <w:rsid w:val="00EC0B20"/>
    <w:rsid w:val="00EC2353"/>
    <w:rsid w:val="00EC39A0"/>
    <w:rsid w:val="00EC6FA5"/>
    <w:rsid w:val="00ED035E"/>
    <w:rsid w:val="00ED1FBD"/>
    <w:rsid w:val="00ED6B7D"/>
    <w:rsid w:val="00ED7A2A"/>
    <w:rsid w:val="00EE7E38"/>
    <w:rsid w:val="00EF1D7F"/>
    <w:rsid w:val="00F123C3"/>
    <w:rsid w:val="00F12C0D"/>
    <w:rsid w:val="00F15B16"/>
    <w:rsid w:val="00F31E5F"/>
    <w:rsid w:val="00F420CF"/>
    <w:rsid w:val="00F42426"/>
    <w:rsid w:val="00F53066"/>
    <w:rsid w:val="00F60A4B"/>
    <w:rsid w:val="00F6100A"/>
    <w:rsid w:val="00F66F22"/>
    <w:rsid w:val="00F67BD7"/>
    <w:rsid w:val="00F76163"/>
    <w:rsid w:val="00F81B1A"/>
    <w:rsid w:val="00F82A40"/>
    <w:rsid w:val="00F8390E"/>
    <w:rsid w:val="00F84AD9"/>
    <w:rsid w:val="00F932F3"/>
    <w:rsid w:val="00F93781"/>
    <w:rsid w:val="00FA33E9"/>
    <w:rsid w:val="00FA721A"/>
    <w:rsid w:val="00FB613B"/>
    <w:rsid w:val="00FB61B3"/>
    <w:rsid w:val="00FC68B7"/>
    <w:rsid w:val="00FD364E"/>
    <w:rsid w:val="00FD3F98"/>
    <w:rsid w:val="00FE106A"/>
    <w:rsid w:val="00FE55EC"/>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D94A45"/>
    <w:rPr>
      <w:b/>
      <w:bCs/>
    </w:rPr>
  </w:style>
  <w:style w:type="paragraph" w:styleId="BalloonText">
    <w:name w:val="Balloon Text"/>
    <w:basedOn w:val="Normal"/>
    <w:semiHidden/>
    <w:rsid w:val="00D94A45"/>
    <w:rPr>
      <w:rFonts w:ascii="Tahoma" w:hAnsi="Tahoma" w:cs="Tahoma"/>
      <w:sz w:val="16"/>
      <w:szCs w:val="16"/>
    </w:rPr>
  </w:style>
  <w:style w:type="character" w:customStyle="1" w:styleId="HeaderChar">
    <w:name w:val="Header Char"/>
    <w:aliases w:val="6_G Char"/>
    <w:link w:val="Header"/>
    <w:rsid w:val="00D21840"/>
    <w:rPr>
      <w:b/>
      <w:sz w:val="18"/>
      <w:lang w:val="en-GB" w:eastAsia="en-US" w:bidi="ar-SA"/>
    </w:rPr>
  </w:style>
  <w:style w:type="paragraph" w:customStyle="1" w:styleId="para">
    <w:name w:val="para"/>
    <w:basedOn w:val="SingleTxtG"/>
    <w:link w:val="paraChar"/>
    <w:qFormat/>
    <w:rsid w:val="00B8021B"/>
    <w:pPr>
      <w:ind w:left="2268" w:hanging="1134"/>
    </w:pPr>
    <w:rPr>
      <w:rFonts w:eastAsia="MS Mincho"/>
    </w:rPr>
  </w:style>
  <w:style w:type="character" w:customStyle="1" w:styleId="FootnoteTextChar">
    <w:name w:val="Footnote Text Char"/>
    <w:aliases w:val="5_G Char,PP Char"/>
    <w:link w:val="FootnoteText"/>
    <w:locked/>
    <w:rsid w:val="00CA0E19"/>
    <w:rPr>
      <w:sz w:val="18"/>
      <w:lang w:val="en-GB" w:eastAsia="en-US"/>
    </w:rPr>
  </w:style>
  <w:style w:type="character" w:customStyle="1" w:styleId="paraChar">
    <w:name w:val="para Char"/>
    <w:link w:val="para"/>
    <w:rsid w:val="00040CBA"/>
    <w:rPr>
      <w:rFonts w:eastAsia="MS Mincho"/>
      <w:lang w:val="en-GB"/>
    </w:rPr>
  </w:style>
  <w:style w:type="paragraph" w:customStyle="1" w:styleId="Default">
    <w:name w:val="Default"/>
    <w:rsid w:val="0097151B"/>
    <w:pPr>
      <w:autoSpaceDE w:val="0"/>
      <w:autoSpaceDN w:val="0"/>
      <w:adjustRightInd w:val="0"/>
    </w:pPr>
    <w:rPr>
      <w:color w:val="000000"/>
      <w:sz w:val="24"/>
      <w:szCs w:val="24"/>
      <w:lang w:val="en-US" w:eastAsia="en-US"/>
    </w:rPr>
  </w:style>
  <w:style w:type="character" w:customStyle="1" w:styleId="HChGChar">
    <w:name w:val="_ H _Ch_G Char"/>
    <w:link w:val="HChG"/>
    <w:rsid w:val="007F7A9F"/>
    <w:rPr>
      <w:b/>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D94A45"/>
    <w:rPr>
      <w:b/>
      <w:bCs/>
    </w:rPr>
  </w:style>
  <w:style w:type="paragraph" w:styleId="BalloonText">
    <w:name w:val="Balloon Text"/>
    <w:basedOn w:val="Normal"/>
    <w:semiHidden/>
    <w:rsid w:val="00D94A45"/>
    <w:rPr>
      <w:rFonts w:ascii="Tahoma" w:hAnsi="Tahoma" w:cs="Tahoma"/>
      <w:sz w:val="16"/>
      <w:szCs w:val="16"/>
    </w:rPr>
  </w:style>
  <w:style w:type="character" w:customStyle="1" w:styleId="HeaderChar">
    <w:name w:val="Header Char"/>
    <w:aliases w:val="6_G Char"/>
    <w:link w:val="Header"/>
    <w:rsid w:val="00D21840"/>
    <w:rPr>
      <w:b/>
      <w:sz w:val="18"/>
      <w:lang w:val="en-GB" w:eastAsia="en-US" w:bidi="ar-SA"/>
    </w:rPr>
  </w:style>
  <w:style w:type="paragraph" w:customStyle="1" w:styleId="para">
    <w:name w:val="para"/>
    <w:basedOn w:val="SingleTxtG"/>
    <w:link w:val="paraChar"/>
    <w:qFormat/>
    <w:rsid w:val="00B8021B"/>
    <w:pPr>
      <w:ind w:left="2268" w:hanging="1134"/>
    </w:pPr>
    <w:rPr>
      <w:rFonts w:eastAsia="MS Mincho"/>
    </w:rPr>
  </w:style>
  <w:style w:type="character" w:customStyle="1" w:styleId="FootnoteTextChar">
    <w:name w:val="Footnote Text Char"/>
    <w:aliases w:val="5_G Char,PP Char"/>
    <w:link w:val="FootnoteText"/>
    <w:locked/>
    <w:rsid w:val="00CA0E19"/>
    <w:rPr>
      <w:sz w:val="18"/>
      <w:lang w:val="en-GB" w:eastAsia="en-US"/>
    </w:rPr>
  </w:style>
  <w:style w:type="character" w:customStyle="1" w:styleId="paraChar">
    <w:name w:val="para Char"/>
    <w:link w:val="para"/>
    <w:rsid w:val="00040CBA"/>
    <w:rPr>
      <w:rFonts w:eastAsia="MS Mincho"/>
      <w:lang w:val="en-GB"/>
    </w:rPr>
  </w:style>
  <w:style w:type="paragraph" w:customStyle="1" w:styleId="Default">
    <w:name w:val="Default"/>
    <w:rsid w:val="0097151B"/>
    <w:pPr>
      <w:autoSpaceDE w:val="0"/>
      <w:autoSpaceDN w:val="0"/>
      <w:adjustRightInd w:val="0"/>
    </w:pPr>
    <w:rPr>
      <w:color w:val="000000"/>
      <w:sz w:val="24"/>
      <w:szCs w:val="24"/>
      <w:lang w:val="en-US" w:eastAsia="en-US"/>
    </w:rPr>
  </w:style>
  <w:style w:type="character" w:customStyle="1" w:styleId="HChGChar">
    <w:name w:val="_ H _Ch_G Char"/>
    <w:link w:val="HChG"/>
    <w:rsid w:val="007F7A9F"/>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19791">
      <w:bodyDiv w:val="1"/>
      <w:marLeft w:val="0"/>
      <w:marRight w:val="0"/>
      <w:marTop w:val="0"/>
      <w:marBottom w:val="0"/>
      <w:divBdr>
        <w:top w:val="none" w:sz="0" w:space="0" w:color="auto"/>
        <w:left w:val="none" w:sz="0" w:space="0" w:color="auto"/>
        <w:bottom w:val="none" w:sz="0" w:space="0" w:color="auto"/>
        <w:right w:val="none" w:sz="0" w:space="0" w:color="auto"/>
      </w:divBdr>
      <w:divsChild>
        <w:div w:id="436826272">
          <w:marLeft w:val="0"/>
          <w:marRight w:val="0"/>
          <w:marTop w:val="0"/>
          <w:marBottom w:val="0"/>
          <w:divBdr>
            <w:top w:val="none" w:sz="0" w:space="0" w:color="auto"/>
            <w:left w:val="none" w:sz="0" w:space="0" w:color="auto"/>
            <w:bottom w:val="none" w:sz="0" w:space="0" w:color="auto"/>
            <w:right w:val="none" w:sz="0" w:space="0" w:color="auto"/>
          </w:divBdr>
        </w:div>
        <w:div w:id="1360742804">
          <w:marLeft w:val="0"/>
          <w:marRight w:val="0"/>
          <w:marTop w:val="0"/>
          <w:marBottom w:val="0"/>
          <w:divBdr>
            <w:top w:val="none" w:sz="0" w:space="0" w:color="auto"/>
            <w:left w:val="none" w:sz="0" w:space="0" w:color="auto"/>
            <w:bottom w:val="none" w:sz="0" w:space="0" w:color="auto"/>
            <w:right w:val="none" w:sz="0" w:space="0" w:color="auto"/>
          </w:divBdr>
        </w:div>
        <w:div w:id="1390348677">
          <w:marLeft w:val="0"/>
          <w:marRight w:val="0"/>
          <w:marTop w:val="0"/>
          <w:marBottom w:val="0"/>
          <w:divBdr>
            <w:top w:val="none" w:sz="0" w:space="0" w:color="auto"/>
            <w:left w:val="none" w:sz="0" w:space="0" w:color="auto"/>
            <w:bottom w:val="none" w:sz="0" w:space="0" w:color="auto"/>
            <w:right w:val="none" w:sz="0" w:space="0" w:color="auto"/>
          </w:divBdr>
        </w:div>
      </w:divsChild>
    </w:div>
    <w:div w:id="1330909427">
      <w:bodyDiv w:val="1"/>
      <w:marLeft w:val="0"/>
      <w:marRight w:val="0"/>
      <w:marTop w:val="0"/>
      <w:marBottom w:val="0"/>
      <w:divBdr>
        <w:top w:val="none" w:sz="0" w:space="0" w:color="auto"/>
        <w:left w:val="none" w:sz="0" w:space="0" w:color="auto"/>
        <w:bottom w:val="none" w:sz="0" w:space="0" w:color="auto"/>
        <w:right w:val="none" w:sz="0" w:space="0" w:color="auto"/>
      </w:divBdr>
    </w:div>
    <w:div w:id="1584993305">
      <w:bodyDiv w:val="1"/>
      <w:marLeft w:val="0"/>
      <w:marRight w:val="0"/>
      <w:marTop w:val="0"/>
      <w:marBottom w:val="0"/>
      <w:divBdr>
        <w:top w:val="none" w:sz="0" w:space="0" w:color="auto"/>
        <w:left w:val="none" w:sz="0" w:space="0" w:color="auto"/>
        <w:bottom w:val="none" w:sz="0" w:space="0" w:color="auto"/>
        <w:right w:val="none" w:sz="0" w:space="0" w:color="auto"/>
      </w:divBdr>
    </w:div>
    <w:div w:id="1944921296">
      <w:bodyDiv w:val="1"/>
      <w:marLeft w:val="0"/>
      <w:marRight w:val="0"/>
      <w:marTop w:val="0"/>
      <w:marBottom w:val="0"/>
      <w:divBdr>
        <w:top w:val="none" w:sz="0" w:space="0" w:color="auto"/>
        <w:left w:val="none" w:sz="0" w:space="0" w:color="auto"/>
        <w:bottom w:val="none" w:sz="0" w:space="0" w:color="auto"/>
        <w:right w:val="none" w:sz="0" w:space="0" w:color="auto"/>
      </w:divBdr>
    </w:div>
    <w:div w:id="2075811002">
      <w:bodyDiv w:val="1"/>
      <w:marLeft w:val="0"/>
      <w:marRight w:val="0"/>
      <w:marTop w:val="0"/>
      <w:marBottom w:val="0"/>
      <w:divBdr>
        <w:top w:val="none" w:sz="0" w:space="0" w:color="auto"/>
        <w:left w:val="none" w:sz="0" w:space="0" w:color="auto"/>
        <w:bottom w:val="none" w:sz="0" w:space="0" w:color="auto"/>
        <w:right w:val="none" w:sz="0" w:space="0" w:color="auto"/>
      </w:divBdr>
      <w:divsChild>
        <w:div w:id="1093355217">
          <w:marLeft w:val="0"/>
          <w:marRight w:val="0"/>
          <w:marTop w:val="0"/>
          <w:marBottom w:val="0"/>
          <w:divBdr>
            <w:top w:val="none" w:sz="0" w:space="0" w:color="auto"/>
            <w:left w:val="none" w:sz="0" w:space="0" w:color="auto"/>
            <w:bottom w:val="none" w:sz="0" w:space="0" w:color="auto"/>
            <w:right w:val="none" w:sz="0" w:space="0" w:color="auto"/>
          </w:divBdr>
        </w:div>
        <w:div w:id="1241139895">
          <w:marLeft w:val="0"/>
          <w:marRight w:val="0"/>
          <w:marTop w:val="0"/>
          <w:marBottom w:val="0"/>
          <w:divBdr>
            <w:top w:val="none" w:sz="0" w:space="0" w:color="auto"/>
            <w:left w:val="none" w:sz="0" w:space="0" w:color="auto"/>
            <w:bottom w:val="none" w:sz="0" w:space="0" w:color="auto"/>
            <w:right w:val="none" w:sz="0" w:space="0" w:color="auto"/>
          </w:divBdr>
        </w:div>
        <w:div w:id="213209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Template>
  <TotalTime>1</TotalTime>
  <Pages>2</Pages>
  <Words>678</Words>
  <Characters>3867</Characters>
  <Application>Microsoft Office Word</Application>
  <DocSecurity>0</DocSecurity>
  <Lines>32</Lines>
  <Paragraphs>9</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Proposal for amendments to the 06 and 07 series of amendments to Regulation No</vt:lpstr>
      <vt:lpstr>Proposal for amendments to the 06 and 07 series of amendments to Regulation No</vt:lpstr>
      <vt:lpstr/>
    </vt:vector>
  </TitlesOfParts>
  <Company>MIT</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amendments to the 06 and 07 series of amendments to Regulation No</dc:title>
  <dc:creator>AE</dc:creator>
  <cp:lastModifiedBy>United Nations</cp:lastModifiedBy>
  <cp:revision>2</cp:revision>
  <cp:lastPrinted>2015-12-03T11:04:00Z</cp:lastPrinted>
  <dcterms:created xsi:type="dcterms:W3CDTF">2016-01-13T11:12:00Z</dcterms:created>
  <dcterms:modified xsi:type="dcterms:W3CDTF">2016-01-13T11:12:00Z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